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Sungrow Power Supply Co., Ltd. (阳光电源股份有限公司)</w:t>
      </w:r>
    </w:p>
    <w:p>
      <w:pPr>
        <w:spacing w:after="60"/>
        <w:rPr>
          <w:color w:val="52514E"/>
          <w:sz w:val="22"/>
          <w:szCs w:val="22"/>
        </w:rPr>
      </w:pPr>
      <w:r>
        <w:rPr>
          <w:color w:val="52514E"/>
          <w:sz w:val="22"/>
          <w:szCs w:val="22"/>
        </w:rPr>
        <w:t xml:space="preserve">300274 · Bolsa de Shenzhen, ChiNext (acción A, CNY) · ISIN CNE1000018M7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76,86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84,91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+12,2 % (base +13,6 %)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86,24 CNY · mercado 99,77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158.139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Sungrow Power Supply Co., Ltd. (阳光电源股份有限公司)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300274 / CNE1000018M7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Shenzhen, ChiNext (acción A,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Electrical Components &amp; Equipment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Hefei (Anhui)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https://en.sungrowpower.com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75,12 – 209,88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158.139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134.173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84,91 CNY</w:t>
      </w:r>
      <w:r>
        <w:t xml:space="preserve"> frente a 76,86 · Rentabilidad a 12 meses </w:t>
      </w:r>
      <w:r>
        <w:rPr>
          <w:b/>
          <w:bCs/>
        </w:rPr>
        <w:t xml:space="preserve">+12,2 % (base +13,6 %)</w:t>
      </w:r>
      <w:r>
        <w:t xml:space="preserve"> · Valor intrínseco 86,24 CNY · con la prima implícita del mercado: 99,77 (+29,8 %) · Alcista / bajista +35,9 % / -21,5 %</w:t>
      </w:r>
    </w:p>
    <w:p>
      <w:pPr>
        <w:spacing w:after="100"/>
      </w:pPr>
      <w:r>
        <w:rPr>
          <w:b/>
        </w:rPr>
        <w:t xml:space="preserve">La recomendación y por qué.</w:t>
      </w:r>
      <w:r>
        <w:t xml:space="preserve"> Mantener con convicción baja. El objetivo a 12 meses es de 84,91 CNY y el valor intrínseco de 86,24 CNY, frente a un precio de 76,86 CNY: la rentabilidad a 12 meses es del 12,2 % ponderada y del 13,6 % en el base, por debajo del 15 % que pide la compra. El objetivo medio de los analistas (146,50 CNY) queda muy por encima de nuestro rango porque no recoge del todo un primer semestre con ventas −29 %. La asimetría de los escenarios es de 1,67 veces (+35,9 % frente a −21,5 %). La convicción es baja porque la rentabilidad está a menos de 3 puntos del umbral y las dos reglas del valor intrínseco discrepan (con la prima del mercado sale Comprar); subiría si el 3T26 (30-oct) confirma un 2S con más de 5.500 M de beneficio, y bajaría si EE. UU. aprueba el veto a los inversores chinos.</w:t>
      </w:r>
    </w:p>
    <w:p>
      <w:pPr>
        <w:spacing w:after="100"/>
      </w:pPr>
      <w:r>
        <w:rPr>
          <w:b/>
        </w:rPr>
        <w:t xml:space="preserve">El negocio.</w:t>
      </w:r>
      <w:r>
        <w:t xml:space="preserve"> Sungrow es el n.º 1 mundial en inversores (25,2 % de los envíos de 2024) y el n.º 2 en almacenamiento integrado (11,9 %) [15]. Crea mucho valor: ROIC del 54,6 % en 2025 frente a un WACC del 9,2 %, y del 17-24 % aun contando toda la caja como capital. Pero el foso es estrecho: en almacenamiento compra las celdas y no pudo trasladar su encarecimiento (margen bruto −7,5 puntos en el 1S26) [4]. La sostenibilidad del crecimiento es «Sí»: el crecimiento proyectado (6,7 % en 2027-2033e) apenas necesita capital y supone perder cuota.</w:t>
      </w:r>
    </w:p>
    <w:p>
      <w:pPr>
        <w:spacing w:after="100"/>
      </w:pPr>
      <w:r>
        <w:rPr>
          <w:b/>
        </w:rPr>
        <w:t xml:space="preserve">Sector y ciclo.</w:t>
      </w:r>
      <w:r>
        <w:t xml:space="preserve"> El sector está en contracción en China (cambio de retribución de las renovables) y crece fuera en almacenamiento (+29 % al año previsto hasta 2030) [15]. El riesgo político es el que más pesa: la UE ya deja sin fondos europeos los proyectos con inversores chinos y EE. UU. estudia vetarlos [13, 18].</w:t>
      </w:r>
    </w:p>
    <w:p>
      <w:pPr>
        <w:spacing w:after="100"/>
      </w:pPr>
      <w:r>
        <w:rPr>
          <w:b/>
        </w:rPr>
        <w:t xml:space="preserve">Finanzas.</w:t>
      </w:r>
      <w:r>
        <w:t xml:space="preserve"> Balance de caja neta (≈ 27.000 M, el 17 % de la capitalización) y conversión de caja del 126 % del beneficio en 2025 [1, 4]. Lo flojo: existencias de 32.153 M al alza con ventas a la baja.</w:t>
      </w:r>
    </w:p>
    <w:p>
      <w:pPr>
        <w:spacing w:after="100"/>
      </w:pPr>
      <w:r>
        <w:rPr>
          <w:b/>
        </w:rPr>
        <w:t xml:space="preserve">Equipo y gobierno.</w:t>
      </w:r>
      <w:r>
        <w:t xml:space="preserve"> El fundador, Cao Renxian, controla el 30,5 %, preside y dirige; consejo con mayoría ejecutiva [4, 5]. Resta algo, aunque reparte el 25 % del beneficio y propuso una recompra de 500-1.000 M [25].</w:t>
      </w:r>
    </w:p>
    <w:p>
      <w:pPr>
        <w:spacing w:after="100"/>
      </w:pPr>
      <w:r>
        <w:rPr>
          <w:b/>
        </w:rPr>
        <w:t xml:space="preserve">Valoración.</w:t>
      </w:r>
      <w:r>
        <w:t xml:space="preserve"> El DCF da 85,15 CNY; el precio descuenta un 4,1 % de crecimiento anual en 2027-2033e frente al 6,7 % de nuestro base y una rentabilidad del 10,2 %. Los comparables dan 93,38 CNY (EV/EBITDA de 9,1 veces frente a 16,6). Discrepamos del mercado en el nivel de beneficio: nuestro BPA de 2028e (6,10) está un 30 % bajo el consenso (8,69).</w:t>
      </w:r>
    </w:p>
    <w:p>
      <w:pPr>
        <w:spacing w:after="100"/>
      </w:pPr>
      <w:r>
        <w:rPr>
          <w:b/>
        </w:rPr>
        <w:t xml:space="preserve">Riesgos y catalizadores.</w:t>
      </w:r>
      <w:r>
        <w:t xml:space="preserve"> Veto de EE. UU. (bajista, −21,5 %), extensión del veto europeo al mercado y guerra de precios en almacenamiento. Catalizadores: 3T26 el 30-oct y decisiones de la UE hasta el 1-nov. El precio está en mínimos de 52 semanas, a un 43 % de la media de 200 sesiones, con la causa explicada: no cambia la señal.</w:t>
      </w:r>
    </w:p>
    <w:p>
      <w:pPr>
        <w:spacing w:after="100"/>
      </w:pPr>
      <w:r>
        <w:rPr>
          <w:b/>
        </w:rPr>
        <w:t xml:space="preserve">Qué cambiaría la decisión.</w:t>
      </w:r>
      <w:r>
        <w:t xml:space="preserve"> Compraríamos por debajo de 74,99 CNY (límite de la regla vigente; el robusto, que exige también la v2, es más bajo) o si el 2S26 sube el BPA de 2028e por encima de 6,7 CNY. Venderíamos por encima de 95,82 CNY, o si el margen bruto del almacenamiento baja del 30 % o se aprueba el veto de EE. UU.</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84,91 CNY</w:t>
      </w:r>
      <w:r>
        <w:t xml:space="preserve"> (rentabilidad +12,2 % (base +13,6 %)) · Valor intrínseco: 86,24 CNY (+12,2 % sobre 76,86) · con la prima implícita del mercado: 99,77 (+29,8 %)</w:t>
      </w:r>
    </w:p>
    <w:p>
      <w:pPr>
        <w:spacing w:after="100"/>
      </w:pPr>
      <w:r>
        <w:t xml:space="preserve">Sungrow es el líder mundial en inversores fotovoltaicos (25,2 % de los envíos) y el segundo integrador de almacenamiento en baterías (11,9 %), con un ROIC del 54,6 % en 2025, caja neta de unos 27.000 M CNY y un 73 % de las ventas fuera de China en el 1S26 [4, 15]. Pasó de 24.137 M de ventas en 2021 a 88.914 M en 2025 [1, 7].</w:t>
      </w:r>
    </w:p>
    <w:p>
      <w:pPr>
        <w:spacing w:after="100"/>
      </w:pPr>
      <w:r>
        <w:t xml:space="preserve">El precio (76,86 CNY, −54,5 % en el año) descuenta un crecimiento del 4,1 % anual en 2027-2033e y un margen del 15,8 %, menos que nuestro base (6,7 % y 17,5 %): pide poco a una empresa con caja neta del 17 % de la capitalización. El PER adelantado es de 13,4 veces, cerca de la mediana de su historia (14,7).</w:t>
      </w:r>
    </w:p>
    <w:p>
      <w:pPr>
        <w:spacing w:after="100"/>
      </w:pPr>
      <w:r>
        <w:t xml:space="preserve">El mercado acierta en que el beneficio de 2026 cae (ventas −29 % en el 1S26) y en que el riesgo político en EE. UU. y la UE es real; se equivoca, a nuestro juicio, si cree que la caída es permanente, porque el almacenamiento fuera de China sigue creciendo (+28 % en GWh en el 1S26) [4]. Para invertir hay que creer que el margen del almacenamiento se estabiliza por encima del 30 % y que ningún veto cierra EE. UU. y la UE a la vez.</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4,87 = 54,54 · 14,1x × 6,10 = 86,01 · 16,2x × 6,98 = 113,08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13,6 %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146,50 (nuestro base -41,3 %)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86,24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9,2 %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frente a 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74,99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74,99 y 95,82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74,99 CNY (límite de la regla vigente): pasaría a Comprar con la v3, sujeto a la prueba robusta.</w:t>
      </w:r>
    </w:p>
    <w:p>
      <w:pPr>
        <w:pStyle w:val="ListParagraph"/>
        <w:numPr>
          <w:ilvl w:val="0"/>
          <w:numId w:val="2"/>
        </w:numPr>
        <w:spacing w:after="60"/>
      </w:pPr>
      <w:r>
        <w:t xml:space="preserve">Beneficio del 2S26 por encima de 6.500 M (BPA 2028e ≥ 6,7): subiría el objetivo y la señal a Comprar.</w:t>
      </w:r>
    </w:p>
    <w:p>
      <w:pPr>
        <w:pStyle w:val="ListParagraph"/>
        <w:numPr>
          <w:ilvl w:val="0"/>
          <w:numId w:val="2"/>
        </w:numPr>
        <w:spacing w:after="60"/>
      </w:pPr>
      <w:r>
        <w:t xml:space="preserve">Margen bruto del almacenamiento por debajo del 30 % en el 2S26: bajaríamos el base y la señal hacia Vender.</w:t>
      </w:r>
    </w:p>
    <w:p>
      <w:pPr>
        <w:pStyle w:val="ListParagraph"/>
        <w:numPr>
          <w:ilvl w:val="0"/>
          <w:numId w:val="2"/>
        </w:numPr>
        <w:spacing w:after="60"/>
      </w:pPr>
      <w:r>
        <w:t xml:space="preserve">Veto de EE. UU. aprobado o veto europeo extendido al mercado: pasaríamos al bajista (≈ 60 CNY de valor).</w:t>
      </w:r>
    </w:p>
    <w:p>
      <w:pPr>
        <w:pStyle w:val="ListParagraph"/>
        <w:numPr>
          <w:ilvl w:val="0"/>
          <w:numId w:val="2"/>
        </w:numPr>
        <w:spacing w:after="60"/>
      </w:pPr>
      <w:r>
        <w:t xml:space="preserve">Precio por encima de 95,82 CNY: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que cae en 2026 y crece poco después (4,1 % anual), con el riesgo político dentro; el consenso de analistas, en cambio, todavía espera 13.681 M de beneficio en 2026e.</w:t>
      </w:r>
    </w:p>
    <w:p>
      <w:pPr>
        <w:keepNext/>
        <w:spacing w:after="100"/>
      </w:pPr>
      <w:r>
        <w:rPr>
          <w:b/>
          <w:bCs/>
        </w:rPr>
        <w:t xml:space="preserve">Lo que creemos nosotros.</w:t>
      </w:r>
    </w:p>
    <w:p>
      <w:pPr>
        <w:spacing w:after="100"/>
      </w:pPr>
      <w:r>
        <w:t xml:space="preserve">Más prudentes que los analistas (beneficio de 2026e de ≈ 10.800 M y BPA de 2028e de 6,10) y algo más optimistas que el precio: el valor intrínseco es de 86,24 CNY.</w:t>
      </w:r>
    </w:p>
    <w:p>
      <w:pPr>
        <w:keepNext/>
        <w:spacing w:after="100"/>
      </w:pPr>
      <w:r>
        <w:rPr>
          <w:b/>
          <w:bCs/>
        </w:rPr>
        <w:t xml:space="preserve">Por qué podemos tener razón.</w:t>
      </w:r>
    </w:p>
    <w:p>
      <w:pPr>
        <w:spacing w:after="100"/>
      </w:pPr>
      <w:r>
        <w:t xml:space="preserve">Partimos del 1S26 real y de que la promoción de plantas en China no vuelve; pero el almacenamiento fuera de China, el margen de los inversores (42,7 %) y la caja neta sostienen un beneficio de 11.000-12.500 M.</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76,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mundial</w:t>
      </w:r>
      <w:r>
        <w:t xml:space="preserve"> en inversores (25,2 % de los envíos) y n.º 2 en almacenamiento (11,9 %) [15].</w:t>
      </w:r>
    </w:p>
    <w:p>
      <w:pPr>
        <w:pStyle w:val="ListParagraph"/>
        <w:numPr>
          <w:ilvl w:val="0"/>
          <w:numId w:val="2"/>
        </w:numPr>
        <w:spacing w:after="60"/>
      </w:pPr>
      <w:r>
        <w:rPr>
          <w:b/>
        </w:rPr>
        <w:t xml:space="preserve">ROIC del 54,6 %</w:t>
      </w:r>
      <w:r>
        <w:t xml:space="preserve"> en 2025 y del 17 % aun con toda la caja en el capital.</w:t>
      </w:r>
    </w:p>
    <w:p>
      <w:pPr>
        <w:pStyle w:val="ListParagraph"/>
        <w:numPr>
          <w:ilvl w:val="0"/>
          <w:numId w:val="2"/>
        </w:numPr>
        <w:spacing w:after="60"/>
      </w:pPr>
      <w:r>
        <w:rPr>
          <w:b/>
        </w:rPr>
        <w:t xml:space="preserve">Caja neta de ≈ 27.000 M CNY</w:t>
      </w:r>
      <w:r>
        <w:t xml:space="preserve">, el 17 % de la capitalización [4].</w:t>
      </w:r>
    </w:p>
    <w:p>
      <w:pPr>
        <w:pStyle w:val="ListParagraph"/>
        <w:numPr>
          <w:ilvl w:val="0"/>
          <w:numId w:val="2"/>
        </w:numPr>
        <w:spacing w:after="60"/>
      </w:pPr>
      <w:r>
        <w:rPr>
          <w:b/>
        </w:rPr>
        <w:t xml:space="preserve">Precio barato frente a los comparables</w:t>
      </w:r>
      <w:r>
        <w:t xml:space="preserve">: EV/EBITDA de 9,1 veces frente a 16,6 [30].</w:t>
      </w:r>
    </w:p>
    <w:p>
      <w:pPr>
        <w:pStyle w:val="ListParagraph"/>
        <w:numPr>
          <w:ilvl w:val="0"/>
          <w:numId w:val="2"/>
        </w:numPr>
        <w:spacing w:after="60"/>
      </w:pPr>
      <w:r>
        <w:rPr>
          <w:b/>
        </w:rPr>
        <w:t xml:space="preserve">Margen bruto de los inversores del 42,7 %</w:t>
      </w:r>
      <w:r>
        <w:t xml:space="preserve"> en el 1S26 (+7,0 puntos) [4].</w:t>
      </w:r>
    </w:p>
    <w:p>
      <w:pPr>
        <w:pStyle w:val="Heading2"/>
      </w:pPr>
      <w:r>
        <w:t xml:space="preserve">En contra</w:t>
      </w:r>
    </w:p>
    <w:p>
      <w:pPr>
        <w:pStyle w:val="ListParagraph"/>
        <w:numPr>
          <w:ilvl w:val="0"/>
          <w:numId w:val="2"/>
        </w:numPr>
        <w:spacing w:after="60"/>
      </w:pPr>
      <w:r>
        <w:rPr>
          <w:b/>
        </w:rPr>
        <w:t xml:space="preserve">Beneficio a la baja</w:t>
      </w:r>
      <w:r>
        <w:t xml:space="preserve">: −32 % en el 1S26 y 1.580 M en el 4T25 [4, 5].</w:t>
      </w:r>
    </w:p>
    <w:p>
      <w:pPr>
        <w:pStyle w:val="ListParagraph"/>
        <w:numPr>
          <w:ilvl w:val="0"/>
          <w:numId w:val="2"/>
        </w:numPr>
        <w:spacing w:after="60"/>
      </w:pPr>
      <w:r>
        <w:rPr>
          <w:b/>
        </w:rPr>
        <w:t xml:space="preserve">Riesgo político</w:t>
      </w:r>
      <w:r>
        <w:t xml:space="preserve">: UE sin fondos para inversores chinos y proyecto de veto en EE. UU. [13, 18].</w:t>
      </w:r>
    </w:p>
    <w:p>
      <w:pPr>
        <w:pStyle w:val="ListParagraph"/>
        <w:numPr>
          <w:ilvl w:val="0"/>
          <w:numId w:val="2"/>
        </w:numPr>
        <w:spacing w:after="60"/>
      </w:pPr>
      <w:r>
        <w:rPr>
          <w:b/>
        </w:rPr>
        <w:t xml:space="preserve">Almacenamiento sin poder de precios</w:t>
      </w:r>
      <w:r>
        <w:t xml:space="preserve">: margen bruto −7,5 puntos en el 1S26 [4].</w:t>
      </w:r>
    </w:p>
    <w:p>
      <w:pPr>
        <w:pStyle w:val="ListParagraph"/>
        <w:numPr>
          <w:ilvl w:val="0"/>
          <w:numId w:val="2"/>
        </w:numPr>
        <w:spacing w:after="60"/>
      </w:pPr>
      <w:r>
        <w:rPr>
          <w:b/>
        </w:rPr>
        <w:t xml:space="preserve">Gobierno con control del fundador</w:t>
      </w:r>
      <w:r>
        <w:t xml:space="preserve"> (30,5 %), que preside y dirige [4].</w:t>
      </w:r>
    </w:p>
    <w:p>
      <w:pPr>
        <w:pStyle w:val="ListParagraph"/>
        <w:numPr>
          <w:ilvl w:val="0"/>
          <w:numId w:val="2"/>
        </w:numPr>
        <w:spacing w:after="60"/>
      </w:pPr>
      <w:r>
        <w:rPr>
          <w:b/>
        </w:rPr>
        <w:t xml:space="preserve">Rentabilidad a 12 meses del 12,2 %</w:t>
      </w:r>
      <w:r>
        <w:t xml:space="preserve">, por debajo del 15 % de la compra.</w:t>
      </w:r>
    </w:p>
    <w:p>
      <w:pPr>
        <w:pStyle w:val="Heading2"/>
      </w:pPr>
      <w:r>
        <w:t xml:space="preserve">Qué tiene que pasar para que la tesis funcione</w:t>
      </w:r>
    </w:p>
    <w:p>
      <w:pPr>
        <w:spacing w:after="100"/>
      </w:pPr>
      <w:r>
        <w:t xml:space="preserve">La tesis depende de que el beneficio toque fondo en 2026 (≈ 10.800 M) con el margen bruto del almacenamiento por encima del 30 %. La señal de que no se cumple: un 3T26 o 4T26 con ventas por debajo de las del 2T26 (15.352 M) o margen del almacenamiento bajo el 30 %, o un veto aprobado en EE. UU.</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almacenamiento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de la caída.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de almacenamiento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GWh (1S26, +28 %)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 de EE. UU. / UE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Proyecto (EE. UU.); fondos públicos (UE)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Veto aprobado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Escenario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7,1x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Cao Renxian, profesor de la Universidad Tecnológica de Hefei, fundó la empresa en 1997 y en 2003 desarrolló el primer inversor fotovoltaico chino de 10 kW con tecnología propia [19]. Empezó en almacenamiento en 2006 y abrió su primera oficina en el extranjero (Francia) en 2008 [19]. Cotiza en ChiNext desde 2011 [19]. Desde 2015 es líder mundial en envíos de inversores y en 2015 creó la filial de almacenamiento, que en 2025 ya es su primer negocio [19]. En 2025 creó la división de alimentación de centros de datos y pidió cotizar en Hong Kong; la solicitud caducó en abril de 2026 y la volvió a presentar el 24-abr-2026 [19,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Hefei Sungrow por Cao Renxian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inversor conectado a red de 10 kW con tecnología propia de China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inversor de almacenamiento (SC50)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ChiNext (300274)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almacenamiento y primer convertidor eólico de 3.300 V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inversor de 2.000 V conectado a red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bancabilidad de almacenamiento y PCS según BNEF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PowerTitan 3.0, división de centros de datos, calificación MSCI ESG AAA y primera solicitud en Hong Kong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solicitud de cotización en Hong Kong (24-abr)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Sungrow fabrica inversores fotovoltaicos (de residencial a centrales de varios MW), sistemas de almacenamiento en baterías integrados (PowerTitan para red, PowerStack para comercial), convertidores eólicos, equipos de recarga y electrolizadores de hidrógeno, y promueve plantas solares y eólicas en China [16]. Vende en más de 170 países; en 2025 el 60,7 % de las ventas fue fuera de China [16]. Tiene 19.006 empleados (diciembre de 2025) y fábricas en China, India, Tailandia y Europa, con 50 GW de capacidad de inversores fuera de China [16]. Los clientes son eléctricas, promotores de renovables y distribuidores; en China, muchos son empresas estatales [16].</w:t>
      </w:r>
    </w:p>
    <w:p>
      <w:pPr>
        <w:pStyle w:val="Heading2"/>
      </w:pPr>
      <w:r>
        <w:t xml:space="preserve">Cómo gana dinero</w:t>
      </w:r>
    </w:p>
    <w:p>
      <w:pPr>
        <w:spacing w:after="100"/>
      </w:pPr>
      <w:r>
        <w:t xml:space="preserve">Margen de producto: el bruto de 2025 fue del 34,7 % en inversores y del 36,5 % en almacenamiento, frente al 14,5 % de la promoción de plantas [16]. En almacenamiento Sungrow integra celdas compradas con su PCS, su control y su servicio: gana con el diseño y la bancabilidad, y pierde margen cuando suben las celdas o bajan los precios de los sistemas [14]. Los mercados de fuera de China dejan un margen bruto del 40,4 % frente al 18,8 % en China [4]. El negocio es de proyecto (licitaciones con entregas concentradas en el segundo semestre) y apenas tiene ingresos recurrentes, salvo operación y mantenimiento y la generación de sus plantas.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y conversión de potencia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almacenamiento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Promoción de plantas renovables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y conversión de potencia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almacenamiento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Promoción de plantas renovables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cinco primeros clientes fueron el 34,4 %, 19,8 % y 17,0 % de las ventas en 2023-2025: la concentración baja a medida que crece el negocio internacional [16]. Los contratos de almacenamiento son por proyecto, con garantías de 10-20 años. Poder de precios: el margen bruto de inversores subió de 30,9 % a 42,7 % entre 2024 y el 1S26 pese a la competencia, pero en almacenamiento no pudo trasladar la subida de las celdas (−7,5 puntos en el 1S26) [4,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de inversores (GW)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(2025); 66 en el 1S26 (76 en el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−13 %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2026 es del mercado chino (−14 GW)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de almacenamiento (GWh)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(2025); 25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+28 %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China pasó de 19 a 36 GWh en 2025 [3, 12,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almacenamiento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 (2025); 32,4 %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puntos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Celdas más caras (carbonato de litio) y competencia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inversores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 (2025); 42,7 %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internacional y menos China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fuera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 (2025); 73,4 %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cae a la mitad en el 1S26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mundial de inversores por envíos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(2024), n.º 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Frost &amp; Sullivan, en el folleto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Equipos de conversión de energía limpia que vende Sungrow: inversores fotovoltaicos y sistemas de almacenamiento en baterías integrados (con su PCS), a escala mundial. Se usa el estudio de Frost &amp; Sullivan del folleto de Hong Kong, que separa inversores (24.900 M USD en 2025) y almacenamiento (47.100 M USD), dentro de un mercado de «conversión de potencia limpia» de 100.500 M USD que añade eólica, vehículo eléctrico, hidrógeno y alimentación de centros de datos [15]. La segunda fuente es el volumen físico del mismo estudio: 682 GW de inversores enviados y 324 GWh de almacenamiento instalado en 2025 [15]. La promoción de plantas (18,6 % de las ventas de 2025) no está en este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72.000 M USD en 2025 (inversores 24.900 M y almacenamiento 47.100 M)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en inversores (cinco primeros 63,9 %); moderadamente concentrada en almacenamiento (43,3 %)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inversores + almacenamiento,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para redes con mucha solar y para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Instalaciones de baterías de 23,6 GWh (2021) a 324,1 GWh (2025); previsión de 1.164,7 GWh en 2030 (TCAC 29,2 %)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Instalación solar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170 GW (2021) a 579 GW (2025); previsión de 1.043 GW en 2030 (TCAC 12,5 %), con China frenando en 2026 tras el cambio de retribución [4,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celdas (carbonato de litio)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litio casi se duplicó en el 2S25; el margen bruto del almacenamiento de Sungrow bajó 7,5 puntos en el 1S26 [4,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Proteccionismo en EE. UU. y la 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veto de EE. UU. a inversores extranjeros (jun-2026) y veto de la UE a inversores de proveedores de alto riesgo en proyectos con fondos europeos (may-2026) [13,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de inversores viejos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reposición será ≈ 12 % de los envíos de 2030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Decenas de fabricantes chinos con exceso de capacidad; guerra de precios en almacenamiento doméstico (margen de un dígito según Sungrow)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eléctricas y promotores compran por licitación, pero el primer cliente no llega al 17 % entre los cinco primeros (17,0 % en 2025)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Celdas de batería de pocos fabricantes (CATL, EVE, Hithium); los cinco primeros proveedores son el 25,1 % de las compras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de bancabilidad y servicio mundial; pero los fabricantes de celdas integran sistemas (CATL, BYD, Tesla)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sustituto del inversor; en almacenamiento compiten otras tecnologías (bombeo, sodio), con poca cuota hoy [15].</w:t>
            </w:r>
          </w:p>
        </w:tc>
      </w:tr>
    </w:tbl>
    <w:p>
      <w:pPr>
        <w:spacing w:after="160" w:before="0"/>
      </w:pPr>
    </w:p>
    <w:p>
      <w:pPr>
        <w:pStyle w:val="Heading2"/>
      </w:pPr>
      <w:r>
        <w:t xml:space="preserve">Ciclo</w:t>
      </w:r>
    </w:p>
    <w:p>
      <w:pPr>
        <w:spacing w:after="100"/>
      </w:pPr>
      <w:r>
        <w:t xml:space="preserve">Instalación solar en China a la baja en 2026 tras el paso a precios de mercado de las renovables, precios de módulos y de sistemas de almacenamiento bajo presión y litio más caro: las ventas de Sungrow caen un 29 % en el 1S26 [4]. En 2022 el sector sufrió la escasez de chips y la subida del litio (margen bruto de Sungrow 24,5 %) y en 2023-2024 la sobrecapacidad china hundió precios de módulos, pero el almacenamiento compensó [15, 20]. Fuera de China la demanda de almacenamiento sigue creciendo (envíos de Sungrow +28 % en el 1S26) [4].</w:t>
      </w:r>
    </w:p>
    <w:p>
      <w:pPr>
        <w:pStyle w:val="Heading2"/>
      </w:pPr>
      <w:r>
        <w:t xml:space="preserve">Regulación</w:t>
      </w:r>
    </w:p>
    <w:p>
      <w:pPr>
        <w:spacing w:after="100"/>
      </w:pPr>
      <w:r>
        <w:t xml:space="preserve">EE. UU.: aranceles recíprocos de 2025 (anulados por el Tribunal Supremo), aranceles de la sección 301 y reglas de contenido extranjero en los créditos fiscales; Reuters informó en junio de 2026 de un proyecto de veto a los inversores extranjeros conectados a red, sin aprobar [13, 17]. UE: en mayo de 2026 la Comisión dejó sin fondos europeos los proyectos con inversores de proveedores de alto riesgo y abrió la puerta a un veto en el mercado con la Ley de Ciberseguridad [18]. China: desde 2025 la retribución de las renovables nuevas pasa a precio de mercado, lo que frena la instalación doméstica en 2026 [4].</w:t>
      </w:r>
    </w:p>
    <w:p>
      <w:pPr>
        <w:pStyle w:val="Heading2"/>
      </w:pPr>
      <w:r>
        <w:t xml:space="preserve">Tendencias y disrupción</w:t>
      </w:r>
    </w:p>
    <w:p>
      <w:pPr>
        <w:spacing w:after="100"/>
      </w:pPr>
      <w:r>
        <w:t xml:space="preserve">Sistemas de almacenamiento más grandes (celdas de 684 Ah en el PowerTitan 3.0) y formación de red (grid-forming) [19]; alimentación de centros de datos de IA con transformadores de estado sólido y corriente continua de 800 V, un mercado que Frost &amp; Sullivan estima en 29.100 M USD en 2030 (TCAC 32,8 %) [15]; integración vertical de los fabricantes de celdas en sistemas, que presiona a los integradores que compran celdas, como Sungrow [14,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inversores por envíos (25,2 % en 2024, por delante de Huawei con el 24,8 %) y n.º 2 en almacenamiento integrado (11,9 %, tras Tesla con el 13,3 %)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Digital Power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en inversores; no cotiza ni publica las cifras del negocio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Tesla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TSLA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almacenamiento integrado (Megapack), fabrica en EE. UU. y China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Ningbo Deye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605117.SS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híbridos y almacenamiento residencial en mercados emergentes; margen EBITDA del 30,6 % en los últimos doce meses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Ginlong (Solis)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300763.SZ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cadena; deuda neta de 6.700 M CNY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GoodWe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688390.SS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residenciales y comerciales; margen EBITDA del 5,8 %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Enphase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ENPH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Microinversores residenciales; ventas de 1.329 M USD (8.889 M CNY) en los últimos doce meses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Fluence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Integrador de almacenamiento (Siemens y AES), en pérdidas; ventas de 2.632 M USD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supervisión de plantas, sin efecto de red real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Bancabilidad: los financiadores aceptan pocas marcas; n.º 1 en el ranking de BNEF de almacenamiento y PCS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SUNGROW con valor de más de 100.000 M CNY (World Brand Lab); I+D de 4.175 M CNY en 2025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143 GW de inversores y 43 GWh de almacenamiento en 2025; margen bruto de inversores del 34,7 % frente al 5,8 % de margen EBITDA de GoodWe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con muchos competidores chinos; la escala no impide la entrada [1].</w:t>
            </w:r>
          </w:p>
        </w:tc>
      </w:tr>
    </w:tbl>
    <w:p>
      <w:pPr>
        <w:spacing w:after="160" w:before="0"/>
      </w:pPr>
    </w:p>
    <w:p>
      <w:pPr>
        <w:pStyle w:val="Heading2"/>
      </w:pPr>
      <w:r>
        <w:t xml:space="preserve">Amenazas</w:t>
      </w:r>
    </w:p>
    <w:p>
      <w:pPr>
        <w:spacing w:after="100"/>
      </w:pPr>
      <w:r>
        <w:t xml:space="preserve">La principal es política: un veto en EE. UU. o en la UE a los inversores chinos (la UE ya los excluye de los proyectos con fondos europeos) quitaría mercados de margen alto, donde Sungrow obtiene buena parte del 60,7 % de ventas exteriores [13, 17, 18]. La segunda, la integración de los fabricantes de celdas (CATL, BYD, EVE) en sistemas de almacenamiento completos: Sungrow compra las celdas y sufre cuando sube el litio [14]. Probabilidad media de que alguna de las dos recorte el margen de forma duradera.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38,5 %</w:t>
      </w:r>
      <w:r>
        <w:t xml:space="preserve">, EBITDA </w:t>
      </w:r>
      <w:r>
        <w:rPr>
          <w:b/>
          <w:bCs/>
        </w:rPr>
        <w:t xml:space="preserve">62,8 %</w:t>
      </w:r>
      <w:r>
        <w:t xml:space="preserve">, BPA </w:t>
      </w:r>
      <w:r>
        <w:rPr>
          <w:b/>
          <w:bCs/>
        </w:rPr>
        <w:t xml:space="preserve">70,6 %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24.137 M CNY en 2021 a 88.914 M en 2025 (TCAC del 38 %) [1, 7], todo orgánico: las compras de 2024-2025 son pequeñas (155 y 45 M) [1]. El motor fue el almacenamiento, de 3.138 M en 2021 a 37.287 M en 2025, que en 2025 ya pesa el 41,9 % de las ventas [2, 8]. El margen bruto subió del 22,3 % (2021) al 30,4 % (2025) por la mezcla: almacenamiento con margen bruto del 36,5 % frente al 14,5 % del negocio de promoción de plantas, que cae del 34,3 % al 18,6 % de las ventas [2]. </w:t>
      </w:r>
      <w:r>
        <w:rPr>
          <w:b/>
        </w:rPr>
        <w:t xml:space="preserve">2026 rompe la serie</w:t>
      </w:r>
      <w:r>
        <w:t xml:space="preserve">: ventas del 1S26 de 30.912 M (−29,0 %) y beneficio atribuido de 5.259 M (−32,0 %), con el beneficio sin partidas no recurrentes en 4.275 M (−43,0 %) [4]. La caída viene de tres sitios: promoción de plantas (−85 %, por el cambio de retribución de las renovables en China), almacenamiento en Oriente Medio (≈ −5.200 M por calendario de proyectos) y menos inversores en China (66 GW frente a 76 GW) [4, 12]. El margen bruto del 1S26 sube al 35,9 % por la salida del negocio de bajo margen [4]. El 4T25 ya había dado la señal: 1.580 M de beneficio, el trimestre más bajo desde 2023 [5, 14].</w:t>
      </w:r>
    </w:p>
    <w:p>
      <w:pPr>
        <w:pStyle w:val="Heading2"/>
      </w:pPr>
      <w:r>
        <w:t xml:space="preserve">Ajustes y partidas no recurrentes</w:t>
      </w:r>
    </w:p>
    <w:p>
      <w:pPr>
        <w:spacing w:after="100"/>
      </w:pPr>
      <w:r>
        <w:t xml:space="preserve">Se usan las cifras publicadas. 2023-2025 en NIIF (informe de los auditores del folleto de Hong Kong) y 2021-2022 en normas chinas (CAS); entre las dos normas la diferencia es pequeña: ventas 2025 de 88.914 M en NIIF frente a 89.184 M en CAS, y el mismo activo total y patrimonio a 31-dic-2025 [1, 5]. Partidas no recurrentes: el 1S26 lleva 669 M de ganancias de valor razonable de inversiones financieras (51 M en el 1S25) que se restan del EBITDA de los últimos doce meses (−618 M); el beneficio sin no recurrentes de 2025 fue de 13.0 mil millones aprox. frente a 13.461 publicado [4, 5]. Los deterioros de existencias (1.218 M en 2025) y de cuentas a cobrar (942 M) se repiten todos los años y no se ajustan [1]. Pagos en acciones: 462 M en 2025 (0,5 % de las ventas)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con inversores del 1-jul-2026, tras la caída por la noticia de que EE. UU. preparaba un veto a los inversores extranjeros conectados a red, la dirección dijo que la producción seguía normal, que las marcas locales tienen en torno al 10 % del mercado estadounidense y que una cadena de suministro local completa tardaría al menos cinco años [13]. Con el 1S26 (28-ago) puso el acento en el margen: margen bruto del 35,9 % (+1,6 puntos), inversores con el 42,7 % y almacenamiento con el 32,4 % (−7,5 puntos) por el encarecimiento de las celdas y la competencia; envíos de almacenamiento de 25 GWh (+28 %) con menos ingresos por la caída de Oriente Medio [4, 12]. Anunció un dividendo a cuenta de 0,64 CNY por acción (25 % del beneficio), una recompra de 500-1.000 M para incentivos y avances en la división de centros de datos (transformador de estado sólido EnerNeo ya a la venta) [12]. En el 4T25 (1-abr) había explicado que renunció a parte del almacenamiento doméstico porque ahí el margen es de un dígito [14]. La dirección no dio guía numérica de ventas ni de envíos para 2026 en las fuentes consultadas.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el activo total crece un 39 % y los ingresos un 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unos 27.000 M a 30-jun-2026 (caja y activos financieros líquidos 34.906 M frente a deuda de 7.462 M y arrendamientos de 327 M) [4]. La deuda bruta bajó de 13.800 M (2024) a 6.758 M (2025) al devolver préstamos con la caja generada [1]. El circulante comercial está financiado por proveedores: existencias de 32.153 M y cuentas a cobrar de 23.924 M frente a proveedores y pagarés de 40.474 M y anticipos de clientes de 11.656 M [4]. Las existencias subieron 4.900 M en el semestre (preparación de entregas del 2S) y son el principal riesgo de balance si los precios de las celdas bajan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22.417</w:t>
      </w:r>
      <w:r>
        <w:t xml:space="preserve">, conversión </w:t>
      </w:r>
      <w:r>
        <w:rPr>
          <w:b/>
          <w:bCs/>
        </w:rPr>
        <w:t xml:space="preserve">57 %</w:t>
      </w:r>
      <w:r>
        <w:t xml:space="preserve"> del beneficio neto; adquisiciones 200, dividendos 6.368, recompras 2.304.</w:t>
      </w:r>
    </w:p>
    <w:p>
      <w:pPr>
        <w:spacing w:after="100"/>
      </w:pPr>
      <w:r>
        <w:t xml:space="preserve">La conversión de beneficio en caja mejoró mucho: flujo de explotación de −1.639 M en 2021 y 1.210 M en 2022 (circulante en expansión) a 6.982 M, 12.068 M y 16.918 M en 2023-2025 (126 % del beneficio en 2025) [1, 7]. El capex es pequeño: 3.008 M en 2025 (3,4 % de las ventas), sobre todo fábricas fuera de China (50 GW de capacidad de inversores en el extranjero) [1, 3]. En el 1S26 el flujo de explotación fue de 3.735 M (+8,8 %) pese a la caída del beneficio [4]. Usos de la caja en 2025: dividendos 4.228 M, devolución neta de deuda 5.256 M y recompras 300 M [1]. Dividendos de 2021: estimación propia (pagos por dividendos e intereses de 319 M menos 124 M de intereses).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Rongcheng CPA (容诚会计师事务所); Rongcheng (Hong Kong) para el folleto NIIF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lleva 19 años seguidos, demasiado tiempo para la independencia, aunque los firmantes rotan (1, 1 y 4 años) [5]. Las cuentas NIIF auditadas para Hong Kong cuadran con las chinas en activo y patrimonio, lo que sube la confianza [1, 4]. Partidas a vigilar: deterioros de existencias de 1.199 M, 694 M y 1.218 M en 2023-2025 (2 % del coste de ventas) y de cuentas a cobrar de 790 M, 1.086 M y 942 M, por clientes de plantas y de almacenamiento [1]; provisiones de garantía que crecen con las ventas (5.701 M a fin de 2025, 6,4 % de las ventas) [1]. El I+D se lleva a gastos casi entero (intangibles de solo 210 M) [1]. Los pagos en acciones (462 M) son pequeños. Los indicadores del motor (Altman, Piotroski, Beneish) se leen con la caída de 2026 en mente: el Beneish no detecta nada anómalo en 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19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Rotan los socios firmantes, pero la firma es la misma desde 2007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alza con ventas a la baja (32.153 M a jun-26, +18 % en el semestre)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 si bajan los precios de las celdas o se retrasan proyectos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cuentas a cobrar recurrentes (≈ 1.000 M al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promoción de plantas en China; el negocio se reduce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297 M en 2025 (el 1 % del capital invertido medio); ha subido más de un 5 % en 0 de 4 años: sin compras. ROIC publicado 54,6 %; sin fondo de comercio, 55,3 %. Sin compras relevantes: el publicado ya es el ROIC del negocio.</w:t>
      </w:r>
    </w:p>
    <w:p>
      <w:pPr>
        <w:spacing w:after="100"/>
      </w:pPr>
      <w:r>
        <w:rPr>
          <w:b/>
          <w:bCs/>
        </w:rPr>
        <w:t xml:space="preserve">ROIC incremental</w:t>
      </w:r>
      <w:r>
        <w:t xml:space="preserve"> (variación del NOPAT sobre variación del capital invertido en el periodo): 72,8 % · </w:t>
      </w:r>
      <w:r>
        <w:rPr>
          <w:b/>
          <w:bCs/>
        </w:rPr>
        <w:t xml:space="preserve">WACC</w:t>
      </w:r>
      <w:r>
        <w:t xml:space="preserve">: 9,2 %.</w:t>
      </w:r>
    </w:p>
    <w:p>
      <w:pPr>
        <w:spacing w:after="100"/>
      </w:pPr>
      <w:r>
        <w:t xml:space="preserve">Sungrow crea mucho valor: ROIC del 54,6 % en 2025 frente a un WACC del 9,2 %, y por encima del WACC todos los años desde 2021 (21,8 %) [1, 7]. El ROIC es tan alto porque el capital invertido es pequeño: proveedores, pagarés y anticipos de clientes financian las existencias y las cuentas a cobrar, y el motor resta 33.000 M de caja. </w:t>
      </w:r>
      <w:r>
        <w:rPr>
          <w:b/>
        </w:rPr>
        <w:t xml:space="preserve">Medido de forma prudente</w:t>
      </w:r>
      <w:r>
        <w:t xml:space="preserve">, con toda la caja dentro del capital (patrimonio, minoritarios y deuda: 56.966 M en 2025), el ROIC de 2025 baja al 24,2 %, y con el NOPAT que proyectamos para 2026e (≈ 10.600 M) sobre el capital de junio de 2026 (61.031 M), al 17,4 %: aun así 8 puntos sobre el WACC [4]. El ROIC incremental histórico es del 72,8 % porque las ventas se multiplicaron por 3,7 con poco capital. Frente a los competidores, el margen EBITDA del 20,0 % (2025) está por encima de GoodWe (5,8 %) y Sineng (10,5 %), pero por debajo de Deye (30,6 %)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30.861 M y 4.045 M en activos financieros de negociación (depósitos y productos de renta fija a corto) a 30-jun-2026, frente a una deuda bancaria de unos 7.500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emitidos)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5.883 M a 30-jun-2026 (sobre todo garantías de producto: inversores con garantía mínima de cinco años y sistemas de almacenamiento) [1, 4]. Pasivos por rescate de 882 M a cierre de 2025: inversores externos en filiales (almacenamiento) con derecho a vender sus participaciones a la empresa, que se tratan como deuda en el puente [1]. Pagarés comerciales a pagar de 19.798 M (financiación de proveedores con aval bancario, habitual en China) que no son deuda financiera pero dependen de líneas bancarias [4]. Sin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Dividendo del 25 % del beneficio en dos pagos: 0,95 CNY a cuenta y 0,69 final por el ejercicio 2025 (3.367 M en total) y 0,64 a cuenta del 1S26 (1.317 M) [4, 6, 14]. Recompras para incentivos: 300 M en 2025 y un programa de 500-1.000 M aprobado en 2026 con precio máximo de 188 CNY [1, 12]. Solicitud de cotización en Hong Kong (acciones H) para financiar fábricas en el extranjero e I+D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ha invertido poco y bien: capex acumulado de 11.700 M en cinco años para un negocio que multiplicó las ventas por 3,7 [1, 7]. La caja se ha devuelto con dividendos crecientes (de 163 M en 2022 a 4.228 M en 2025) y recompras pequeñas [1]. Lo discutible es la ampliación en Hong Kong con 27.000 M de caja neta: diluye a los accionistas sin necesidad financiera, aunque da una moneda y un acceso a inversores extranjeros [2, 4]. No hay compras grandes: el crecimiento es orgánico.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 Renxian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antes profesor en la Universidad Tecnológica de Hefei. Ha llevado la empresa de 24.137 M CNY de ventas en 2021 a 88.914 M en 2025. Diputado de la Asamblea Popular Nacional y presidente de la Asociación China de la Industria Fotovoltaica [5,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Yilei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y vicepresidente sénior (fotovoltaica y almacenamiento)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2015; dirige los dos negocios principales; la remuneración más alta de 2025 (18,0 M CNY) [5,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 Shuai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2022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sénior y director científico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I+D desde 2003 [4,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Jiamao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vicepresidente sénior (ventas mundiales)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las ventas internacionales, que pasaron del 46,7 % al 60,7 % de las ventas en 2025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Xucheng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(promoción de plantas)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negocio de promoción de plantas, el que más cae en 2026 [22].</w:t>
            </w:r>
          </w:p>
        </w:tc>
      </w:tr>
    </w:tbl>
    <w:p>
      <w:pPr>
        <w:spacing w:after="160" w:before="0"/>
      </w:pPr>
    </w:p>
    <w:p>
      <w:pPr>
        <w:spacing w:after="100"/>
      </w:pPr>
      <w:r>
        <w:t xml:space="preserve">Equipo estable y de casa: el fundador preside y dirige desde hace casi tres décadas, y los responsables de I+D, ventas y producción llevan 15-20 años en la empresa [22]. No hay cambios en la cúpula en 24 meses. La credibilidad no se puede medir con guías numéricas porque la empresa no las publica [5]. Plan de sucesión: Gu Yilei, vicepresidente del consejo con los dos negocios principales, es el candidato natural, pero no hay plan público [22].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 Renxian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Yilei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Xucheng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Jiamao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 Guang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Mingfa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Lei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 Renxian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física; con su cónyuge Su Wen controla el 30,63 %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21,99 M acciones pignoradas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(inversores extranjeros por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ómnibus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 M acciones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Life Insurance (producto tradicional)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−0,34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Zheng Guibiao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−0,90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Kylin Asia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−0,65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Wei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1,0 M pignoradas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Abu Dhabi Investment Authority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+8,05 M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15,73 M acciones a 30-jun-2026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cobró 4,08 M CNY en 2025, menos que su vicepresidente (18,0 M) y que el responsable de ventas (13,6 M): el fundador se paga sobre todo con su 30,5 % [5]. Los consejeros y la alta dirección sumaron 65,6 M CNY [5]. El variable de los no independientes sigue un plan anual de evaluación que no publica métricas ni pesos; los planes de acciones para empleados (el de 2026 para hasta 147 personas, con 1.000 M de fondo) se financian con recompras [5, 25]. No consta cláusula de recuperación.</w:t>
      </w:r>
    </w:p>
    <w:p>
      <w:pPr>
        <w:pStyle w:val="Heading2"/>
      </w:pPr>
      <w:r>
        <w:t xml:space="preserve">Operaciones vinculadas, estructura de control y defensas</w:t>
      </w:r>
    </w:p>
    <w:p>
      <w:pPr>
        <w:spacing w:after="100"/>
      </w:pPr>
      <w:r>
        <w:t xml:space="preserve">Cao Renxian y su cónyuge controlan el 30,63 % y deciden de hecho el consejo; Cao preside y dirige a la vez [5, 23]. No hay clases de acciones con voto distinto [22]. El consejo tiene cinco ejecutivos y tres independientes (cuatro tras la cotización en Hong Kong): la mayoría es de la casa [22]. Pignoración pequeña (22 M de 631 M acciones de Cao) [4]. Compromiso de no competencia del fundador desde 2011 [23]. Las operaciones vinculadas del folleto no son relevantes [22].</w:t>
      </w:r>
    </w:p>
    <w:p>
      <w:pPr>
        <w:pStyle w:val="Heading2"/>
      </w:pPr>
      <w:r>
        <w:t xml:space="preserve">Señales de alerta</w:t>
      </w:r>
    </w:p>
    <w:p>
      <w:pPr>
        <w:pStyle w:val="ListParagraph"/>
        <w:numPr>
          <w:ilvl w:val="0"/>
          <w:numId w:val="2"/>
        </w:numPr>
        <w:spacing w:after="60"/>
      </w:pPr>
      <w:r>
        <w:t xml:space="preserve">Presidente y director general en la misma persona, que además es el accionista de control (30,46 %) [4, 5].</w:t>
      </w:r>
    </w:p>
    <w:p>
      <w:pPr>
        <w:pStyle w:val="ListParagraph"/>
        <w:numPr>
          <w:ilvl w:val="0"/>
          <w:numId w:val="2"/>
        </w:numPr>
        <w:spacing w:after="60"/>
      </w:pPr>
      <w:r>
        <w:t xml:space="preserve">Cuatro altos directivos (Gu Yilei, Wu Jiamao, Deng Dejun y Wang Lei) anunciaron en julio de 2025 ventas de hasta 424.900 acciones por necesidades personales y terminaron el plan antes de tiempo en septiembre de 2025 «para evitar operaciones a corto plazo»; cantidad pequeña (0,02 % del capital) [24].</w:t>
      </w:r>
    </w:p>
    <w:p>
      <w:pPr>
        <w:pStyle w:val="ListParagraph"/>
        <w:numPr>
          <w:ilvl w:val="0"/>
          <w:numId w:val="2"/>
        </w:numPr>
        <w:spacing w:after="60"/>
      </w:pPr>
      <w:r>
        <w:t xml:space="preserve">Ampliación de capital en Hong Kong pendiente (la solicitud del 24-abr-2026 caduca a los seis meses si no se aprueba): dilución sin necesidad financiera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Sungrow no publica guía de ventas ni de beneficio [4]. Lo más parecido: dividendo del 25 % del beneficio (a cuenta del 1S26: 0,64 CNY) y recompra de 500-1.000 M para incentivos [4]. La dirección habla de cartera de pedidos de almacenamiento «llena» para el 2S26 según el informe de Kaiyuan, sin cifras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parte de las estimaciones son anteriores al 1S26)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77,00 – 230,72</w:t>
            </w:r>
          </w:p>
        </w:tc>
      </w:tr>
    </w:tbl>
    <w:p>
      <w:pPr>
        <w:spacing w:after="160" w:before="0"/>
      </w:pPr>
    </w:p>
    <w:p>
      <w:pPr>
        <w:pStyle w:val="Heading2"/>
      </w:pPr>
      <w:r>
        <w:t xml:space="preserve">Revisiones de estimaciones</w:t>
      </w:r>
    </w:p>
    <w:p>
      <w:pPr>
        <w:spacing w:after="100"/>
      </w:pPr>
      <w:r>
        <w:t xml:space="preserve">Las estimaciones van a la baja desde abril: Nomura bajó a Neutral con objetivo de 120 CNY (desde 230) el 28-abr tras el 4T25; Jefferies recortó de 236,35 a 201,13 CNY el 1-sep tras el 1S26; Kaiyuan rebajó el beneficio de 2026-2028 un 16-19 % (de 15.473/19.347/23.084 M a 12.952/16.199/18.701 M) [28, 29]. El consenso de MarketScreener (ventas 2026e de 90.823 M, beneficio de 13.681 M) no recoge del todo la caída del 1S26: con 30.912 M de ventas en el semestre, llegar a 90.823 M exigiría 59.911 M en el 2S, un 31 % más que el 2S25 [4, 27].</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un 137,2 % en 2025 con el entusiasmo por el almacenamiento y los centros de datos, hasta el máximo de 209,88 CNY del 6-nov-2025, y en 2026 ha caído un 54,5 % (CSI 300: −8,6 %) hasta 76,86 CNY, a un 1 % del mínimo de 52 semanas [26]. La caída tiene tres escalones: el 4T25 decepcionante (−10,8 % el 1-abr), la noticia de un posible veto de EE. UU. a los inversores extranjeros (−13,9 % el 1-jul) y el semestre (ventas −29 %) a finales de agosto [12, 13, 14]. La beta mensual de 5 años frente al CSI 300 es 1,31 y la volatilidad de un año, del 58,3 %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 -28,8 % / -37,9 % / -50,2 %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-62,6 % / +1,0 %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10,8 % el 1-abr tras las cuentas de 2025: beneficio del 4T25 de 1.580 M, el más bajo desde 2023, y almacenamiento doméstico con margen de un dígito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42,1 % en el mes hasta el 28-may, con el rebote del almacenamiento (+12 % el 15-may) y la división de centros de datos de IA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36,3 % en el mes hasta el 21-jul: Reuters informó el 30-jun de un proyecto de veto de EE. UU. a los inversores extranjeros conectados a red (−13,9 % el 1-jul, −6,6 % el 2-jul); la empresa dijo que la producción era normal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12,2 % el 27-ago (víspera del semestral, sin causa confirmada en las fuentes) y del 6,3 % el 31-ago tras publicar ventas −29 % y beneficio −32 % en el 1S26 [12,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11,7 % en el último mes hasta mínimos de 52 semanas, sin noticia propia de la empresa en las fuentes revisadas; recortes de objetivos de los analistas (Jefferies, Kaiyuan) y espera del 3T26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Nomura baja a Neutral y recorta el objetivo de 230 a 120 CNY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deja sin fondos europeos los proyectos con inversores de proveedores de alto riesgo (Huawei y Sungrow, los más afectados) y apunta a un posible veto con la Ley de Ciberseguridad; decisiones de exención caso a caso hasta el 1-nov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la Administración de EE. UU. prepara un veto a los inversores extranjeros conectados a red; sigue sin aprobarse ni tener fecha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Cao Renxian propone una recompra de 500-1.000 M CNY (precio máximo 188 CNY) para incentivos [12,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Kaiyuan rebaja el beneficio de 2026-2028e un 16-19 % y mantiene Comprar; Jefferies recorta el objetivo de 236,35 a 201,13 CNY el 1-sep [28,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solicitud de cotización de acciones H en Hong Kong (la primera caducó en abril); tamaño sin publicar; la solicitud caduca a los seis meses si no se aprueba [2,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3T26 previsto para el 30-oct-2026 según el calendario de CNINFO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2026 se explica por el negocio (ventas −29 % en el 1S26, margen del almacenamiento −7,5 puntos) y por el riesgo político en EE. UU. y la UE, y las dos cosas están en la tesis y en el bajista: no hay una causa ajena al análisis que obligue a descartar. Tampoco hay un hecho pendiente con fecha que pueda mover el precio más de un 5 %: la emisión de acciones H no tiene tamaño ni calendario y la recompra empuja en sentido contrario. Los resultados del 30-oct no retrasan (regla 11). Los avisos P4 y P5 (mínimos de 52 semanas, 43 % bajo la media de 200) no cambian la señal; la causa está explicada arriba.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PER de los últimos doce meses es de 14,4 veces (76,86 ÷ 5,34), cerca de los mínimos de 2023-2024 (13,7 y 13,9 veces al cierre) y lejos del de 2021-2022 (135 y 46 veces, burbuja solar) [1, 26]. El PER adelantado al cierre de cada año (precio ÷ BPA del año siguiente) da una mediana de 14,7 veces en 2022-2025: el mercado nunca ha pagado más de 18 veces el beneficio siguiente salvo en 2025, cuando descontó una subida que no llegó (171,04 ÷ 5,25 = 32,6 veces). Hoy el precio pide 13,4 veces nuestro BPA de 2027e: en línea con la historia y con caja neta del 17 % de la capitalización.</w:t>
      </w:r>
    </w:p>
    <w:p>
      <w:pPr>
        <w:pStyle w:val="Heading1"/>
      </w:pPr>
      <w:r>
        <w:t xml:space="preserve">18. Comparables cotizados</w:t>
      </w:r>
    </w:p>
    <w:p>
      <w:pPr>
        <w:pStyle w:val="Confianza"/>
        <w:spacing w:after="100"/>
      </w:pPr>
      <w:r>
        <w:t xml:space="preserve">Confianza: Media</w:t>
      </w:r>
    </w:p>
    <w:p>
      <w:pPr>
        <w:spacing w:after="100"/>
      </w:pPr>
      <w:r>
        <w:t xml:space="preserve">Fabricantes cotizados de inversores (Deye, Ginlong, GoodWe, Sineng, Enphase), de alimentación y almacenamiento (Kehua), integradores de almacenamiento (Fluence) y el primer fabricante de celdas, que también vende sistemas (CATL). Huawei y Tesla Energy, los dos grandes rivales, no cotizan por separado. SolarEdge y SMA quedan fuera: SolarEdge en pérdidas (PER sin sentido) y SMA sin capitalización ni deuda fiables en la fuente del día. Solo cuatro tienen PER de los próximos doce meses (Deye, CATL, Enphase y, sin él, el resto); los chinos pequeños no tienen consenso gratuito.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Sungrow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Ningbo Deye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Ginlong (Solis)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GoodWe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Sineng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Kehua Data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Enphase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Fluence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16,6x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12,5x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2,2x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Sungrow cotiza con descuento frente a sus comparables: EV/EBITDA de los últimos doce meses de 9,1 veces frente a una mediana de 16,6 y PER adelantado de 10,3 veces (consenso) frente a 12,5 [30]. El descuento solo se justifica a medias: tiene más escala, más caja neta y mejor margen que los fabricantes chinos pequeños (GoodWe, Sineng), pero también más exposición a EE. UU. y a la UE que Deye o Ginlong, y un beneficio a la baja; además, el EBITDA de los comparables chinos es del año anterior con ventas al alza (Deye) y el suyo cae. Usaríamos el PER (la caja neta es grande y el EV/EBITDA la penaliza menos) con la mediana de 12,5 veces de Deye, CATL y Enphase; la valoración por comparables da 93,38 CNY.</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(−23,5 %) parte del 1S26 real (30.912 M, −29 %) y de un 2S de unos 37.100 M, un 19 % por debajo del 2S25 por la promoción de plantas en China (−85 %) y Oriente Medio, con más envíos de almacenamiento fuera de China [4, 12]. Después, +12 % en 2027e y +10 % en 2028e (envíos de almacenamiento +15 % al año con precios −3/−4 %), muy por debajo del mercado de almacenamiento (TCAC 29,2 % 2025-2030) porque suponemos pérdida de cuota y precios a la baja [15]. Converge al 2,5 % en 2033e. El consenso de MarketScreener (90.823 M en 2026e) está desfasado [27].</w:t>
      </w:r>
    </w:p>
    <w:p>
      <w:pPr>
        <w:keepNext/>
        <w:spacing w:after="100"/>
      </w:pPr>
      <w:r>
        <w:rPr>
          <w:b/>
          <w:bCs/>
        </w:rPr>
        <w:t xml:space="preserve">Márgenes.</w:t>
      </w:r>
    </w:p>
    <w:p>
      <w:pPr>
        <w:spacing w:after="100"/>
      </w:pPr>
      <w:r>
        <w:t xml:space="preserve">Margen EBITDA del 20,5 % en 2026e, el recurrente del 1S26 (≈ 20,6 % sin las ganancias de valor razonable): sube frente al 20,0 % de 2025 por la salida de la promoción de plantas (margen bruto 14,5 %) pese a que el almacenamiento perdió 7,5 puntos de margen bruto [2, 4]. Baja medio punto al año hasta el 17,5 % en 2032e por la competencia china en almacenamiento y la integración de los fabricantes de celdas: es el margen de 2023 (17,2 %) [1].</w:t>
      </w:r>
    </w:p>
    <w:p>
      <w:pPr>
        <w:keepNext/>
        <w:spacing w:after="100"/>
      </w:pPr>
      <w:r>
        <w:rPr>
          <w:b/>
          <w:bCs/>
        </w:rPr>
        <w:t xml:space="preserve">Inversión y circulante.</w:t>
      </w:r>
    </w:p>
    <w:p>
      <w:pPr>
        <w:spacing w:after="100"/>
      </w:pPr>
      <w:r>
        <w:t xml:space="preserve">Capex del 3,0 % de las ventas en 2026-2027e (fábricas fuera de China: 3.008 M en 2025, 3,4 %) que baja al 2,2 %; amortización del 1,9-2,0 % (1,35 % en 2025, sube con las fábricas nuevas) [1]. Circulante comercial del 9 % de las ventas: 9,0 % en 2025 con existencias, clientes y activos de contrato menos proveedores y anticipos; 7,1 % a junio de 2026 [1, 4]. Tipo impositivo del 16 % (16,8 % en 2025, empresas de alta tecnología al 15 %) [1].</w:t>
      </w:r>
    </w:p>
    <w:p>
      <w:pPr>
        <w:keepNext/>
        <w:spacing w:after="100"/>
      </w:pPr>
      <w:r>
        <w:rPr>
          <w:b/>
          <w:bCs/>
        </w:rPr>
        <w:t xml:space="preserve">Coste del capital.</w:t>
      </w:r>
    </w:p>
    <w:p>
      <w:pPr>
        <w:spacing w:after="100"/>
      </w:pPr>
      <w:r>
        <w:t xml:space="preserve">Tasa libre del 1,66 % (bono chino a 10 años, ChinaBond, 15-oct-2026) en CNY, la divisa de los flujos [31]. Beta 1,25: entre la mensual de 5 años (1,31) y la ajustada (1,21) frente al ETF del CSI 300; la semanal de 2 años (1,86) recoge la burbuja y caída de 2025-2026 [26]. Prima de mercado del 5,5 % y prima adicional del 1,0 % por riesgo de China (país y acceso a mercados) [33]. Coste de la deuda del 3,4 % y peso del 5 % (caja neta). WACC del 9,2 %. Con la prima implícita del mercado (4,2 %) el WACC baja al 7,66 % y el valor sube a 102,3 CNY.</w:t>
      </w:r>
    </w:p>
    <w:p>
      <w:pPr>
        <w:keepNext/>
        <w:spacing w:after="100"/>
      </w:pPr>
      <w:r>
        <w:rPr>
          <w:b/>
          <w:bCs/>
        </w:rPr>
        <w:t xml:space="preserve">Valor terminal.</w:t>
      </w:r>
    </w:p>
    <w:p>
      <w:pPr>
        <w:spacing w:after="100"/>
      </w:pPr>
      <w:r>
        <w:t xml:space="preserve">Gordon con crecimiento del 1,0 % en CNY: por debajo de la tasa libre menos medio punto (1,16 %) con la inflación china cerca del 0-1 %. El valor terminal es el 58 % del valor. Implica un múltiplo de salida bajo para un líder mundial, coherente con un sector cíclico y con competencia china; el múltiplo de salida de 9 veces el EBITDA queda como referencia.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 (reinvierte el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(histórico: 72,8 %)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frente al 2,9 %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5.416 M, el 5 % del NOPAT, con un capex bruto medio del 2,6 % de las ventas). En un negocio de activos ligeros, el crecimiento medio del 2,9 %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inversores −13 % en el 1S26 (66 GW frente a 76) y promoción de plantas −85 %; almacenamiento +28 % en GWh con menos precio [4, 12]. «Otros» recoge la caída de la promoción de plantas.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Almacenamiento fuera de China (pedidos de Europa, Australia y Latinoamérica) y reposición de inversores; precios −4 %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almacenamiento +29 % al año según Frost &amp; Sullivan; suponemos la mitad en volumen para Sungrow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por debajo del mercado; precios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del PIB nominal.</w:t>
            </w:r>
          </w:p>
        </w:tc>
      </w:tr>
    </w:tbl>
    <w:p>
      <w:pPr>
        <w:spacing w:after="160" w:before="0"/>
      </w:pPr>
    </w:p>
    <w:p>
      <w:pPr>
        <w:spacing w:after="100"/>
      </w:pPr>
      <w:r>
        <w:t xml:space="preserve">Sí: la calidad sostiene el crecimiento que proyectamos, que es modesto (2,9 % medio con el año de caída; 6,7 % en 2027-2033e). El crecimiento financiable con la reinversión bruta es del 10,7 % y la reinversión neta apenas es el 5 % del NOPAT: no hace falta capital [calc]. Prueba de cuota a mano (el motor no la hace porque la cuota publicada, 25,2 %, es solo de inversores por volumen): las ventas de inversores y almacenamiento de 2025 (68.423 M CNY) son ≈ 13 % de un mercado de 72.000 M USD; en 2030e, con unas ventas de inversores y almacenamiento de ≈ 81.500 M, la cuota bajaría al ≈ 6 % de un mercado de 193.300 M USD, es decir, suponemos que pierde cuota [2, 15]. El riesgo no es la financiación sino el precio: el poder de precios en almacenamiento es débil (−7,5 puntos de margen bruto en el 1S26) [4].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(base: 6,7 %)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 (base: 17,5 %)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9,2 %)</w:t>
            </w:r>
          </w:p>
        </w:tc>
      </w:tr>
    </w:tbl>
    <w:p>
      <w:pPr>
        <w:spacing w:after="160" w:before="0"/>
      </w:pPr>
    </w:p>
    <w:p>
      <w:pPr>
        <w:spacing w:after="100"/>
      </w:pPr>
      <w:r>
        <w:t xml:space="preserve">El DCF da 85,15 CNY por acción (+10,8 %), con el valor terminal en el 58 % y un WACC del 9,2 %. El precio de 76,86 CNY descuenta un crecimiento del 4,1 % anual en 2027-2033e frente al 6,7 % de nuestro base, con un margen del 15,8 % frente al 17,5 %; dicho de otro modo, el precio supone una rentabilidad del 10,2 % anual, por encima del WACC. No es exigente: pide menos crecimiento que el mercado de almacenamiento (29 % al año) y un margen inferior al de 2023. Pero tampoco es una ganga obvia, porque la caída de 2026 todavía no ha tocado fondo y nuestro base ya recorta mucho el consenso. Con la prima de riesgo que hoy exige el mercado (4,2 %), el valor sube a 102,3 CNY: la diferencia entre las dos cifras es de tasa de descuento, no de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aprueba el veto a los inversores extranjeros y la UE lo amplía al mercado; el litio sigue caro y la guerra de precios en almacenamiento baja el margen EBITDA al 15-17 %. Las ventas crecen un 8 % en 2027e y un 6 % en 2028e. Ya pasó en 2022 (margen bruto 24,5 %) [7].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fondo en 2026e (≈ 68.000 M) y vuelven a crecer al 10-12 % con el almacenamiento fuera de China; el margen EBITDA baja despacio del 20,5 %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litio baja, el margen del almacenamiento vuelve al 36 % de 2025 y la alimentación de centros de datos empieza a vender: ventas +15 % y +13 % en 2027-2028e con margen EBITDA del 21-22 %.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76,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83,77 CNY (+9,0 %).</w:t>
      </w:r>
    </w:p>
    <w:p>
      <w:pPr>
        <w:spacing w:after="100"/>
      </w:pPr>
      <w:r>
        <w:t xml:space="preserve">La asimetría es de 1,67 veces: el alcista gana un 35,9 % y el bajista pierde un 21,5 % sobre el precio. Compensa poco a 12 meses (la rentabilidad ponderada a 12 meses es del 12,2 %, por debajo del 15 %), porque el bajista es verosímil: los dos vetos ya están en marcha y el margen del almacenamiento ya cayó en el 1S26.</w:t>
      </w:r>
    </w:p>
    <w:p>
      <w:pPr>
        <w:pStyle w:val="Heading1"/>
      </w:pPr>
      <w:r>
        <w:t xml:space="preserve">22. Suma de partes</w:t>
      </w:r>
    </w:p>
    <w:p>
      <w:pPr>
        <w:pStyle w:val="Confianza"/>
        <w:spacing w:after="100"/>
      </w:pPr>
      <w:r>
        <w:t xml:space="preserve">Confianza: Media</w:t>
      </w:r>
    </w:p>
    <w:p>
      <w:pPr>
        <w:spacing w:after="100"/>
      </w:pPr>
      <w:r>
        <w:t xml:space="preserve">No aplica: inversores y almacenamiento comparten I+D, electrónica de potencia, clientes y red comercial, y la empresa no publica resultado por segmento (solo margen bruto). La promoción de plantas pesa cada vez menos (4 % de las ventas del 1S26) [4].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76,8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86,24 CNY (+12,2 % sobre 76,86).</w:t>
      </w:r>
    </w:p>
    <w:p>
      <w:pPr>
        <w:spacing w:after="100"/>
      </w:pPr>
      <w:r>
        <w:t xml:space="preserve">Pesos: DCF 40 %, escenarios 40 % y comparables 20 %; sin transacciones (no hay operaciones comparables con múltiplo publicado). El DCF es el método más fiable para una empresa con caja neta y beneficio cíclico, y los escenarios recogen el riesgo político. Los comparables dan más (93,38 CNY) porque los chinos pequeños cotizan a 15-18 veces un EBITDA que crece; los métodos están entre 83,77 y 93,38 CNY, una dispersión baja. El valor intrínseco ponderado es de 86,24 CNY (+12,2 %).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(13.4x) a mitad de camino hacia la mediana de 5 años (14.7x)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r>
    </w:tbl>
    <w:p>
      <w:pPr>
        <w:spacing w:after="160" w:before="0"/>
      </w:pPr>
    </w:p>
    <w:p>
      <w:pPr>
        <w:spacing w:after="100"/>
      </w:pPr>
      <w:r>
        <w:rPr>
          <w:b/>
          <w:bCs/>
        </w:rPr>
        <w:t xml:space="preserve">Objetivo a 12 meses (ponderado):</w:t>
      </w:r>
      <w:r>
        <w:t xml:space="preserve"> 84,91 CNY · rentabilidad +12,2 % (base +13,6 %) · señal Mantener.</w:t>
      </w:r>
    </w:p>
    <w:p>
      <w:pPr>
        <w:spacing w:after="100"/>
      </w:pPr>
      <w:r>
        <w:t xml:space="preserve">Para comparar, con la regla v2 (historia al cierre, mismo precio): 11,4x / 13,4x / 17,5x, 12,7 %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(5,72) queda un 26 % por debajo del consenso (7,70) y el de 2028e (6,10), un 30 % por debajo (8,69) [27]. La diferencia es de ventas: el consenso espera 90.823 M en 2026e y 121.253 M en 2028e; nosotros, 68.019 M y 83.799 M, porque partimos del 1S26 real (−29 %) y de que la promoción de plantas en China no vuelve. En márgenes coincidimos (EBITDA ≈ 18-20 %). El objetivo medio de los analistas (146,50 CNY) queda fuera de nuestro rango (54,54-113,08) y viene de estimaciones en buena parte anteriores al semestre; los que ya lo recogen recortan (Kaiyuan, Jefferies, Nomura) [28, 29].</w:t>
      </w:r>
    </w:p>
    <w:p>
      <w:pPr>
        <w:keepNext/>
        <w:spacing w:after="100"/>
      </w:pPr>
      <w:r>
        <w:rPr>
          <w:b/>
          <w:bCs/>
        </w:rPr>
        <w:t xml:space="preserve">Del valor intrínseco al objetivo a 12 meses.</w:t>
      </w:r>
    </w:p>
    <w:p>
      <w:pPr>
        <w:spacing w:after="100"/>
      </w:pPr>
      <w:r>
        <w:t xml:space="preserve">El objetivo a 12 meses (84,91 CNY) y el valor intrínseco (86,24 CNY) casi coinciden: no hay una tesis a varios años escondida, el precio está algo por debajo de lo que vale con un beneficio que tarda en volver. Para que la rentabilidad a 12 meses pase del 15 % haría falta ver en el 3T26 (30-oct) y el 4T26 que el beneficio del 2S supera los 5.500 M que suponemos, o comprar por debajo de 74,99 CNY.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del 2S: si las ventas vuelven a crecer frente al 2T26 (15.352 M) y el margen bruto aguanta por encima del 35 %, confirma el suelo.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Exenciones de la UE para proyectos con inversores de proveedores de alto riesgo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negocio europeo con fondos públicos pierde Sungrow.</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(o nueva caducidad) de la cotización de acciones H en Hong Kong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moderada; da acceso a inversores extranjeros y una línea comprable para particulares.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el veto a los inversores extranjeros conectados a red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veto aprobado es el bajista (≈ −20 % sobre el valor); su abandono quitaría un descuento.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2026e frente a nuestros ≈ 10.800 M; dividendo del 25 %.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 de la recompra de 500-1.000 M (precio máximo 188 CNY)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Apoyo pequeño al precio (≈ 0,6 % de la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Veto o arancel en EE. UU. a inversores y almacenamiento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 arancelario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fuera de China (50 GW de inversores) y peso de EE. UU. pequeño según la empresa; mercados alternativos (Europa, Oriente Medio, Australia, Latinoamérica).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Publicación del veto o de aranceles de la sección 301 sobre sistemas de almacenamiento.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Veto de la UE a inversores de proveedores de alto riesgo, ampliado del dinero público al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ciberseguridad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y datos en Europa; posible separación del control remoto.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la Comisión con la Ley de Ciberseguridad; decisiones del 1-nov.</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almacenamiento y celdas más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 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−2,5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Celdas a medida (684 Ah) y escala; renunció al almacenamiento doméstico de margen de un dígito.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almacenamiento por debajo del 30 %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solar: caída de la instalación en China y fin del negocio de promoción de plantas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en el base (promoción −85 % en el 1S26); ventas exteriores del 73 %.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Instalación solar china de 2027 por debajo de la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los fabricantes de celdas (CATL, BYD, EVE) en sistemas completos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Bancabilidad n.º 1 de BNEF y PCS propio.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licitaciones de almacenamiento de red fuera de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cuentas a cobrar (56.000 M a junio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 27.000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existencias por encima de 1.500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 el 30,5 % que preside y dirige; consejo con mayoría ejecutiva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dividendo del 25 %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o ventas del fundador.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yuan se ha apreciado frente al euro y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a plazo (ganancias de 255 M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cambio como las de 368 M de gastos financieros del 1S26.</w:t>
            </w:r>
          </w:p>
        </w:tc>
      </w:tr>
    </w:tbl>
    <w:p>
      <w:pPr>
        <w:spacing w:after="160" w:before="0"/>
      </w:pPr>
    </w:p>
    <w:p>
      <w:pPr>
        <w:pStyle w:val="Heading2"/>
      </w:pPr>
      <w:r>
        <w:t xml:space="preserve">Pre-mortem</w:t>
      </w:r>
    </w:p>
    <w:p>
      <w:pPr>
        <w:spacing w:after="100"/>
      </w:pPr>
      <w:r>
        <w:t xml:space="preserve">Octubre de 2029: la acción ha perdido un 40 %. En 2027 EE. UU. aprobó el veto a los inversores conectados a red con componentes chinos y amplió los aranceles a los sistemas de almacenamiento; la UE, tras las exenciones de 2026, llevó el veto al mercado con la Ley de Ciberseguridad en 2028. Sungrow perdió la parte de margen más alto de su negocio exterior. A la vez, CATL, BYD y Hithium, con celdas propias, vendieron sistemas completos más baratos fuera de China, y el margen bruto del almacenamiento bajó del 32 % al 22 %. Las ventas de 2028 se quedaron en 70.000 M y el beneficio en 7.000 M (BPA ≈ 3,4); el mercado le dio 12 veces. Las señales estaban en el 2S26: margen del almacenamiento por debajo del 30 %, pérdida de licitaciones en Europa y Australia y existencias al alza.</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Oportunidad · </w:t>
      </w:r>
      <w:r>
        <w:rPr>
          <w:b/>
          <w:bCs/>
        </w:rPr>
        <w:t xml:space="preserve">Efecto en valor (3-5 años):</w:t>
      </w:r>
      <w:r>
        <w:t xml:space="preserve"> +5 %</w:t>
      </w:r>
    </w:p>
    <w:p>
      <w:pPr>
        <w:spacing w:after="100"/>
      </w:pPr>
      <w:r>
        <w:t xml:space="preserve">La IA no sustituye lo que vende Sungrow (electrónica de potencia y baterías), y el diseño y la operación de plantas con IA es una mejora de costes. Es sobre todo demanda: los centros de datos de IA necesitan electricidad, almacenamiento y alimentación en corriente continua de alta tensión, y Sungrow creó en 2025 una división para eso; ya vende el transformador de estado sólido EnerNeo y entregó en pequeños lotes productos de 800 V [12]. Frost &amp; Sullivan estima ese mercado en 29.100 M USD en 2030 [15]. No lo metemos en el base; en el alcista suma algo. Señal: pedidos de alimentación de centros de datos con importe publicado.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seguridad de los sistemas de almacenamiento (incendios), la ciberseguridad de los inversores conectados a red y la cadena de suministro. La ciberseguridad ya tiene efecto en ventas: la UE excluye los inversores de proveedores de alto riesgo de los proyectos con fondos europeos [18]. En seguridad, Sungrow hizo en 2024 la primera prueba de combustión a gran escala de un sistema de almacenamiento [16]. Las provisiones de garantía (5.883 M CNY) miden el riesgo de calidad [4].</w:t>
      </w:r>
    </w:p>
    <w:p>
      <w:pPr>
        <w:pStyle w:val="Heading2"/>
      </w:pPr>
      <w:r>
        <w:t xml:space="preserve">Controversias</w:t>
      </w:r>
    </w:p>
    <w:p>
      <w:pPr>
        <w:spacing w:after="100"/>
      </w:pPr>
      <w:r>
        <w:t xml:space="preserve">No se han encontrado sanciones ni litigios relevantes contra la empresa en los últimos tres años en las fuentes revisadas (folleto de Hong Kong, informes anuales). La exclusión de la UE y el proyecto de veto de EE. UU. son medidas sobre los proveedores chinos en general, no sanciones a Sungrow [13, 17,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almacenamiento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del almacenamiento tiene la cartera de pedidos del 2S26 y de 2027 con el litio actual, y qué parte del contrato traslada el precio de las celdas?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7,5 puntos en el 1S26 y decide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ventas y del margen bruto viene de EE. UU. (inversores y almacenamiento) y desde qué fábricas?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medir el efecto del veto; la empresa solo dice que el peso es pequeño.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proyectos con fondos europeos tenía Sungrow en cartera al 15-may-2026 y cuántos se han quedado sin exención?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UE es un mercado de margen alto.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H piensa emitir y a qué descuento sobre la A, con 27.000 M de caja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y uso del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subieron las existencias a 32.153 M (+18 %) con las ventas a la baja, y qué parte son celdas?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deterioro si bajan las celdas.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Oriente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 5.200 M en Oriente Medio es de calendario de entregas o de pedidos perdidos?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si 2027e recupera esas ventas.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23 controles correctos y 4 explicados. Fuentes: 35 (18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39 % y los ingresos un 8 %: si hubo una compra cerca del cierre, decláralo en financieros.cambios_perimetro y explícalo. Explicación: No hubo compras relevantes (155 M en 2024): el activo crece un 39 % por la caja invertida en activos financieros (de 2.072 M a 10.165 M), las existencias (+7.586 M) y las cuentas a cobrar (+6.695 M)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-1.912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-17,6 % frente al consenso: justifica la diferencia en el DCF. Explicación: El consenso de MarketScreener no recoge del todo el 1S26 (ventas de 2026e de 90.823 M frente a 30.912 M en el semestre); nuestra proyección parte del 1S26 real y de un 2S un 19 % por debajo del 2S25 [4, 27]. Kaiyuan, ya con el 1S26, espera un beneficio de 2026e de 12.952 M, un 20 % sobre el nuestro [29].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-21,2 % frente al consenso: justifica la diferencia en el DCF. Explicación: El consenso de MarketScreener no recoge del todo el 1S26 (ventas de 2026e de 90.823 M frente a 30.912 M en el semestre); nuestra proyección parte del 1S26 real y de un 2S un 19 % por debajo del 2S25 [4, 27]. Kaiyuan, ya con el 1S26, espera un beneficio de 2026e de 12.952 M, un 20 % sobre el nuestro [29].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-25,9 % frente al consenso: justifica la diferencia en el DCF. Explicación: El consenso de MarketScreener no recoge del todo el 1S26 (ventas de 2026e de 90.823 M frente a 30.912 M en el semestre); nuestra proyección parte del 1S26 real y de un 2S un 19 % por debajo del 2S25 [4, 27]. Kaiyuan, ya con el 1S26, espera un beneficio de 2026e de 12.952 M, un 20 % sobre el nuestro [29].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10,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crecimiento del 1T25 y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CNINFO (CAS): no publican EBITDA ni amortización trimestral; 2) informe anual 2025, tabla por trimestres: solo ventas y beneficio; 3) informes de 2024 para el crecimiento: no descargados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2023-2025 (CAS e inglés): no publican guía de ventas ni de beneficio; 2) folleto de Hong Kong: no da previsiones; 3) prensa de resultados (mrjjxw, 10jqka): sin objetivos numéricos de la empresa para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porcentajes de voto; 2) actas de las juntas en CNINFO: no descargadas;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Hong Kong: no recoge operaciones del sector; 2) búsquedas de compras de fabricantes de inversores y almacenamiento con múltiplo publicado (venta de los inversores de ABB a Fimer en 2020, Saft por Total en 2016): sin múltiplos de EBITDA publicados y perímetros distintos; 3) prensa sectorial (pv magazine, Energy-Storage.news): operaciones pequeñas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Shenzhen (préstamo de valores): la web no abre desde el entorno (error TLS); 2) CNINFO: no publica cortos; 3) proveedores gratuitos: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Eastmoney (guba.eastmoney.com/list,300274): devuelve una página de verificación antibot sin mensajes; 2) Stocktwits (API de 300274.SZ: «Symbol not found») y Xueqiu (sin acceso sin sesión); 3) Huxiu (artículo del 1-may-2026) y Wallstreetcn (28-ago-2026): artículos de opinión sin comentarios de lectores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Folleto de solicitud de cotización en HKEX (versión de solicitud del 24-abr-2026), apéndice I: informe de los auditores con los estados consolidados NIIF de 2023, 2024 y 2025 y sus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Sungrow Power Supply Co., Ltd. / Rongcheng (Hong Kong) CPA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https://www1.hkexnews.hk/app/sehk/2026/108461/a132201/sehk26042400576.pdf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Folleto de solicitud en HKEX (24-abr-2026), capítulo «Financial Information» (ventas por segmento y región, márgenes por segmento, coste de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https://www1.hkexnews.hk/app/sehk/2026/108461/a132201/sehk26042400571.pdf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«Summary» (envíos de inversores y almacenamiento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https://www1.hkexnews.hk/app/sehk/2026/108461/a132201/sehk26042400553.pdf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cuenta y flujos a 30-jun-2026, dividendo a cuenta)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http://static.cninfo.com.cn/finalpage/2026-08-29/1225526948.PDF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2025年年度报告 (informe anual 2025, CAS: ventas por producto y región, márgenes, trimestres, remuneración,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http://static.cninfo.com.cn/finalpage/2026-04-01/1225066678.PDF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Report (versión inglesa breve; política de dividendos y distribuciones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http://static.cninfo.com.cn/finalpage/2026-06-08/1225358186.PDF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(versión inglesa: estados consolidados CAS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http://static.cninfo.com.cn/finalpage/2023-06-06/1217001787.PDF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completo: amortizaciones, dividendos, ventas por producto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http://static.cninfo.com.cn/finalpage/2023-04-25/1216556651.PDF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(versión inglesa: distribución de 2023 con 4 acciones liberadas por cada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http://static.cninfo.com.cn/finalpage/2024-06-13/1220348277.PDF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2025年三季度报告 (informe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http://static.cninfo.com.cn/finalpage/2025-10-29/1224755574.PDF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http://static.cninfo.com.cn/finalpage/2026-04-28/1225208062.PDF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ventas −28,99 % y beneficio −32,01 % en el 1S26; dividendo a cuenta, recompra, SST para centros de 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Mrjjxw (每日经济新闻)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https://www.mrjjxw.com/articles/2026-08-28/4564208.html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cae un 13,65 %: la empresa dice que la producción es normal; conferencia con inversores del 1-jul (cuota de marcas locales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(同花顺)</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https://stock.10jqka.com.cn/20260701/c677863258.shtml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10,8 % del 1-abr-2026: 4T25 por debajo de lo esperado; almacenamiento doméstico con margen de un dígito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(同花顺)</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https://stock.10jqka.com.cn/20260403/c675746084.shtml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«Industry Overview» (estudio de Frost &amp; Sullivan: tamaños de mercado 2021-2030, cuotas por envíos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 Frost &amp; Sullivan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«Business» (productos, clientes, proveedores, capacidad,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«Risk Factors» (aranceles de EE. UU., medidas de la 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moves to ban high-risk inverters from China over cybersecurity threats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https://euronews.com/2026/05/04/eu-moves-to-ban-high-risk-inverters-from-china-over-cybersecurity-threats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«History, Development and Corporate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ventas, EBITDA y deuda de los últimos doce meses de competidores cotizados (Deye, Ginlong, GoodWe, Sineng, Enphase, SolarEdge, Fluence, CATL)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CATL raises $5 billion in share sale, Sungrow files for Hong Kong IPO for the second time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pv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https://www.pv-magazine.com/2026/04/28/catl-raises-5-billion-in-share-sale-sungrow-files-for-hong-kong-ipo-for-the-second-time/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«Directors and Senior Management» (consejo, comisiones, remuneración agregada)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https://www1.hkexnews.hk/app/sehk/2026/108461/a132201/sehk26042400566.pdf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solicitud en HKEX (24-abr-2026), capítulo «Relationship with our Single Largest Shareholders Group» (Cao Renxian y Su Wen, 30,63 %)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Sungrow Power Supply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https://www1.hkexnews.hk/app/sehk/2026/108461/a132201/sehk26042400567.pdf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altos directivos terminan antes de tiempo su plan de venta de hasta 424.900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(界面新闻)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https://m.jiemian.com/article/13410407.html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presidente Cao Renxian propone una recompra de 500-1.000 M CNY para incentivos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(同花顺)</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https://stock.10jqka.com.cn/20260722/c678335209.shtml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300274.SZ, 510300.SS (ETF del CSI 300) y 159915.SZ (ETF de ChiNext),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https://finance.yahoo.com/quote/300274.SZ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consenso 2026-2028 de Sungrow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https://www.marketscreener.com/quote/stock/SUNGROW-POWER-SUPPLY-CO-L-11367321/finances/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20 analistas, objetivo medio 146,50 CNY (máx. 230,72, mín. 77,00) y cambios de objetivo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https://www.marketscreener.com/quote/stock/SUNGROW-POWER-SUPPLY-CO-L-11367321/consensus/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Kaiyuan Securities: «H1 业绩同比承压，Q2 盈利环比改善» (beneficio 2026-2028e de 12.952/16.199/18.701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Kaiyuan Securities (开源证券)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https://pdf.dfcfw.com/pdf/H3_AP202609011828888466_1.pdf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capitalización, PER adelantado, ventas, EBITDA, beneficio, deuda y caja de los comparables (fichas del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deuda pública china (中债国债收益率曲线), 15-oct-2026: 10 años 1,6601 %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15-oct-2026 (CNY 7,4993; USD 1,1208)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 calendario de publicación de informes periódicos (预约披露), informe del 3T26 de 300274 previsto para el 30-oct-2026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 (巨潮资讯)</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http://www.cninfo.com.cn/new/information/getPrbookInfo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 buscador de valores cotizados (Sungrow no tiene acciones H cotizadas; el código 03661 corresponde a SG Micro)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Exchanges and Clearing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https://www1.hkexnews.hk/search/prefix.do?lang=EN&amp;type=A&amp;name=sungrow&amp;market=SEHK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78,8 %</w:t>
      </w:r>
      <w:r>
        <w:t xml:space="preserve"> · Secciones con menos del 60 % de campos cubiertos: </w:t>
      </w:r>
      <w:r>
        <w:rPr>
          <w:b/>
          <w:bCs/>
        </w:rPr>
        <w:t xml:space="preserve">capital, directivos, gobierno, transacciones, sentimiento</w:t>
      </w:r>
      <w:r>
        <w:t xml:space="preserve"> · Generado el 16 oct 2026.</w:t>
      </w:r>
    </w:p>
    <w:p>
      <w:pPr>
        <w:pStyle w:val="Nota"/>
        <w:spacing w:after="100"/>
      </w:pPr>
      <w:r>
        <w:t xml:space="preserve">Línea cotizada: acción A de ChiNext (300274.SZ, CNY). Sungrow no tiene acciones H cotizadas: pidió cotizar en Hong Kong el 5-oct-2025 (caducó) y otra vez el 24-abr-2026, sin aprobación a la fecha de corte; el código 3661.HK que algunas webs le atribuyen es de SG Micro [21, 35]. Cuentas: 2023-2025 en NIIF (informe de los auditores del folleto de Hong Kong) y 2021-2022 en normas chinas (CAS), que difieren poco (ventas 2025: 88.914 M en NIIF y 89.184 M en CAS) [1, 5]; el semestre de 2026 y los trimestres, en CAS. BPA de 2021-2022 y precios de cierre ajustados a las 4 acciones liberadas por cada 10 de 2024. No hay XBRL público en China. Tipos de cambio del BCE del 15-oct-2026 para los comparables en USD [32].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Sungrow Power Supply Co., Ltd. (阳光电源股份有限公司) (300274)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76,86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(75,12 – 209,88)</c:v>
                </c:pt>
                <c:pt idx="1">
                  <c:v>Precio objetivo de los analistas (77,00 – 230,72)</c:v>
                </c:pt>
                <c:pt idx="2">
                  <c:v>Comparables: PER NTM (87,03 – 99,73)</c:v>
                </c:pt>
                <c:pt idx="3">
                  <c:v>DCF (WACC y g ± 0,5) (78,61 – 93,46)</c:v>
                </c:pt>
                <c:pt idx="4">
                  <c:v>Escenarios (bajista – alcista) (60,33 – 104,43)</c:v>
                </c:pt>
                <c:pt idx="5">
                  <c:v>DCF con la prima implícita del mercado (4,2 %)</c:v>
                </c:pt>
                <c:pt idx="6">
                  <c:v>Precio actual (76,86)</c:v>
                </c:pt>
              </c:strCache>
            </c:strRef>
          </c:cat>
          <c:val>
            <c:numRef>
              <c:f>Hoja1!$B$2:$B$8</c:f>
              <c:numCache>
                <c:formatCode>#,##0</c:formatCode>
                <c:ptCount val="7"/>
                <c:pt idx="0">
                  <c:v>75.12</c:v>
                </c:pt>
                <c:pt idx="1">
                  <c:v>77</c:v>
                </c:pt>
                <c:pt idx="2">
                  <c:v>87.03</c:v>
                </c:pt>
                <c:pt idx="3">
                  <c:v>78.61</c:v>
                </c:pt>
                <c:pt idx="4">
                  <c:v>60.33</c:v>
                </c:pt>
                <c:pt idx="5">
                  <c:v>95.92</c:v>
                </c:pt>
                <c:pt idx="6">
                  <c:v>76.48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(75,12 – 209,88)</c:v>
                </c:pt>
                <c:pt idx="1">
                  <c:v>Precio objetivo de los analistas (77,00 – 230,72)</c:v>
                </c:pt>
                <c:pt idx="2">
                  <c:v>Comparables: PER NTM (87,03 – 99,73)</c:v>
                </c:pt>
                <c:pt idx="3">
                  <c:v>DCF (WACC y g ± 0,5) (78,61 – 93,46)</c:v>
                </c:pt>
                <c:pt idx="4">
                  <c:v>Escenarios (bajista – alcista) (60,33 – 104,43)</c:v>
                </c:pt>
                <c:pt idx="5">
                  <c:v>DCF con la prima implícita del mercado (4,2 %)</c:v>
                </c:pt>
                <c:pt idx="6">
                  <c:v>Precio actual (76,86)</c:v>
                </c:pt>
              </c:strCache>
            </c:strRef>
          </c:cat>
          <c:val>
            <c:numRef>
              <c:f>Hoja1!$C$2:$C$8</c:f>
              <c:numCache>
                <c:formatCode>#,##0</c:formatCode>
                <c:ptCount val="7"/>
                <c:pt idx="0">
                  <c:v>134.76</c:v>
                </c:pt>
                <c:pt idx="1">
                  <c:v>153.72</c:v>
                </c:pt>
                <c:pt idx="2">
                  <c:v>12.700000000000003</c:v>
                </c:pt>
                <c:pt idx="3">
                  <c:v>14.849999999999994</c:v>
                </c:pt>
                <c:pt idx="4">
                  <c:v>44.10000000000001</c:v>
                </c:pt>
                <c:pt idx="5">
                  <c:v>13.789999999999992</c:v>
                </c:pt>
                <c:pt idx="6">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Inversores y conversión de potencia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9050.8</c:v>
                </c:pt>
                <c:pt idx="1">
                  <c:v>15717.3</c:v>
                </c:pt>
                <c:pt idx="2">
                  <c:v>27653.1</c:v>
                </c:pt>
                <c:pt idx="3">
                  <c:v>29127</c:v>
                </c:pt>
                <c:pt idx="4">
                  <c:v>31136.2</c:v>
                </c:pt>
              </c:numCache>
            </c:numRef>
          </c:val>
        </c:ser>
        <c:ser>
          <c:idx val="1"/>
          <c:order val="1"/>
          <c:tx>
            <c:strRef>
              <c:f>Hoja1!$C$1</c:f>
              <c:strCache>
                <c:ptCount val="1"/>
                <c:pt idx="0">
                  <c:v>Sistemas de almacenamiento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3137.6</c:v>
                </c:pt>
                <c:pt idx="1">
                  <c:v>10126.5</c:v>
                </c:pt>
                <c:pt idx="2">
                  <c:v>17801.5</c:v>
                </c:pt>
                <c:pt idx="3">
                  <c:v>24959.2</c:v>
                </c:pt>
                <c:pt idx="4">
                  <c:v>37286.6</c:v>
                </c:pt>
              </c:numCache>
            </c:numRef>
          </c:val>
        </c:ser>
        <c:ser>
          <c:idx val="2"/>
          <c:order val="2"/>
          <c:tx>
            <c:strRef>
              <c:f>Hoja1!$D$1</c:f>
              <c:strCache>
                <c:ptCount val="1"/>
                <c:pt idx="0">
                  <c:v>Promoción de plantas renovables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9678.7</c:v>
                </c:pt>
                <c:pt idx="1">
                  <c:v>11603.8</c:v>
                </c:pt>
                <c:pt idx="2">
                  <c:v>24734</c:v>
                </c:pt>
                <c:pt idx="3">
                  <c:v>21003</c:v>
                </c:pt>
                <c:pt idx="4">
                  <c:v>16559.4</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2269.5</c:v>
                </c:pt>
                <c:pt idx="1">
                  <c:v>2809.6</c:v>
                </c:pt>
                <c:pt idx="2">
                  <c:v>1970.7</c:v>
                </c:pt>
                <c:pt idx="3">
                  <c:v>2614.9</c:v>
                </c:pt>
                <c:pt idx="4">
                  <c:v>3931.6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Inversores y conversión de potencia</c:v>
                </c:pt>
                <c:pt idx="1">
                  <c:v>Sistemas de almacenamiento</c:v>
                </c:pt>
                <c:pt idx="2">
                  <c:v>Promoción de plantas renovables</c:v>
                </c:pt>
                <c:pt idx="3">
                  <c:v>Otros</c:v>
                </c:pt>
              </c:strCache>
            </c:strRef>
          </c:cat>
          <c:val>
            <c:numRef>
              <c:f>Hoja1!$B$2:$B$5</c:f>
              <c:numCache>
                <c:formatCode>General</c:formatCode>
                <c:ptCount val="4"/>
                <c:pt idx="0">
                  <c:v>35</c:v>
                </c:pt>
                <c:pt idx="1">
                  <c:v>41.9</c:v>
                </c:pt>
                <c:pt idx="2">
                  <c:v>18.6</c:v>
                </c:pt>
                <c:pt idx="3">
                  <c:v>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 continental</c:v>
                </c:pt>
                <c:pt idx="1">
                  <c:v>Resto del mundo (incluye Hong Kong, Macao y Taiwán)</c:v>
                </c:pt>
              </c:strCache>
            </c:strRef>
          </c:cat>
          <c:val>
            <c:numRef>
              <c:f>Hoja1!$B$2:$B$3</c:f>
              <c:numCache>
                <c:formatCode>0"%"</c:formatCode>
                <c:ptCount val="2"/>
                <c:pt idx="0">
                  <c:v>39.3</c:v>
                </c:pt>
                <c:pt idx="1">
                  <c:v>60.7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(inversores + almacenamiento,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2021</c:v>
                </c:pt>
                <c:pt idx="1">
                  <c:v>2025</c:v>
                </c:pt>
                <c:pt idx="2">
                  <c:v>2030e</c:v>
                </c:pt>
              </c:strCache>
            </c:strRef>
          </c:cat>
          <c:val>
            <c:numRef>
              <c:f>Hoja1!$B$2:$B$4</c:f>
              <c:numCache>
                <c:formatCode>#,##0</c:formatCode>
                <c:ptCount val="3"/>
                <c:pt idx="0">
                  <c:v>16.8</c:v>
                </c:pt>
                <c:pt idx="1">
                  <c:v>72</c:v>
                </c:pt>
                <c:pt idx="2">
                  <c:v>193.3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5</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Sungrow</c:v>
                </c:pt>
                <c:pt idx="1">
                  <c:v>Huawei Digital Power</c:v>
                </c:pt>
                <c:pt idx="2">
                  <c:v>Tesla Energy</c:v>
                </c:pt>
                <c:pt idx="3">
                  <c:v>Ningbo Deye</c:v>
                </c:pt>
                <c:pt idx="4">
                  <c:v>Ginlong (Solis)</c:v>
                </c:pt>
                <c:pt idx="5">
                  <c:v>GoodWe</c:v>
                </c:pt>
                <c:pt idx="6">
                  <c:v>Enphase Energy</c:v>
                </c:pt>
                <c:pt idx="7">
                  <c:v>Fluence Energy</c:v>
                </c:pt>
              </c:strCache>
            </c:strRef>
          </c:cat>
          <c:val>
            <c:numRef>
              <c:f>Hoja1!$B$2:$B$9</c:f>
              <c:numCache>
                <c:formatCode>0.0"%"</c:formatCode>
                <c:ptCount val="8"/>
                <c:pt idx="0">
                  <c:v>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24136.6</c:v>
                </c:pt>
                <c:pt idx="1">
                  <c:v>40257.2</c:v>
                </c:pt>
                <c:pt idx="2">
                  <c:v>72159.3</c:v>
                </c:pt>
                <c:pt idx="3">
                  <c:v>77704.1</c:v>
                </c:pt>
                <c:pt idx="4">
                  <c:v>88913.8</c:v>
                </c:pt>
                <c:pt idx="5">
                  <c:v>68019</c:v>
                </c:pt>
                <c:pt idx="6">
                  <c:v>76181</c:v>
                </c:pt>
                <c:pt idx="7">
                  <c:v>83799</c:v>
                </c:pt>
                <c:pt idx="8">
                  <c:v>90503</c:v>
                </c:pt>
                <c:pt idx="9">
                  <c:v>95934</c:v>
                </c:pt>
                <c:pt idx="10">
                  <c:v>100730</c:v>
                </c:pt>
                <c:pt idx="11">
                  <c:v>104256</c:v>
                </c:pt>
                <c:pt idx="12">
                  <c:v>106862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2528.5</c:v>
                </c:pt>
                <c:pt idx="1">
                  <c:v>4131.6</c:v>
                </c:pt>
                <c:pt idx="2">
                  <c:v>12412.2</c:v>
                </c:pt>
                <c:pt idx="3">
                  <c:v>14782.3</c:v>
                </c:pt>
                <c:pt idx="4">
                  <c:v>17758.7</c:v>
                </c:pt>
                <c:pt idx="5">
                  <c:v>13944</c:v>
                </c:pt>
                <c:pt idx="6">
                  <c:v>15236</c:v>
                </c:pt>
                <c:pt idx="7">
                  <c:v>16341</c:v>
                </c:pt>
                <c:pt idx="8">
                  <c:v>17196</c:v>
                </c:pt>
                <c:pt idx="9">
                  <c:v>17748</c:v>
                </c:pt>
                <c:pt idx="10">
                  <c:v>18131</c:v>
                </c:pt>
                <c:pt idx="11">
                  <c:v>18245</c:v>
                </c:pt>
                <c:pt idx="12">
                  <c:v>18701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22.3</c:v>
                </c:pt>
                <c:pt idx="1">
                  <c:v>24.5</c:v>
                </c:pt>
                <c:pt idx="2">
                  <c:v>25.5</c:v>
                </c:pt>
                <c:pt idx="3">
                  <c:v>29</c:v>
                </c:pt>
                <c:pt idx="4">
                  <c:v>30.4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10.5</c:v>
                </c:pt>
                <c:pt idx="1">
                  <c:v>10.3</c:v>
                </c:pt>
                <c:pt idx="2">
                  <c:v>17.2</c:v>
                </c:pt>
                <c:pt idx="3">
                  <c:v>19</c:v>
                </c:pt>
                <c:pt idx="4">
                  <c:v>20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c:v>
                </c:pt>
                <c:pt idx="1">
                  <c:v>9.1</c:v>
                </c:pt>
                <c:pt idx="2">
                  <c:v>16.3</c:v>
                </c:pt>
                <c:pt idx="3">
                  <c:v>17.9</c:v>
                </c:pt>
                <c:pt idx="4">
                  <c:v>18.6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6.6</c:v>
                </c:pt>
                <c:pt idx="1">
                  <c:v>8.9</c:v>
                </c:pt>
                <c:pt idx="2">
                  <c:v>13.1</c:v>
                </c:pt>
                <c:pt idx="3">
                  <c:v>14.2</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20.8</c:v>
                </c:pt>
                <c:pt idx="3">
                  <c:v>-18.4</c:v>
                </c:pt>
                <c:pt idx="4">
                  <c:v>-18.3</c:v>
                </c:pt>
                <c:pt idx="5">
                  <c:v>-37.3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156</c:v>
                </c:pt>
                <c:pt idx="1">
                  <c:v>144</c:v>
                </c:pt>
                <c:pt idx="2">
                  <c:v>110</c:v>
                </c:pt>
                <c:pt idx="3">
                  <c:v>134</c:v>
                </c:pt>
                <c:pt idx="4">
                  <c:v>102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209</c:v>
                </c:pt>
                <c:pt idx="1">
                  <c:v>229</c:v>
                </c:pt>
                <c:pt idx="2">
                  <c:v>145</c:v>
                </c:pt>
                <c:pt idx="3">
                  <c:v>192</c:v>
                </c:pt>
                <c:pt idx="4">
                  <c:v>161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346</c:v>
                </c:pt>
                <c:pt idx="1">
                  <c:v>312</c:v>
                </c:pt>
                <c:pt idx="2">
                  <c:v>193</c:v>
                </c:pt>
                <c:pt idx="3">
                  <c:v>243</c:v>
                </c:pt>
                <c:pt idx="4">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-3428.2999999999997</c:v>
                </c:pt>
                <c:pt idx="1">
                  <c:v>-504.49999999999994</c:v>
                </c:pt>
                <c:pt idx="2">
                  <c:v>3883.5000000000005</c:v>
                </c:pt>
                <c:pt idx="3">
                  <c:v>8862.3</c:v>
                </c:pt>
                <c:pt idx="4">
                  <c:v>13603.9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1582.7</c:v>
                </c:pt>
                <c:pt idx="1">
                  <c:v>3593.4</c:v>
                </c:pt>
                <c:pt idx="2">
                  <c:v>9439.6</c:v>
                </c:pt>
                <c:pt idx="3">
                  <c:v>11036.3</c:v>
                </c:pt>
                <c:pt idx="4">
                  <c:v>13461.3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21.8</c:v>
                </c:pt>
                <c:pt idx="1">
                  <c:v>29.2</c:v>
                </c:pt>
                <c:pt idx="2">
                  <c:v>59.2</c:v>
                </c:pt>
                <c:pt idx="3">
                  <c:v>49.9</c:v>
                </c:pt>
                <c:pt idx="4">
                  <c:v>54.6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20.9</c:v>
                </c:pt>
                <c:pt idx="2">
                  <c:v>40.7</c:v>
                </c:pt>
                <c:pt idx="3">
                  <c:v>34.2</c:v>
                </c:pt>
                <c:pt idx="4">
                  <c:v>32.2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-3.04</c:v>
                </c:pt>
                <c:pt idx="1">
                  <c:v>-1.53</c:v>
                </c:pt>
                <c:pt idx="2">
                  <c:v>-0.77</c:v>
                </c:pt>
                <c:pt idx="3">
                  <c:v>-0.93</c:v>
                </c:pt>
                <c:pt idx="4">
                  <c:v>-1.45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2865.7</c:v>
                </c:pt>
                <c:pt idx="1">
                  <c:v>3891.9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155</c:v>
                </c:pt>
                <c:pt idx="4">
                  <c:v>45.1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195.1</c:v>
                </c:pt>
                <c:pt idx="1">
                  <c:v>163.4</c:v>
                </c:pt>
                <c:pt idx="2">
                  <c:v>362.9</c:v>
                </c:pt>
                <c:pt idx="3">
                  <c:v>1418.7</c:v>
                </c:pt>
                <c:pt idx="4">
                  <c:v>4227.8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505.6</c:v>
                </c:pt>
                <c:pt idx="2">
                  <c:v>980.1</c:v>
                </c:pt>
                <c:pt idx="3">
                  <c:v>517.8</c:v>
                </c:pt>
                <c:pt idx="4">
                  <c:v>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5</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Cao Renxian (fundador)</c:v>
                </c:pt>
                <c:pt idx="1">
                  <c:v>HKSCC (inversores extranjeros por Stock Connect)</c:v>
                </c:pt>
                <c:pt idx="2">
                  <c:v>China Life Insurance (producto tradicional)</c:v>
                </c:pt>
                <c:pt idx="3">
                  <c:v>Zheng Guibiao</c:v>
                </c:pt>
                <c:pt idx="4">
                  <c:v>Kylin Asia Holdings</c:v>
                </c:pt>
                <c:pt idx="5">
                  <c:v>Zhao Wei (consejero)</c:v>
                </c:pt>
                <c:pt idx="6">
                  <c:v>Abu Dhabi Investment Authority</c:v>
                </c:pt>
                <c:pt idx="7">
                  <c:v>Autocartera</c:v>
                </c:pt>
              </c:strCache>
            </c:strRef>
          </c:cat>
          <c:val>
            <c:numRef>
              <c:f>Hoja1!$B$2:$B$9</c:f>
              <c:numCache>
                <c:formatCode>0.0"%"</c:formatCode>
                <c:ptCount val="8"/>
                <c:pt idx="0">
                  <c:v>30.46</c:v>
                </c:pt>
                <c:pt idx="1">
                  <c:v>8.08</c:v>
                </c:pt>
                <c:pt idx="2">
                  <c:v>0.65</c:v>
                </c:pt>
                <c:pt idx="3">
                  <c:v>0.58</c:v>
                </c:pt>
                <c:pt idx="4">
                  <c:v>0.55</c:v>
                </c:pt>
                <c:pt idx="5">
                  <c:v>0.47</c:v>
                </c:pt>
                <c:pt idx="6">
                  <c:v>0.46</c:v>
                </c:pt>
                <c:pt idx="7">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-30.5</c:v>
                </c:pt>
                <c:pt idx="1">
                  <c:v>78.9</c:v>
                </c:pt>
                <c:pt idx="2">
                  <c:v>-52.1</c:v>
                </c:pt>
                <c:pt idx="3">
                  <c:v>18.8</c:v>
                </c:pt>
                <c:pt idx="4">
                  <c:v>589.2</c:v>
                </c:pt>
                <c:pt idx="5">
                  <c:v>102</c:v>
                </c:pt>
                <c:pt idx="6">
                  <c:v>-23.2</c:v>
                </c:pt>
                <c:pt idx="7">
                  <c:v>-21.5</c:v>
                </c:pt>
                <c:pt idx="8">
                  <c:v>19.2</c:v>
                </c:pt>
                <c:pt idx="9">
                  <c:v>137.2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81.9</c:v>
                </c:pt>
                <c:pt idx="1">
                  <c:v>38.9</c:v>
                </c:pt>
                <c:pt idx="2">
                  <c:v>9.8</c:v>
                </c:pt>
                <c:pt idx="3">
                  <c:v>9.7</c:v>
                </c:pt>
                <c:pt idx="4">
                  <c:v>18.6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14.2</c:v>
                </c:pt>
                <c:pt idx="1">
                  <c:v>14.2</c:v>
                </c:pt>
                <c:pt idx="2">
                  <c:v>14.2</c:v>
                </c:pt>
                <c:pt idx="3">
                  <c:v>14.2</c:v>
                </c:pt>
                <c:pt idx="4">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Sungrow</c:v>
                </c:pt>
                <c:pt idx="1">
                  <c:v>Ningbo Deye</c:v>
                </c:pt>
                <c:pt idx="2">
                  <c:v>Ginlong (Solis)</c:v>
                </c:pt>
                <c:pt idx="3">
                  <c:v>GoodWe</c:v>
                </c:pt>
                <c:pt idx="4">
                  <c:v>Sineng Electric</c:v>
                </c:pt>
                <c:pt idx="5">
                  <c:v>Kehua Data</c:v>
                </c:pt>
                <c:pt idx="6">
                  <c:v>CATL</c:v>
                </c:pt>
                <c:pt idx="7">
                  <c:v>Enphase Energy</c:v>
                </c:pt>
                <c:pt idx="8">
                  <c:v>Fluence Energy</c:v>
                </c:pt>
              </c:strCache>
            </c:strRef>
          </c:cat>
          <c:val>
            <c:numRef>
              <c:f>Hoja1!$B$2:$B$10</c:f>
              <c:numCache>
                <c:formatCode>0.0"x"</c:formatCode>
                <c:ptCount val="9"/>
                <c:pt idx="0">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11791</c:v>
                </c:pt>
                <c:pt idx="1">
                  <c:v>10022</c:v>
                </c:pt>
                <c:pt idx="2">
                  <c:v>10962</c:v>
                </c:pt>
                <c:pt idx="3">
                  <c:v>11778</c:v>
                </c:pt>
                <c:pt idx="4">
                  <c:v>12424</c:v>
                </c:pt>
                <c:pt idx="5">
                  <c:v>12804</c:v>
                </c:pt>
                <c:pt idx="6">
                  <c:v>13048</c:v>
                </c:pt>
                <c:pt idx="7">
                  <c:v>13465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63307</c:v>
                </c:pt>
                <c:pt idx="1">
                  <c:v>87922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76,86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60.33</c:v>
                </c:pt>
                <c:pt idx="1">
                  <c:v>85.15</c:v>
                </c:pt>
                <c:pt idx="2">
                  <c:v>104.43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76,86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(75,12 – 209,88)</c:v>
                </c:pt>
                <c:pt idx="1">
                  <c:v>Precio objetivo de los analistas (77,00 – 230,72)</c:v>
                </c:pt>
                <c:pt idx="2">
                  <c:v>Comparables: PER NTM (87,03 – 99,73)</c:v>
                </c:pt>
                <c:pt idx="3">
                  <c:v>DCF (WACC y g ± 0,5) (78,61 – 93,46)</c:v>
                </c:pt>
                <c:pt idx="4">
                  <c:v>Escenarios (bajista – alcista) (60,33 – 104,43)</c:v>
                </c:pt>
                <c:pt idx="5">
                  <c:v>DCF con la prima implícita del mercado (4,2 %)</c:v>
                </c:pt>
                <c:pt idx="6">
                  <c:v>Precio actual (76,86)</c:v>
                </c:pt>
              </c:strCache>
            </c:strRef>
          </c:cat>
          <c:val>
            <c:numRef>
              <c:f>Hoja1!$B$2:$B$8</c:f>
              <c:numCache>
                <c:formatCode>#,##0</c:formatCode>
                <c:ptCount val="7"/>
                <c:pt idx="0">
                  <c:v>75.12</c:v>
                </c:pt>
                <c:pt idx="1">
                  <c:v>77</c:v>
                </c:pt>
                <c:pt idx="2">
                  <c:v>87.03</c:v>
                </c:pt>
                <c:pt idx="3">
                  <c:v>78.61</c:v>
                </c:pt>
                <c:pt idx="4">
                  <c:v>60.33</c:v>
                </c:pt>
                <c:pt idx="5">
                  <c:v>95.92</c:v>
                </c:pt>
                <c:pt idx="6">
                  <c:v>76.48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(75,12 – 209,88)</c:v>
                </c:pt>
                <c:pt idx="1">
                  <c:v>Precio objetivo de los analistas (77,00 – 230,72)</c:v>
                </c:pt>
                <c:pt idx="2">
                  <c:v>Comparables: PER NTM (87,03 – 99,73)</c:v>
                </c:pt>
                <c:pt idx="3">
                  <c:v>DCF (WACC y g ± 0,5) (78,61 – 93,46)</c:v>
                </c:pt>
                <c:pt idx="4">
                  <c:v>Escenarios (bajista – alcista) (60,33 – 104,43)</c:v>
                </c:pt>
                <c:pt idx="5">
                  <c:v>DCF con la prima implícita del mercado (4,2 %)</c:v>
                </c:pt>
                <c:pt idx="6">
                  <c:v>Precio actual (76,86)</c:v>
                </c:pt>
              </c:strCache>
            </c:strRef>
          </c:cat>
          <c:val>
            <c:numRef>
              <c:f>Hoja1!$C$2:$C$8</c:f>
              <c:numCache>
                <c:formatCode>#,##0</c:formatCode>
                <c:ptCount val="7"/>
                <c:pt idx="0">
                  <c:v>134.76</c:v>
                </c:pt>
                <c:pt idx="1">
                  <c:v>153.72</c:v>
                </c:pt>
                <c:pt idx="2">
                  <c:v>12.700000000000003</c:v>
                </c:pt>
                <c:pt idx="3">
                  <c:v>14.849999999999994</c:v>
                </c:pt>
                <c:pt idx="4">
                  <c:v>44.10000000000001</c:v>
                </c:pt>
                <c:pt idx="5">
                  <c:v>13.789999999999992</c:v>
                </c:pt>
                <c:pt idx="6">
                  <c:v>0.7599999999999909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