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23,88 CHF (28,75 USD) · mercado 30,88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-9,8 % · mercado +16,6 %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23,88 CHF (28,75 USD)</w:t>
      </w:r>
      <w:r>
        <w:t xml:space="preserve"> frente a 26,48 (31,88 USD) · con la prima implícita del mercado: 30,88 (37,18 USD) (+16,6 %) · Rentabilidad total esperada a 12 meses </w:t>
      </w:r>
      <w:r>
        <w:rPr>
          <w:b/>
          <w:bCs/>
        </w:rPr>
        <w:t xml:space="preserve">-9,8 %</w:t>
      </w:r>
      <w:r>
        <w:t xml:space="preserve"> · Alcista / bajista +25,2 % / -41,0 %</w:t>
      </w:r>
    </w:p>
    <w:p>
      <w:pPr>
        <w:spacing w:after="100"/>
      </w:pPr>
      <w:r>
        <w:rPr>
          <w:b/>
        </w:rPr>
        <w:t xml:space="preserve">La recomendación y por qué.</w:t>
      </w:r>
      <w:r>
        <w:t xml:space="preserve"> Mantener, con convicción baja: el recorte del caso base de esta versión baja el objetivo, no la señal. Con nuestro WACC del 10,01 %, el valor objetivo es de 23,88 CHF (28,75 USD), un 9,8 % bajo el precio de 26,48 CHF (31,88 USD), sin dividendo: la regla absoluta da Mantener, a 0,2 puntos de Vender. Con la prima del mercado (4,20 % [76]; WACC del 7,91 %), el objetivo es de 30,88 CHF (37,18 USD), +16,6 % con una asimetría de 2,94 veces: la relativa da Comprar, pero un Comprar solo relativo exige un 5 % con nuestro coste de capital, y la combinada da Mantener. La convicción es baja porque las reglas discrepan y las dos están en su umbral; la subiría una guía de 2027 «high-teens» a divisa constante con un margen bruto ≥ 65 %.</w:t>
      </w:r>
    </w:p>
    <w:p>
      <w:pPr>
        <w:spacing w:after="100"/>
      </w:pPr>
      <w:r>
        <w:rPr>
          <w:b/>
        </w:rPr>
        <w:t xml:space="preserve">El negocio.</w:t>
      </w:r>
      <w:r>
        <w:t xml:space="preserve"> On vende a precio completo: margen bruto del 64,8 % en el 1S26, frente al 42,9 % de Nike [6, 39]. El foso es solo la marca [1]. El ROIC (38,4 %) casi cuadruplica el WACC, pero la proyección solo reinvierte el 12 % del NOPAT, que al ROIC actual financia un 4,7 % anual; con los 3,6 puntos de precio del puente, el techo es un 8,3 %. Tras el recorte, su calidad sí sostiene el crecimiento proyectado (8,3 % medio, 11,3 % en la v4): cuota del 3,0 % del calzado deportivo en 2035, menos de 1,5 veces el 2,1 % actual [41], y capital nuevo al 55 %, 1,13 veces el histórico.</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25,27 CHF; los escenarios (30 %), 24,82 CHF, y los comparables (20 %), 18,98 CHF. El caso base está en el límite de la prueba de sostenibilidad: crece un 16, 14 y 12 % en 2027-2029 (17, 16 y 15 % en la v4) y converge después al 2 % del terminal; las ventas de 2035 son 6.610 M CHF, no 8.720. El DCF inverso descuenta un 8,4 % anual en 2027-2035, frente al 7,4 % del caso base: el precio pide más crecimiento del que On puede financiar. Nuestras ventas quedan un 2,5-6,1 % bajo el consenso en 2027-2028 [69]. Con un terminal del 1,0 %, el objetivo relativo sería de 28,41 CHF (+7,3 %): seguiría en Mantener.</w:t>
      </w:r>
    </w:p>
    <w:p>
      <w:pPr>
        <w:spacing w:after="100"/>
      </w:pPr>
      <w:r>
        <w:rPr>
          <w:b/>
        </w:rPr>
        <w:t xml:space="preserve">Riesgos y catalizadores.</w:t>
      </w:r>
      <w:r>
        <w:t xml:space="preserve"> La marca: el bajista, una pérdida de atractivo como la de Lululemon, vale 15,61 CHF (−41,0 %) [39], frente a los 33,14 CHF (+25,2 %) del alcista. Con una prima implícita por encima del 4,26 % (WACC del 8,0 %), también la regla relativa daría Mantener. Catalizadores: el 3T26 a mediados de noviembre, la guía de 2027 en marzo y la recompra de hasta 1.000 M USD [21].</w:t>
      </w:r>
    </w:p>
    <w:p>
      <w:pPr>
        <w:spacing w:after="100"/>
      </w:pPr>
      <w:r>
        <w:rPr>
          <w:b/>
        </w:rPr>
        <w:t xml:space="preserve">Qué cambiaría la decisión.</w:t>
      </w:r>
      <w:r>
        <w:t xml:space="preserve"> Compraríamos por debajo de 22,73 CHF (27,37 USD), un 14,2 % bajo el precio, y venderíamos por encima de 34,32 CHF (41,32 USD). Devolveríamos al caso base parte del recorte de 2027-2029 si la guía de 2027 es «high-teens» a divisa constante con margen bruto ≥ 65 %: probaría que la marca gana cuota más deprisa de lo que su reinversión financia.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23,88 CHF (28,75 USD)</w:t>
      </w:r>
      <w:r>
        <w:t xml:space="preserve"> (-9,8 % sobre 26,48; rentabilidad total esperada -9,8 %) · con la prima implícita del mercado: 30,88 (37,18 USD) (+16,6 %)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8,4 % anual en 2027-2035, frente al 7,4 % de nuestro caso base, o un margen EBITDA final del 20,7 % en lugar del 20,0 %; dicho de otro modo, una rentabilidad del 9,6 % anual, algo menos que nuestro WACC.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con la lectura prudente de la sostenibilidad ya no exagera la cuantía: el precio descuenta algo más de crecimiento del que On puede financiar. Con nuestro WACC del 10,01 %, el valor objetivo es de 23,88 CHF (−9,8 %) y la regla absoluta da Mantener; con la prima implícita del mercado (4,20 % [76]), de 30,88 CHF (+16,6 %), y la relativa da Comprar. Como un Comprar solo relativo exige al menos un 5 % con nuestro coste de capital, la recomendación es Mantener. Para comprar hay que creer que la marca gana cuota más deprisa de lo que su reinversión financia (más del 3,0 % del calzado deportivo en 2035, desde el 2,1 %) o esperar a un precio por debajo de 22,73 CHF. En dólares (0,8305 CHF por USD [45]): objetivo de 28,75 USD (37,18 USD con la prima del mercado), compra por debajo de 27,37 USD y venta por encima de 41,32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 CHF (28,75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 CHF (37,18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22,73 (27,37 USD)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22,73 y 34,32 (27,37 y 41,32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34,32 (41,32 USD)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22,73 CHF (27,37 USD) sin que empeoren las previsiones, pasaríamos a Comprar; por encima de 34,32 CHF (41,32 USD), a Vender.</w:t>
      </w:r>
    </w:p>
    <w:p>
      <w:pPr>
        <w:pStyle w:val="ListParagraph"/>
        <w:numPr>
          <w:ilvl w:val="0"/>
          <w:numId w:val="2"/>
        </w:numPr>
        <w:spacing w:after="60"/>
      </w:pPr>
      <w:r>
        <w:t xml:space="preserve">Si la prima implícita del mercado de Damodaran sube por encima del 4,26 % (WACC relativo del 8,0 %), también la regla relativa daría Mantener [76]: se perdería el único argumento a favor de comprar.</w:t>
      </w:r>
    </w:p>
    <w:p>
      <w:pPr>
        <w:pStyle w:val="ListParagraph"/>
        <w:numPr>
          <w:ilvl w:val="0"/>
          <w:numId w:val="2"/>
        </w:numPr>
        <w:spacing w:after="60"/>
      </w:pPr>
      <w:r>
        <w:t xml:space="preserve">Si la venta directa del 3T26 crece menos del 20 % a divisa constante, llevaríamos el caso base hacia el bajista (15,61 CHF) y pasaríamos a Vender.</w:t>
      </w:r>
    </w:p>
    <w:p>
      <w:pPr>
        <w:pStyle w:val="ListParagraph"/>
        <w:numPr>
          <w:ilvl w:val="0"/>
          <w:numId w:val="2"/>
        </w:numPr>
        <w:spacing w:after="60"/>
      </w:pPr>
      <w:r>
        <w:t xml:space="preserve">Si la guía de 2027 apunta a un crecimiento «high-teens» a divisa constante con margen bruto ≥ 65 %, devolveríamos al caso base parte del recorte de 2027-2029 y subiríamos la convicción a media; para Comprar haría falta además que la rentabilidad con nuestro WACC pasara del 5 %.</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a corto plazo: el margen bruto sube (64,8 %), la venta directa crece al 34 % a divisa constante y Asia ya es el 20 % de las ventas [6]. A largo plazo, en cambio, el precio pide más de lo que On puede financiar: con el caso base en el límite de la prueba de sostenibilidad (8,3 % anual medio y un 3,0 % del calzado deportivo en 2035), el DCF da 25,27 CHF con nuestro WACC del 10,01 %, un 4,6 % bajo el precio, y 34,11 CHF con el 7,91 % que resulta de la prima del mercado. La diferencia con el precio es de tasa y, desde esta versión, también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trata como pérdida de demanda [6]: ahí el mercado exagera. Donde somos más prudentes que él es después de 2029: el DCF inverso (8,4 % anual en 2027-2035) supone que On sigue ganando cuota a un ritmo que su reinversión no financia. No tengo una visión muy distinta del mercado a doce meses; a tres o cinco años soy algo más prudente que él y que 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ListParagraph"/>
        <w:numPr>
          <w:ilvl w:val="0"/>
          <w:numId w:val="2"/>
        </w:numPr>
        <w:spacing w:after="60"/>
      </w:pPr>
      <w:r>
        <w:rPr>
          <w:b/>
        </w:rPr>
        <w:t xml:space="preserve">El precio pide más de lo financiable</w:t>
      </w:r>
      <w:r>
        <w:t xml:space="preserve">: el DCF inverso descuenta un 8,4 % anual en 2027-2035, frente al 7,4 % del caso base, que la prueba de sostenibilidad deja en el límite de lo que On puede financiar.</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(15,61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Diez años, porque On sigue lejos de su madurez. 2026 queda fijo en el +16,6 % del consenso (3.514 M CHF, dentro de la guía de 3.470-3.560 M CHF), con dos trimestres publicados [6, 69]. Después, el 16 % en 2027, el 14 % en 2028 y el 12 % en 2029, por debajo del «high-teens» a divisa constante del plan [21]: unos dos puntos por el franco y el resto por la prueba de sostenibilidad (v5), porque al ROIC actual la reinversión solo financia un 4,7 % anual y el precio aporta unos 3,6 puntos. Las ventas de 2029 (5.205 M CHF) quedan un 7 % bajo el objetivo de 5.600 M CHF. Desde 2030 el crecimiento baja del 8 % al 2 % de 2035, el del terminal, para que la cuota de 2035 no pase de 1,5 veces la actual (3,0 % frente al 2,1 %) [41]. Frente al consenso, ventas un 2,5 % menores en 2027 y un 6,1 %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en línea en 2027 (+0,2 %) y un 4,5 % por debajo en 2028, por las ventas.</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al que ya converge el crecimiento de 2035, con su sensibilidad: con un 1,0 %, el DCF baja a 23,76 CHF y el objetivo con la prima del mercado a 28,41 CHF (+7,3 %); la regla relativa pasaría a Mantener y la combinada seguiría en Mantener. El Gordon implica 7,7x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(hoy: 2,1 %)</w:t>
            </w:r>
          </w:p>
        </w:tc>
      </w:tr>
    </w:tbl>
    <w:p>
      <w:pPr>
        <w:spacing w:after="160" w:before="0"/>
      </w:pPr>
    </w:p>
    <w:p>
      <w:pPr>
        <w:spacing w:after="100"/>
      </w:pPr>
      <w:r>
        <w:t xml:space="preserve">La proyección apenas necesita inversión neta de la amortización (reinversión acumulada de 849 M, el 12 % del NOPAT, con un capex bruto medio del 4,8 % de las ventas). En un negocio de activos ligeros, el crecimiento medio del 8,3 % tiene que salir de subir precios y de ganar volumen sin capital nuevo, y la prueba es el poder de precios y la cuota (3,0 % del mercado en 2035e, frente al 2,1 %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«low-20%» a divisa constante, reiterada el 22-sep, con dos trimestres publicados (+24,0 % en el 1S26) [6, 21]. Precio: subidas selectivas sin cifras publicadas [40] y venta a precio completo; volumen: venta directa (+34,3 % en el 2T26), Asia-Pacífico y ropa. Otros: la divisa, que restó 8,1 puntos en el 2T26 y menos en el 2S26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2029: crecimiento «high-teens» a divisa constante [21]; lo dejamos 2-3 puntos por debajo en volumen porque el recorte de los mayoristas del 2T26 aún no ha tocado fondo [6]. Volumen: tiendas propias (67 a finales de 2025), Asia-Pacífico (20,5 % de las ventas en el 1S26) y ropa (8,1 %) [1, 6]; precio: el margen bruto subió del 56,0 % al 64,8 % en 2022-1S26 con subidas selectivas [1, 6, 40]. Otros: un franco algo más fuerte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plan a 2029 [21] y del consenso (+18,4 % en 2028e en CHF [69]): el volumen se frena a medida que el caso base se acerca al límite de cuota de la prueba de sostenibilidad (1,5 veces la actual en 2035e). El precio sigue con las subidas selectivas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ventas de 5.205 M CHF, un 7 % por debajo del objetivo de 5.600 M CHF [21] (2 % por la divisa y 5 % de volumen que la prueba de sostenibilidad no da por seguro).</w:t>
            </w:r>
          </w:p>
        </w:tc>
      </w:tr>
    </w:tbl>
    <w:p>
      <w:pPr>
        <w:spacing w:after="160" w:before="0"/>
      </w:pPr>
    </w:p>
    <w:p>
      <w:pPr>
        <w:spacing w:after="100"/>
      </w:pPr>
      <w:r>
        <w:t xml:space="preserve">Sí, después del recorte de esta versión (v5). On ha demostrado poder de precios: el margen bruto subió del 56,0 % al 64,8 % en 2022-1S26 pese al arancel sobre Vietnam, sin rebajas [1, 6]; pero el foso es solo la marca y su crecimiento no ha pasado por un ciclo [6]. Con el caso base de la v4 (11,3 % anual) fallaban dos pruebas: financiable del 6,0 % y cuota del 2,1 % al 4,0 %. Ahora el caso base queda en el límite: 8,3 % anual frente a un financiable del 4,7 % (ROIC del 38,4 % por una reinversión del 12 % del NOPAT; cálculo propio, porque el motor no lo imprime por debajo del 15 %) más 3,6 puntos de precio del puente; capital nuevo al ≈ 55 % (1,13 veces el 48,6 % histórico) y cuota del 3,0 % en 2035 (≈ 2,8 % solo en calzado) [41].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10,0 %)</w:t>
            </w:r>
          </w:p>
        </w:tc>
      </w:tr>
    </w:tbl>
    <w:p>
      <w:pPr>
        <w:spacing w:after="160" w:before="0"/>
      </w:pPr>
    </w:p>
    <w:p>
      <w:pPr>
        <w:spacing w:after="100"/>
      </w:pPr>
      <w:r>
        <w:t xml:space="preserve">El DCF da 25,27 CHF por acción (30,43 USD), un 4,6 % por debajo del precio de 26,48 CHF. El rango con el WACC y el crecimiento terminal ± 0,5 puntos va de 23,14 a 27,99 CHF, y el valor terminal pesa el 54 %. Con la prima implícita del mercado (4,20 % [76]), el WACC baja al 7,91 % y el DCF sube a 34,11 CHF (31,48-37,24 CHF): la beta de 1,72 convierte 1,3 puntos menos de prima en 2,2 puntos menos de coste de capital. El DCF inverso es lo importante. Al precio actual el mercado descuenta un crecimiento medio de las ventas del 8,4 % anual en 2027-2035, frente al 7,4 % de nuestro caso base, que está en el límite de lo que la empresa puede financiar, o, con nuestro crecimiento, un margen EBITDA final del 20,7 % en lugar del 20,0 %. La rentabilidad implícita es del 9,6 % anual en CHF, algo por debajo de nuestro WACC (10,01 %) y por encima del 7,9 % que hoy pide el mercado a una acción de esta beta. Es algo exigente: el precio ya no descuenta solo el plan de 2029, sino que On siga ganando cuota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el crecimiento cae a un dígito desde 2028 y las ventas dejan de crecer en 2031.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el plan de 2029 solo en parte: el franco fuerte y unos mayoristas más lentos dejan las ventas de 2029 un 7 % por debajo del objetivo de 5.600 M CHF, y después crece cada vez menos, hasta el 2 % de 2035, con un 3,0 % del calzado deportivo mundial.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24,82 CHF (-6,3 %).</w:t>
      </w:r>
    </w:p>
    <w:p>
      <w:pPr>
        <w:spacing w:after="100"/>
      </w:pPr>
      <w:r>
        <w:t xml:space="preserve">Con nuestro WACC la asimetría es desfavorable: el alcista vale 33,14 CHF (+25,2 %) y el bajista 15,61 CHF (−41,0 %), una relación de 0,61 veces; el valor ponderado es de 24,82 CHF (−6,3 %). Con la prima del mercado, la relación es de 2,94 veces. El bajista no es cosmético: es lo que han vivido Lululemon (margen operativo del 23,7 % al 19,9 % en un año) y Nike (ventas planas dos años) [39]; sobre el caso base recortado supone ventas que caen desde 2032. A doce meses no compensa con nuestro coste de capital: el precio depende de que el 3T y la guía de 2027 demuestren que On crece por encima de lo que hoy damos por financiable.</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23,88 CHF (-9,8 %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25,27 CHF (−4,6 %). El valor objetivo es de 23,88 CHF (28,75 USD), un 9,8 % bajo el precio; con la prima implícita del mercado (4,20 % [76]), 30,88 CHF (37,18 USD), un 16,6 % por encima. El puente usa el balance a 30-jun-2026 (caja 1.205,6 M CHF, arrendamientos 562,5 M CHF, pensiones 8,1 M CHF) [7]; no incluye los aranceles a devolver (hasta 53 M CHF, 0,16 CHF por acción) [21].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3,0 % en 2035e frente al 2,1 %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transacciones, sentimiento</w:t>
      </w:r>
      <w:r>
        <w:t xml:space="preserve"> · Generado el 13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4077</c:v>
                </c:pt>
                <c:pt idx="8">
                  <c:v>4647</c:v>
                </c:pt>
                <c:pt idx="9">
                  <c:v>5205</c:v>
                </c:pt>
                <c:pt idx="10">
                  <c:v>5621</c:v>
                </c:pt>
                <c:pt idx="11">
                  <c:v>5902</c:v>
                </c:pt>
                <c:pt idx="12">
                  <c:v>6139</c:v>
                </c:pt>
                <c:pt idx="13">
                  <c:v>6323</c:v>
                </c:pt>
                <c:pt idx="14">
                  <c:v>6481</c:v>
                </c:pt>
                <c:pt idx="15">
                  <c:v>6610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775</c:v>
                </c:pt>
                <c:pt idx="8">
                  <c:v>906</c:v>
                </c:pt>
                <c:pt idx="9">
                  <c:v>1041</c:v>
                </c:pt>
                <c:pt idx="10">
                  <c:v>1124</c:v>
                </c:pt>
                <c:pt idx="11">
                  <c:v>1180</c:v>
                </c:pt>
                <c:pt idx="12">
                  <c:v>1228</c:v>
                </c:pt>
                <c:pt idx="13">
                  <c:v>1265</c:v>
                </c:pt>
                <c:pt idx="14">
                  <c:v>1296</c:v>
                </c:pt>
                <c:pt idx="15">
                  <c:v>1322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356</c:v>
                </c:pt>
                <c:pt idx="2">
                  <c:v>448</c:v>
                </c:pt>
                <c:pt idx="3">
                  <c:v>544</c:v>
                </c:pt>
                <c:pt idx="4">
                  <c:v>625</c:v>
                </c:pt>
                <c:pt idx="5">
                  <c:v>692</c:v>
                </c:pt>
                <c:pt idx="6">
                  <c:v>732</c:v>
                </c:pt>
                <c:pt idx="7">
                  <c:v>752</c:v>
                </c:pt>
                <c:pt idx="8">
                  <c:v>783</c:v>
                </c:pt>
                <c:pt idx="9">
                  <c:v>804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3620</c:v>
                </c:pt>
                <c:pt idx="1">
                  <c:v>4239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15.61</c:v>
                </c:pt>
                <c:pt idx="1">
                  <c:v>25.27</c:v>
                </c:pt>
                <c:pt idx="2">
                  <c:v>33.14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