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Unicharm Corporation</w:t>
      </w:r>
    </w:p>
    <w:p>
      <w:pPr>
        <w:spacing w:after="60"/>
        <w:rPr>
          <w:color w:val="52514E"/>
          <w:sz w:val="22"/>
          <w:szCs w:val="22"/>
        </w:rPr>
      </w:pPr>
      <w:r>
        <w:rPr>
          <w:color w:val="52514E"/>
          <w:sz w:val="22"/>
          <w:szCs w:val="22"/>
        </w:rPr>
        <w:t xml:space="preserve">8113 · Bolsa de Tokio (Prime Market) · ISIN JP3951600000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1.000,00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1.229,45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+24,9 % (base +20,6 %)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1.163,52 JPY · mercado 1.348,65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1.720.800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Unicharm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8113 / JP3951600000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(Prime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para el hogar y personales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Tokio (Minato-ku); domicilio social en Shikokuchuo, Ehime · 1961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https://www.unicharm.co.jp/en/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1.000,00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874,70 – 1.104,00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1.720.800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1.564.584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4.900 M JPY/día (≈ 28 M EUR;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1.229,45 JPY</w:t>
      </w:r>
      <w:r>
        <w:t xml:space="preserve"> frente a 1.000,00 · Rentabilidad a 12 meses </w:t>
      </w:r>
      <w:r>
        <w:rPr>
          <w:b/>
          <w:bCs/>
        </w:rPr>
        <w:t xml:space="preserve">+24,9 % (base +20,6 %)</w:t>
      </w:r>
      <w:r>
        <w:t xml:space="preserve"> · Valor intrínseco 1.163,52 JPY · con la prima implícita del mercado: 1.348,65 (+34,9 %) · Alcista / bajista +47,1 % / -15,9 %</w:t>
      </w:r>
    </w:p>
    <w:p>
      <w:pPr>
        <w:spacing w:after="100"/>
      </w:pPr>
      <w:r>
        <w:rPr>
          <w:b/>
        </w:rPr>
        <w:t xml:space="preserve">La recomendación y por qué.</w:t>
      </w:r>
      <w:r>
        <w:t xml:space="preserve"> Comprar con convicción baja, sin entrada en cartera. El objetivo a 12 meses es de 1.229,45 JPY y el valor intrínseco de 1.163,52 JPY, frente a un precio de 1.000 JPY (cierre del 15-oct-2026); los analistas apuntan a 1.120,57 de media. La rentabilidad a 12 meses es del 24,9 % ponderada y del 20,6 % en el base con la regla vigente (v3), pero solo del 13,4 % con la historia al cierre (v2): la compra no es robusta. Una acción cuesta ≈ 5,64 EUR y el lote de 100, ≈ 564 EUR.</w:t>
      </w:r>
    </w:p>
    <w:p>
      <w:pPr>
        <w:spacing w:after="100"/>
      </w:pPr>
      <w:r>
        <w:rPr>
          <w:b/>
        </w:rPr>
        <w:t xml:space="preserve">Por qué convicción baja y no media.</w:t>
      </w:r>
      <w:r>
        <w:t xml:space="preserve"> Los criterios darían media, pero bajamos la convicción porque la compra no pasa con la v2 y la sostenibilidad es «En parte». La convicción subiría con un 3T26 en línea con la guía y una guía de 2027 con margen al alza; bajaría con otro recorte.</w:t>
      </w:r>
    </w:p>
    <w:p>
      <w:pPr>
        <w:spacing w:after="100"/>
      </w:pPr>
      <w:r>
        <w:rPr>
          <w:b/>
        </w:rPr>
        <w:t xml:space="preserve">Calidad: En parte.</w:t>
      </w:r>
      <w:r>
        <w:t xml:space="preserve"> El ROIC (12,7 %) supera al WACC (6,98 %) en 5,7 puntos, justo por encima del mínimo de 5, pero ha bajado a la mitad desde 2021 y el ROIC incremental de 2021-2025 es ≈ 0. La sostenibilidad del crecimiento es «En parte»: el crecimiento proyectado (4,3 %) es modesto y se financia solo, pero la empresa no ha demostrado poder de precios en 2026 y ha perdido cuota en China.</w:t>
      </w:r>
    </w:p>
    <w:p>
      <w:pPr>
        <w:spacing w:after="100"/>
      </w:pPr>
      <w:r>
        <w:rPr>
          <w:b/>
        </w:rPr>
        <w:t xml:space="preserve">Lo que cuenta.</w:t>
      </w:r>
      <w:r>
        <w:t xml:space="preserve"> Unicharm es líder en Japón en pañales, compresas e incontinencia y crece en India, Oriente Medio y mascotas, con caja neta y un reparto del 65 %. El precio (20,7 veces el BPA de 2027e, mínimo de diez años) ya descuenta que el margen no se recupera. Riesgo de IA bajo y mixto (−3 a +2 %): productos físicos; la amenaza es la comparación de precios en línea que favorece a las marcas blancas.</w:t>
      </w:r>
    </w:p>
    <w:p>
      <w:pPr>
        <w:spacing w:after="100"/>
      </w:pPr>
      <w:r>
        <w:rPr>
          <w:b/>
        </w:rPr>
        <w:t xml:space="preserve">Qué lo cambiaría.</w:t>
      </w:r>
      <w:r>
        <w:t xml:space="preserve"> Unos resultados del 3T (6-nov-2026) en línea con la guía y una guía de 2027 con margen al alza harían la tesis robusta; otro recorte la llevaría al bajista (841 JPY).</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1.229,45 JPY</w:t>
      </w:r>
      <w:r>
        <w:t xml:space="preserve"> (rentabilidad +24,9 % (base +20,6 %)) · Valor intrínseco: 1.163,52 JPY (+16,4 % sobre 1.000,00) · con la prima implícita del mercado: 1.348,65 (+34,9 %)</w:t>
      </w:r>
    </w:p>
    <w:p>
      <w:pPr>
        <w:spacing w:after="100"/>
      </w:pPr>
      <w:r>
        <w:t xml:space="preserve">Unicharm fabrica pañales infantiles (Moony, MamyPoko), compresas (Sofy), productos de incontinencia (Lifree) y comida y productos para mascotas, y es el n.º 1 en Japón en las tres categorías de cuidado personal [8]. Entre 2020 y 2024 las ventas crecieron un 8 % anual, pero el margen básico bajó del 15,8 % al 11,5 % de 2025 por China y el resto de Asia, y la guía de 2026 se recortó un 17 % por el SAP y la logística [1, 2]. La acción ha caído un 40 % desde 2023 y cotiza a 20,7 veces nuestro BPA de 2027e, el múltiplo más bajo en diez años. Con caja neta, recompras y un base que no pide volver al margen de 2021, la rentabilidad a 12 meses es del 20-25 %, pero depende de que la empresa demuestre que 2026 es el suelo.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1.229,45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 × 43,10 = 784,42 · 22,8x × 52,00 = 1.185,60 · 30,7x × 57,40 = 1.762,18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 / 20,6 %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1.120,57 (nuestro base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1.163,52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 /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frente a 7,0 % y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1.348,65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frente a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18,4 % (&lt;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1.076,43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1.076,43 y 1.388,28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1.388,28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(v3) da Comprar (24,9 % ponderada, 20,6 % en el base) y el valor intrínseco está por encima del precio. Convicción baja: la v2 da 13,4 % (compra no robusta) y la sostenibilidad del crecimiento es «En parte», así que no pasa los filtros de cartera para comprar.</w:t>
      </w:r>
    </w:p>
    <w:p>
      <w:pPr>
        <w:pStyle w:val="Heading2"/>
      </w:pPr>
      <w:r>
        <w:t xml:space="preserve">Qué cambiaría la recomendación</w:t>
      </w:r>
    </w:p>
    <w:p>
      <w:pPr>
        <w:pStyle w:val="ListParagraph"/>
        <w:numPr>
          <w:ilvl w:val="0"/>
          <w:numId w:val="2"/>
        </w:numPr>
        <w:spacing w:after="60"/>
      </w:pPr>
      <w:r>
        <w:t xml:space="preserve">Si el 3T26 (6-nov-2026) obliga a recortar otra vez la guía de 2026, pasaríamos a Mantener.</w:t>
      </w:r>
    </w:p>
    <w:p>
      <w:pPr>
        <w:pStyle w:val="ListParagraph"/>
        <w:numPr>
          <w:ilvl w:val="0"/>
          <w:numId w:val="2"/>
        </w:numPr>
        <w:spacing w:after="60"/>
      </w:pPr>
      <w:r>
        <w:t xml:space="preserve">Si la guía de 2027 da un beneficio básico por debajo de 120.000 M, pasaríamos a Mantener.</w:t>
      </w:r>
    </w:p>
    <w:p>
      <w:pPr>
        <w:pStyle w:val="ListParagraph"/>
        <w:numPr>
          <w:ilvl w:val="0"/>
          <w:numId w:val="2"/>
        </w:numPr>
        <w:spacing w:after="60"/>
      </w:pPr>
      <w:r>
        <w:t xml:space="preserve">Si el margen de 2027 sube al 12,5 % básico (17 % de EBITDA) y China deja de perder, la sostenibilidad pasaría a «Sí» y la compra podría ser robusta.</w:t>
      </w:r>
    </w:p>
    <w:p>
      <w:pPr>
        <w:pStyle w:val="ListParagraph"/>
        <w:numPr>
          <w:ilvl w:val="0"/>
          <w:numId w:val="2"/>
        </w:numPr>
        <w:spacing w:after="60"/>
      </w:pPr>
      <w:r>
        <w:t xml:space="preserve">Si el precio sube por encima de 1.388 JPY sin mejora del margen,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no se recupera nunca: el DCF inverso pide una caída de ventas del 2,2 % anual hasta 2032e, y el PER de 20,7 veces es el de un fabricante de higiene sin crecimiento (Kimberly-Clark, Essity cotizan a 13-14x con deuda).</w:t>
      </w:r>
    </w:p>
    <w:p>
      <w:pPr>
        <w:keepNext/>
        <w:spacing w:after="100"/>
      </w:pPr>
      <w:r>
        <w:rPr>
          <w:b/>
          <w:bCs/>
        </w:rPr>
        <w:t xml:space="preserve">Lo que creemos nosotros.</w:t>
      </w:r>
    </w:p>
    <w:p>
      <w:pPr>
        <w:spacing w:after="100"/>
      </w:pPr>
      <w:r>
        <w:t xml:space="preserve">2026 es un año de costes (SAP con prima, logística por Ormuz, reestructuración en China) y no una pérdida permanente: Japón mantiene el 19,7 % de margen, India crece un 20 %, mascotas un 5 % y las subidas de precio recuperan parte del margen en 2027.</w:t>
      </w:r>
    </w:p>
    <w:p>
      <w:pPr>
        <w:keepNext/>
        <w:spacing w:after="100"/>
      </w:pPr>
      <w:r>
        <w:rPr>
          <w:b/>
          <w:bCs/>
        </w:rPr>
        <w:t xml:space="preserve">Por qué podemos tener razón.</w:t>
      </w:r>
    </w:p>
    <w:p>
      <w:pPr>
        <w:spacing w:after="100"/>
      </w:pPr>
      <w:r>
        <w:t xml:space="preserve">Porque el coste del SAP es coyuntural, porque la caja neta financia recompras y porque la proyección no pide más que el 17,4 % de margen EBITDA, por debajo de cualquier año de 2020-2024. Si fallamos, el bajista cuesta un 16 % y la caja limita la caída.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1.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Líder en Japón</w:t>
      </w:r>
      <w:r>
        <w:t xml:space="preserve"> en pañales, compresas e incontinencia, con un 19,7 % de margen en el país y un mercado de adultos que crece con el envejecimiento.</w:t>
      </w:r>
    </w:p>
    <w:p>
      <w:pPr>
        <w:pStyle w:val="ListParagraph"/>
        <w:numPr>
          <w:ilvl w:val="0"/>
          <w:numId w:val="2"/>
        </w:numPr>
        <w:spacing w:after="60"/>
      </w:pPr>
      <w:r>
        <w:rPr>
          <w:b/>
        </w:rPr>
        <w:t xml:space="preserve">Caja neta</w:t>
      </w:r>
      <w:r>
        <w:t xml:space="preserve"> de ≈ 287.000 M más ≈ 130.000 M en bonos, fondos y acciones: el 24 % de la capitalización.</w:t>
      </w:r>
    </w:p>
    <w:p>
      <w:pPr>
        <w:pStyle w:val="ListParagraph"/>
        <w:numPr>
          <w:ilvl w:val="0"/>
          <w:numId w:val="2"/>
        </w:numPr>
        <w:spacing w:after="60"/>
      </w:pPr>
      <w:r>
        <w:rPr>
          <w:b/>
        </w:rPr>
        <w:t xml:space="preserve">Múltiplo en mínimos</w:t>
      </w:r>
      <w:r>
        <w:t xml:space="preserve">: 20,7 veces el BPA de 2027e frente a una mediana adelantada de 34,9 veces.</w:t>
      </w:r>
    </w:p>
    <w:p>
      <w:pPr>
        <w:pStyle w:val="ListParagraph"/>
        <w:numPr>
          <w:ilvl w:val="0"/>
          <w:numId w:val="2"/>
        </w:numPr>
        <w:spacing w:after="60"/>
      </w:pPr>
      <w:r>
        <w:rPr>
          <w:b/>
        </w:rPr>
        <w:t xml:space="preserve">Reparto del 65 %</w:t>
      </w:r>
      <w:r>
        <w:t xml:space="preserve"> del beneficio desde 2026 (dividendo de 22 JPY, 25 años de subidas, y recompras).</w:t>
      </w:r>
    </w:p>
    <w:p>
      <w:pPr>
        <w:pStyle w:val="ListParagraph"/>
        <w:numPr>
          <w:ilvl w:val="0"/>
          <w:numId w:val="2"/>
        </w:numPr>
        <w:spacing w:after="60"/>
      </w:pPr>
      <w:r>
        <w:rPr>
          <w:b/>
        </w:rPr>
        <w:t xml:space="preserve">India, Oriente Medio y mascotas</w:t>
      </w:r>
      <w:r>
        <w:t xml:space="preserve"> crecen a doble dígito o cerca y compensan Japón y China.</w:t>
      </w:r>
    </w:p>
    <w:p>
      <w:pPr>
        <w:pStyle w:val="Heading2"/>
      </w:pPr>
      <w:r>
        <w:t xml:space="preserve">En contra</w:t>
      </w:r>
    </w:p>
    <w:p>
      <w:pPr>
        <w:pStyle w:val="ListParagraph"/>
        <w:numPr>
          <w:ilvl w:val="0"/>
          <w:numId w:val="2"/>
        </w:numPr>
        <w:spacing w:after="60"/>
      </w:pPr>
      <w:r>
        <w:rPr>
          <w:b/>
        </w:rPr>
        <w:t xml:space="preserve">Guías incumplidas</w:t>
      </w:r>
      <w:r>
        <w:t xml:space="preserve"> en 2022, 2023, 2024, 2025 y 2026: la dirección pierde credibilidad.</w:t>
      </w:r>
    </w:p>
    <w:p>
      <w:pPr>
        <w:pStyle w:val="ListParagraph"/>
        <w:numPr>
          <w:ilvl w:val="0"/>
          <w:numId w:val="2"/>
        </w:numPr>
        <w:spacing w:after="60"/>
      </w:pPr>
      <w:r>
        <w:rPr>
          <w:b/>
        </w:rPr>
        <w:t xml:space="preserve">China en pérdidas</w:t>
      </w:r>
      <w:r>
        <w:t xml:space="preserve"> (−5.364 M en 2025) y ventas −14 % en moneda local en el 1S26.</w:t>
      </w:r>
    </w:p>
    <w:p>
      <w:pPr>
        <w:pStyle w:val="ListParagraph"/>
        <w:numPr>
          <w:ilvl w:val="0"/>
          <w:numId w:val="2"/>
        </w:numPr>
        <w:spacing w:after="60"/>
      </w:pPr>
      <w:r>
        <w:rPr>
          <w:b/>
        </w:rPr>
        <w:t xml:space="preserve">ROIC a la mitad</w:t>
      </w:r>
      <w:r>
        <w:t xml:space="preserve">: del 22,6 % de 2021 al 12,7 % de 2025; ROIC incremental ≈ 0.</w:t>
      </w:r>
    </w:p>
    <w:p>
      <w:pPr>
        <w:pStyle w:val="ListParagraph"/>
        <w:numPr>
          <w:ilvl w:val="0"/>
          <w:numId w:val="2"/>
        </w:numPr>
        <w:spacing w:after="60"/>
      </w:pPr>
      <w:r>
        <w:rPr>
          <w:b/>
        </w:rPr>
        <w:t xml:space="preserve">Natalidad</w:t>
      </w:r>
      <w:r>
        <w:t xml:space="preserve"> en caída en Japón, China y el sudeste asiático.</w:t>
      </w:r>
    </w:p>
    <w:p>
      <w:pPr>
        <w:pStyle w:val="ListParagraph"/>
        <w:numPr>
          <w:ilvl w:val="0"/>
          <w:numId w:val="2"/>
        </w:numPr>
        <w:spacing w:after="60"/>
      </w:pPr>
      <w:r>
        <w:rPr>
          <w:b/>
        </w:rPr>
        <w:t xml:space="preserve">Compra no robusta</w:t>
      </w:r>
      <w:r>
        <w:t xml:space="preserve">: con la historia al cierre (v2), la rentabilidad baja al 13,4 %.</w:t>
      </w:r>
    </w:p>
    <w:p>
      <w:pPr>
        <w:pStyle w:val="Heading2"/>
      </w:pPr>
      <w:r>
        <w:t xml:space="preserve">Qué tiene que pasar para que la tesis funcione</w:t>
      </w:r>
    </w:p>
    <w:p>
      <w:pPr>
        <w:spacing w:after="100"/>
      </w:pPr>
      <w:r>
        <w:t xml:space="preserve">La tesis depende de que el margen toque fondo en 2026: un beneficio básico del 3T26 de ≈ 24.000 M confirma el base; por debajo de 22.000 M, el bajista gana peso. Vigilar también las ventas de China en moneda local, el margen de Asia (5,1 % en el 1S26) y la guía de 2027 en febrero.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operativo básico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62.000 M en el 1S26 (13,3 %)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22.000 M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la guía recortada es el suelo.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China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se frena la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del resto de Asia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gama en Indonesia y Tailandia.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que paga todo.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11,5 % (ROIC − WACC &lt; 4,5)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Umbral de venta por calidad.</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 / 8,8x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26,9x / 20,6x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Keiichiro Takahara fundó Taisei Kako en 1961 (materiales de construcción) y en 1963 empezó a fabricar compresas; en 1974 adoptó el nombre Unicharm y en 1981 lanzó pañales infantiles [8]. La expansión exterior empezó en Taiwán (1984) y Tailandia (1987), siguió con China (1995) e Indonesia (1997) y se aceleró con compras en Oriente Medio (2005), Vietnam y EE. UU. (Hartz, mascotas, 2011) y el sudeste asiático (DSG, 2018) [8]. Takahisa Takahara, hijo del fundador, es presidente desde 2001 y primer ejecutivo desde 2004. En 2014 cambió el cierre a diciembre y en 2025 desdobló las acciones tres por una [1,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Taisei Kako por Keiichiro Takahara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compresas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pañales infantiles (Moony)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en Tailandia, primera gran base en el sudeste asiático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Shanghai Unicharm: entrada en China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Takahisa Takahara, presidente (primer ejecutivo desde 2004)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95 % de Diana (Vietnam) y del 51 % de Hartz (mascotas, EE. UU.)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DSG (Tailandia, Malasia, Indonesia)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Incendio en la fábrica de Ahmedabad (India): pérdida de 15.929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3×1; caída del beneficio básico del 21,4 % por China y Asia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13.º plan (ventas de 1,3 billones en 2030), compra de Nutrire (Brasil) y recorte de la guía en agosto [2, 18].</w:t>
            </w:r>
          </w:p>
        </w:tc>
      </w:tr>
    </w:tbl>
    <w:p>
      <w:pPr>
        <w:spacing w:after="160" w:before="0"/>
      </w:pPr>
    </w:p>
    <w:p>
      <w:pPr>
        <w:pStyle w:val="Heading1"/>
      </w:pPr>
      <w:r>
        <w:t xml:space="preserve">2. Modelo de negocio</w:t>
      </w:r>
    </w:p>
    <w:p>
      <w:pPr>
        <w:spacing w:after="100"/>
      </w:pPr>
      <w:r>
        <w:t xml:space="preserve">Unicharm fabrica y vende productos absorbentes desechables de no tejido en unos 80 países: pañales de adulto e incontinencia leve (Lifree), compresas y salvaslips (Sofy, Charm), pañales infantiles (Moony y MamyPoko, con el formato braguita como especialidad) y, desde 1998, comida e higiene para mascotas (Gran Deli, Silver Spoon, Hartz en EE. UU., Monello en Brasil) [2, 8]. Cuidado personal pesa el 82 % de las ventas de 2025 y mascotas el 16,5 % [1]. Vende a través de supermercados, droguerías, tiendas de conveniencia y, cada vez más, comercio electrónico (TikTok Shop, plataformas chinas); fabrica en Japón y en plantas propias de Tailandia, Indonesia, China, India, Vietnam, Arabia Saudí, Egipto y Brasil [2, 8]. El 64 % de las ventas se hace fuera de Japón [1].</w:t>
      </w:r>
    </w:p>
    <w:p>
      <w:pPr>
        <w:pStyle w:val="Heading2"/>
      </w:pPr>
      <w:r>
        <w:t xml:space="preserve">Cómo gana dinero</w:t>
      </w:r>
    </w:p>
    <w:p>
      <w:pPr>
        <w:spacing w:after="100"/>
      </w:pPr>
      <w:r>
        <w:t xml:space="preserve">Margen bruto del 39 % en 2025 (36,9 % en 2020 sin contar la inflación de 2022); el coste lo marcan la pulpa de celulosa, el polímero superabsorbente (SAP, derivado del petróleo) y el polipropileno de los no tejidos, más la logística [1]. El beneficio sale de la escala y de la mezcla: Japón, con productos de alto valor añadido y cuota n.º 1, gana el 19,7 % de sus ventas; Asia, donde compite con marcas baratas, el 5,4 %, y China pierde dinero [1]. La demanda es diaria y poco cíclica; el riesgo es de precio relativo (bajada de gama) y de coste de materias primas con 6-9 meses de retraso en las subidas de precio. Estacionalidad baja (el 4T carga deterioros y promociones). Mascotas añade crecimiento con margen del 15 % [1,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personal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Mascotas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personal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672.039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826.100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Mascotas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repartidos: minoristas y mayoristas en cada país, ninguno relevante por sí solo (no se publica un cliente por encima del 10 % de las ventas) [8]. El consumidor final cambia de marca con facilidad en los pañales infantiles y en el bajo precio, menos en incontinencia (la elección depende del grado de dependencia) y en compresas (fidelidad alta) [2]. Poder de precios demostrado solo en Japón: en 2022-2023 subió precios con la inflación de la pulpa y en el 2S26 sube «un dígito alto» en la mayor parte de la gama; en Asia la subida aporta solo un 1-2 % del beneficio y en China la empresa evita seguir las promociones «2 por 1» de la competencia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básico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 (2025); 13,3 %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en pérdidas y Asia a la mitad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básico de China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Daño reputacional en cuidado femenino y guerra de precios en comercio electrónico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Japón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 (2025); 20,7 %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beneficio: n.º 1 en las tres categorías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mascotas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156.084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15,4 %; +9,6 % en el 1S26 con Nutrire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China en moneda local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Restricción voluntaria de envíos; Indonesia +3 %, India +3 %, Vietnam +8 %, Norteamérica +10 %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 total al accionista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o más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o más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plan 2026-2030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Productos higiénicos absorbentes desechables (pañales infantiles y braguitas, compresas y salvaslips, incontinencia de adultos y toallitas), mundial, a precio de fabricante. Es el mercado que usamos para la cuota y el crecimiento; las mascotas (16,5 % de las ventas) son otro mercado y se tratan aparte. Fuente de tamaño: Meticulous Research (abril de 2026); no hay una segunda fuente gratuita con el mismo perímetro, así que se contrasta con la suma de ventas de los grandes (estimación propia en la ficha sectorial)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123.500 M USD en 2025 (≈ 19,6 billones de JPY a 158,45 JPY/USD)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(incontinencia de adultos)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segmento que más crece; China envejece más deprisa que Japón y apenas usa productos específicos [2,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Natalidad en Japón y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infantil japonés «encogiendo con la baja natalidad»; bajada de gama en Asia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India, Indonesia, Oriente Medio y África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 con uso de pañales «todavía bajo»; Egipto +15 % y Arabia Saudí con cuota récord en el 1S26 [2,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pulpa, el SAP y el petróleo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recortada 23.000 M por SAP comprado con prima y logística tras la crisis de Ormuz [2,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electrónico y promociones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China, «2 por 1» de la competencia en las plataformas; Unicharm invierte en marketing digital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P&amp;G, Kimberly-Clark, Kao, Essity y marcas locales baratas (Hengan en China) compiten con promociones; en Asia el precio manda [2,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gran distribución y las plataformas digitales negocian; el consumidor cambia de marca fácilmente en pañales infantiles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 y pulpa en pocas manos (químicas y papeleras); la prima pagada en 2026 lo muestra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líneas de alta velocidad y distribución; las marcas blancas y las locales entran por precio, no por tecnología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Pañales de tela, copas y braguitas menstruales reutilizables crecen desde una base pequeña (el segmento reutilizable es el de mayor crecimiento según [17]).</w:t>
            </w:r>
          </w:p>
        </w:tc>
      </w:tr>
    </w:tbl>
    <w:p>
      <w:pPr>
        <w:spacing w:after="160" w:before="0"/>
      </w:pPr>
    </w:p>
    <w:p>
      <w:pPr>
        <w:pStyle w:val="Heading2"/>
      </w:pPr>
      <w:r>
        <w:t xml:space="preserve">Ciclo</w:t>
      </w:r>
    </w:p>
    <w:p>
      <w:pPr>
        <w:spacing w:after="100"/>
      </w:pPr>
      <w:r>
        <w:t xml:space="preserve">Demanda de primera necesidad: en 2020 las ventas de Unicharm subieron (+1,9 %) y en 2022-2023 la inflación se trasladó con retraso (margen básico del 15,6 % al 13,3 %) [1]. El ciclo que importa es el de costes: SAP, pulpa y petróleo, hoy al alza por Oriente Medio, y el del yen (un yen débil infla las ventas exteriores). En China y el sudeste asiático la demanda sufre por la confianza del consumidor y la natalidad, no por el PIB.</w:t>
      </w:r>
    </w:p>
    <w:p>
      <w:pPr>
        <w:pStyle w:val="Heading2"/>
      </w:pPr>
      <w:r>
        <w:t xml:space="preserve">Regulación</w:t>
      </w:r>
    </w:p>
    <w:p>
      <w:pPr>
        <w:spacing w:after="100"/>
      </w:pPr>
      <w:r>
        <w:t xml:space="preserve">Normas de producto sanitario para incontinencia en algunos países y de etiquetado (China endureció la vigilancia tras el escándalo de longitud de compresas de 2024) [20]. Reforma del IVA indio de septiembre de 2025, que dejó sin recuperar 6.920 M de impuestos prepagados [1]. Normas de envases y plásticos de un solo uso en la UE y Japón: Unicharm recicla pañales usados (RefF) [18]. Aranceles de EE. UU. sobre importaciones de 2025 (afectan poco: la producción es local).</w:t>
      </w:r>
    </w:p>
    <w:p>
      <w:pPr>
        <w:pStyle w:val="Heading2"/>
      </w:pPr>
      <w:r>
        <w:t xml:space="preserve">Tendencias y disrupción</w:t>
      </w:r>
    </w:p>
    <w:p>
      <w:pPr>
        <w:spacing w:after="100"/>
      </w:pPr>
      <w:r>
        <w:t xml:space="preserve">Tres tendencias: el paso de los pañales infantiles a la incontinencia de adultos (Unicharm es n.º 1 en Japón y tiene la marca Lifree en Asia), la venta por comercio electrónico y redes sociales (más promoción y precios más visibles, donde las marcas locales chinas ganan cuota) y la premiumización de mascotas. Gana con la primera y la tercera; pierde con la segunda en China [2, 15,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en Japón en las tres categorías de cuidado personal y líder en el sudeste asiático; ≈ 4 % del mercado mundial de absorbentes (estimación propia: 774.428 M JPY de cuidado personal entre ≈ 19,6 billones de mercado) [1, 2,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Procter &amp; Gamble (Pampers, Always)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13.790.000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pañales y compresas; grupo con detergentes y cuidado personal (bebé, femenino y familia ≈ 25 % de sus ventas)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Kimberly-Clark (Huggies, Kotex, Depend)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centra en cuidado personal tras ceder el papel internacional a Suzano; compra Kenvue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Essity (TENA, Libresse)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ESSITY-B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en incontinencia profesional; fuerte en Europa y Latinoamérica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Kao (Merries, Laurier)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4452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Japón y China; ha reducido los pañales infantiles en China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Hengan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1044</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chino en compresas y pañuelos; compite por precio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Daio Paper (GOO.N)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3880</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y pañales; endeudada y con margen bajo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Ontex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ONTEX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blanca en Europa; reestructuración y desinversiones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productos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en pañales infantiles; algo mayores en incontinencia de adultos, donde el producto depende del grado de dependencia y del cuidador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Japón en las tres categorías con un margen del 19,7 %; cuota récord en Arabia Saudí; pero la marca no evitó la caída en China tras el daño reputacional (beneficio de 21.805 M en 2021 a −5.364 M en 2025) [4, 5,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no tejidos y líneas propias; el margen de Asia (5,4 %) muestra que no basta frente a las marcas baratas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densa en Japón y el sudeste asiático difícil de replicar; mercado maduro con pocos fabricantes grandes [2].</w:t>
            </w:r>
          </w:p>
        </w:tc>
      </w:tr>
    </w:tbl>
    <w:p>
      <w:pPr>
        <w:spacing w:after="160" w:before="0"/>
      </w:pPr>
    </w:p>
    <w:p>
      <w:pPr>
        <w:pStyle w:val="Heading2"/>
      </w:pPr>
      <w:r>
        <w:t xml:space="preserve">Amenazas</w:t>
      </w:r>
    </w:p>
    <w:p>
      <w:pPr>
        <w:spacing w:after="100"/>
      </w:pPr>
      <w:r>
        <w:t xml:space="preserve">Lo que más erosiona el foso es la bajada de gama en Asia y la competencia por promociones en las plataformas digitales chinas, donde la marca pesa menos que el precio y la reseña (probabilidad alta: ya está pasando) [15]. La natalidad reduce el mercado infantil en Japón y China. En incontinencia, Essity y Kimberly-Clark pueden entrar con fuerza en Asia. Un nuevo episodio reputacional en redes sociales chinas (como el de la longitud de las compresas de 2024) puede repetirse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898.022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988.981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945.268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2020-2025: ingresos </w:t>
      </w:r>
      <w:r>
        <w:rPr>
          <w:b/>
          <w:bCs/>
        </w:rPr>
        <w:t xml:space="preserve">5,4 %</w:t>
      </w:r>
      <w:r>
        <w:t xml:space="preserve">, EBITDA </w:t>
      </w:r>
      <w:r>
        <w:rPr>
          <w:b/>
          <w:bCs/>
        </w:rPr>
        <w:t xml:space="preserve">1,1 %</w:t>
      </w:r>
      <w:r>
        <w:t xml:space="preserve">, BPA </w:t>
      </w:r>
      <w:r>
        <w:rPr>
          <w:b/>
          <w:bCs/>
        </w:rPr>
        <w:t xml:space="preserve">5,0 %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727.475 M JPY en 2020 a 988.981 M en 2024 (TCAC del 8,0 %, con la depreciación del yen a favor) y cayeron un 4,4 % en 2025, a 945.268 M [1, 5, 7]. El margen operativo básico bajó del 15,8 % de 2020 al 11,5 % de 2025: China pasó de ganar 21.805 M en 2021 a perder 5.364 M en 2025 por el daño reputacional del cuidado femenino y la guerra de precios en comercio electrónico, y el resto de Asia de 30.739 M a 16.748 M por la bajada de gama en pañales infantiles y la restricción de envíos en Indonesia [1, 7]. Japón aguanta: 67.350 M de beneficio, el 19,7 % de sus ventas. Mascotas crece (156.084 M, +5,0 %) con un margen del 15,4 % [1]. En el 1S26 las ventas subieron un 4,9 % y el beneficio básico un 14,1 % (13,3 % de margen), pero la empresa recortó la guía del año de 136.000 a 113.000 M por el coste del polímero superabsorbente y la logística tras la crisis de Ormuz [2, 15].</w:t>
      </w:r>
    </w:p>
    <w:p>
      <w:pPr>
        <w:pStyle w:val="Heading2"/>
      </w:pPr>
      <w:r>
        <w:t xml:space="preserve">Ajustes y partidas no recurrentes</w:t>
      </w:r>
    </w:p>
    <w:p>
      <w:pPr>
        <w:spacing w:after="100"/>
      </w:pPr>
      <w:r>
        <w:t xml:space="preserve">Se usan las cifras NIIF publicadas. El EBIT del informe es el beneficio operativo básico (ventas − coste − gastos generales) más otros ingresos y gastos; la empresa da como cifra recurrente el beneficio básico, sin esos otros. Partidas no recurrentes dentro del EBITDA (en no_recurrentes_en_ebitda): 2020, pérdida por el incendio de Ahmedabad (15.929 M); 2021-2024, deterioros de fondo de comercio y activos en Malasia, Indonesia y otros (912-4.757 M); 2025, deterioros de 6.015 M y pérdida de 6.920 M por el IVA indio prepagado que ya no se recupera, menos 6.871 M de indemnización del seguro del incendio [1, 7]. Los deterioros se repiten cada año en importes pequeños: el BPA normalizado de 2025 sale ≈ 1,5 JPY por encima del publicado, no más.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252.948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(8-may-2026) la dirección decía que no había «casi ningún riesgo» de aprovisionamiento por Oriente Medio, que la venta al consumidor en China había vuelto al nivel previo al daño reputacional y que la caída de Indonesia (−9 %) era logística por el Ramadán [16]. Tres meses después (6-ago-2026) recortó la guía de beneficio básico un 16,9 % (136.000 → 113.000 M) y la de BPA de 50,26 a 40,68 JPY: compró polímero superabsorbente con prima para asegurar el suministro, la logística se encareció y China siguió con envíos restringidos [2, 15]. Las preguntas se repitieron en tres temas: cuánto aportarán las subidas de precio (Japón «un dígito alto» desde julio, ≈ 2.000 M de mejora; Asia solo 1-2 % del beneficio), si la prima de compra desaparece en 2027 (la dirección dice que sí) y cuándo vuelve China (cuota urbana del 15 % al 20 % en cuatro años y medio) [15]. Un analista preguntó si la guía es un suelo o un objetivo justo: «el mínimo absoluto» [15]. No dio cifras de la prima pagada ni del efecto de la guerra de promociones en China.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893.413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987.655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557.639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1.049.218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1.133.627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695.719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1.239.973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794.705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Nutrire Indústria de Alimentos (Brasil, comida para mascotas, marca Monello) consolidada desde el 1S26; 21.965 M JPY pagados netos de caja [2]. Fuera de los ejercicios reales.).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334.833 M de efectivo y depósitos a corto frente a 13.322 M de deuda bancaria y unos 35.000 M de arrendamientos a jun-26, más unos 100.000 M en renta fija a largo plazo y 44.396 M en acciones [2, 8]. El circulante comercial (existencias + clientes − proveedores) es el 6,0 % de las ventas en 2025 (5,9 % en 2024); los proveedores incluyen desde 2023 gastos devengados que antes iban en otros pasivos corrientes (2023 reexpresado: 210.965 M frente a 168.867 M; 2020-2022 sin reexpresar) [5, 6]. El patrimonio atribuido es el 65,9 % del activo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531.732</w:t>
      </w:r>
      <w:r>
        <w:t xml:space="preserve">, conversión </w:t>
      </w:r>
      <w:r>
        <w:rPr>
          <w:b/>
          <w:bCs/>
        </w:rPr>
        <w:t xml:space="preserve">125 %</w:t>
      </w:r>
      <w:r>
        <w:t xml:space="preserve"> del beneficio neto; adquisiciones 13.151, dividendos 136.694, recompras 98.202.</w:t>
      </w:r>
    </w:p>
    <w:p>
      <w:pPr>
        <w:spacing w:after="100"/>
      </w:pPr>
      <w:r>
        <w:t xml:space="preserve">El flujo operativo acumulado de 2020-2025 fue de 778.707 M JPY frente a 425.804 M de beneficio atribuido: la conversión es alta porque la amortización (≈ 47.000 M) supera al capex (28.627-39.326 M) y el circulante es pequeño [1, 5, 6, 7]. 2021-2022 fueron flojos (105.253 y 92.216 M) por la subida de existencias con la inflación de la pulpa y el petróleo; 2023 recuperó (162.415 M). La caja va sobre todo a los accionistas: dividendos de la dominante de 28.646 M y recompras de 22.002 M en 2025, más 13.942 M de dividendos a minoritarios [1]. El capex de 2025 (28.627 M, 3,0 % de las ventas) es el más bajo de la serie; el plan 2026-2030 prevé ≈ 400.000 M de inversión de crecimiento (capex y digitalización) en cinco años [10]. Estimación propia: el capex de mantenimiento ronda la amortización del inmovilizado material (≈ 35.000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AZSA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NIIF desde hace años, auditadas por KPMG AZSA desde 2023 (rotación obligatoria) [8]. No hay capitalización relevante de I+D (13.611 M de gasto en 2025, el 1,4 % de las ventas) ni pagos en acciones significativos (166 M) [1, 8]. Los deterioros aparecen todos los años (Malasia, Indonesia, China) y la empresa los saca del beneficio básico: hay que mirarlos como coste recurrente pequeño, no como excepcional. El salto del tipo efectivo (32,8 % en 2025 frente a 29,2 % en 2024) viene de pérdidas sin crédito fiscal en China e India. El resultado financiero vive de los intereses de la caja (5.714 M en 2025). Calidad del beneficio: el flujo operativo supera al beneficio todos los años. Lectura de los indicadores del motor en la síntesis.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fuera del beneficio básico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912-6.015 M al año en 2021-2025 (Malasia, Indonesia, China): reflejan que las compras y fábricas de Asia rinden menos de lo previsto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beneficio incumplida cinco años seguidos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básico frente a la guía inicial: 2022 119.566 frente a 127.000; 2023 127.974 frente a 141.000; 2024 138.463 frente a 144.000; 2025 108.884 frente a 146.000; 2026 recortada de 136.000 a 113.000 [1, 2, 5, 6,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Objetivos de la remuneración variable rebajados a mitad de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objetivos de 2025 son los de la previsión revisada de agosto de 2025, no los iniciales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372.932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570.894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50.499 M en 2025 (el 9 % del capital invertido medio); ha subido más de un 5 % en 1 de 3 años: compras pequeñas. ROIC publicado 12,7 %; sin fondo de comercio, 14,0 %.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-0,1 % · </w:t>
      </w:r>
      <w:r>
        <w:rPr>
          <w:b/>
          <w:bCs/>
        </w:rPr>
        <w:t xml:space="preserve">WACC</w:t>
      </w:r>
      <w:r>
        <w:t xml:space="preserve">: 7,0 %.</w:t>
      </w:r>
    </w:p>
    <w:p>
      <w:pPr>
        <w:spacing w:after="100"/>
      </w:pPr>
      <w:r>
        <w:t xml:space="preserve">Unicharm crea valor, pero cada vez menos: ROIC del 12,7 % en 2025 frente a un WACC del 6,98 %, 5,7 puntos de diferencia, cuando en 2020-2024 estaba entre el 18 % y el 23 % [1, 5]. Sin fondo de comercio (50.499 M, el 9 % del capital invertido), el ROIC es del 14,0 %: las compras son pequeñas y no explican la caída. La caída viene del margen (beneficio básico del 15,8 % en 2020 al 11,5 % en 2025) por China y el resto de Asia, y del capital que creció con el balance de caja. El ROE es más bajo (8,3 % en 2025) porque la empresa acumula caja y bonos (≈ 465.000 M, el 38 % del activo) [1, 8]. Con nuestro base, el ROIC vuelve al 15-16 % en 2028e.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-286.511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-405.011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Efectivo de 254.470 M JPY a 30-jun-2026, más 80.363 M de otros activos financieros corrientes (depósitos a plazo) y unos 100.000 M de bonos y fondos de renta fija a largo plazo; deuda bancaria de 13.322 M [2,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publicado (no emite bonos)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(NIIF 16) de 29.575 M a dic-25, con vencimientos hasta 2043; a jun-26 los otros pasivos financieros suben a 38.779 M por la compra de Nutrire [2, 8]. Pasivo por pensiones de 15.942 M (16.112 M a jun-26) [2]. Minoritarios de 95.388 M a valor contable en filiales de Asia y Oriente Medio (PT Uni-Charm Indonesia, que cotiza en Yakarta; Unicharm Gulf en Arabia Saudí; DSG en Tailandia, entre otras) [8]. Sin covenants relevantes ni garantías significativas. El riesgo fiscal indio (IVA prepagado) ya se ha cargado en 2025 (6.920 M) [1].</w:t>
      </w:r>
    </w:p>
    <w:p>
      <w:pPr>
        <w:pStyle w:val="Heading1"/>
      </w:pPr>
      <w:r>
        <w:t xml:space="preserve">12. Asignación de capital</w:t>
      </w:r>
    </w:p>
    <w:p>
      <w:pPr>
        <w:pStyle w:val="Confianza"/>
        <w:spacing w:after="100"/>
      </w:pPr>
      <w:r>
        <w:t xml:space="preserve">Confianza: Alta</w:t>
      </w:r>
    </w:p>
    <w:p>
      <w:pPr>
        <w:spacing w:after="100"/>
      </w:pPr>
      <w:r>
        <w:t xml:space="preserve">Desde 2026 (13.º plan a medio plazo, 2026-2030), retribución total de al menos el 65 % del beneficio (antes, 50 % o más) con dividendo creciente: 22 JPY en 2026 (25 años seguidos de subida) y recompras de 19.000 M en 2026, ya ejecutadas en el 1S [1, 2, 10]. Prioridades del plan: hasta 1 billón de JPY de flujo operativo en cinco años, ≈ 400.000 M para inversión de crecimiento (capex y digitalización), ≈ 150.000 M de reserva para compras y el resto a los accionistas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Diana Joint Stock Company (Vietnam), 95 %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18.506 M a dic-25 sin deterioro; Vietnam crece (+8 % en el 1S26)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Hartz Mountain Corporation (EE. UU., mascotas), 51 %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mascotas en Norteamérica; ventas +10 % en el 1S26 con margen alto [8,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DSG (Cayman), pañales en Tailandia, Malasia e Indonesia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Malasia deteriorado por completo en 2023-2025 (1.784 M el último tramo); el de Tailandia (29.387 M) sigue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Jiangsu Jijia Pet Products (JIA PETS, China), participación por puesta en equivalencia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Asociada (21.205 M a jun-26); en pérdidas (−906 M de participadas en 2025)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Nutrire Indústria de Alimentos (Brasil, comida para mascotas Monello),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el 1S26; intangibles +16.759 M en el balance [2].</w:t>
            </w:r>
          </w:p>
        </w:tc>
      </w:tr>
    </w:tbl>
    <w:p>
      <w:pPr>
        <w:spacing w:after="160" w:before="0"/>
      </w:pPr>
    </w:p>
    <w:p>
      <w:pPr>
        <w:spacing w:after="100"/>
      </w:pPr>
      <w:r>
        <w:t xml:space="preserve">La dirección reparte mucho y compra poco: en 2020-2025 pagó 136.694 M de dividendos y 98.204 M de recompras (234.898 M, el 55 % del beneficio atribuido) y solo 13.151 M en compras [1, 5, 6, 7]. Las compras grandes de la década pasada dieron resultados desiguales: Vietnam y Tailandia sostienen su fondo de comercio, Malasia se ha deteriorado entero y China, donde se invirtió en fábricas propias, pierde dinero [1]. Las acciones en circulación bajaron de 1.792,6 M (media de 2020) a 1.720,8 M a jun-26 (−4,0 %) [2]. La nueva política del 65 % de reparto y el balance de caja neta dan margen para seguir recomprando ≈ 1 % del capital al año.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Takahisa Takahara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representante, presidente y primer ejecutivo; preside 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en la empresa desde 1991, presidente desde 2001 y primer ejecutivo desde 2004 [8]. Con él las ventas pasaron de unos 300.000 M a 945.268 M JPY y el 64 % fuera de Japón, pero el margen básico cayó del 15,8 % (2020) al 11,5 % (2025) y la guía se ha incumplido cuatro años seguidos [1, 8]. Su familia controla un 31,6 % adicional a través de Unitec y Takahara Kikin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Takaku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general sénior (marketing y ventas)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1983; dirigió Brasil e India y el marketing global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Shite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consejero en la junta de marzo de 2025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Hirotatsu Shimada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ejecutivo sénior, director financiero (contabilidad y finanzas)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las cuentas y del contacto con inversores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básico 100.000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114.744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básico 119.000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122.482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básico 127.000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119.566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básico 141.000 M; ventas 963.500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127.974 M; 941.790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básico 144.000 M; ventas 1.006.000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138.463 M; 988.981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básico 146.000 M; ventas 1.025.000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108.884 M; 945.268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básico 136.000 M (feb); 113.000 M (ago)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65.032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estable y muy ligada a la familia fundadora: Takahara lleva 25 años al frente y preside a la vez el consejo [8]. Su credibilidad en previsiones es baja: cuatro años seguidos de beneficio por debajo de la guía inicial (2022-2025) y un recorte del 16,9 % en agosto de 2026, después de decir en mayo que el riesgo de aprovisionamiento era casi nulo [1, 2, 5]. No hay plan de sucesión público; el consejo tiene seis miembros y solo dos externos [8].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Takahisa Takahara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Takaku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Shite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Shigeru Asada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(miembro de auditoría a tiempo completo)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 Nombramientos,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Sugita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supervisión, Nombramientos (preside), Remuneración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Noriko Rzonca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supervisión (preside), Nombramientos,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Unitec Corporation (sociedad de la familia Takahara)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Takahara Kikin K.K.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Iyo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Life Insurance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122,6 M de acciones a dic-25 y 141,7 M a jun-26 (sobre 1.862,5 M emitidas)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390 M JPY en 2025: 150 M fijos, 111 M de variable anual y 129 M en acciones restringidas a tres años [8]. El variable depende al 50 % de ventas, beneficio básico y beneficio neto frente al plan del año y al 50 % de estrategias y calificaciones ESG; no hay ROIC, ROE ni rentabilidad para el accionista [8]. En 2025 los objetivos fueron los de la previsión revisada en agosto (beneficio básico de 120.000 M), no los iniciales (146.000 M): la rebaja del objetivo suaviza el castigo por incumplir [8]. Hay cláusula de recuperación de las acciones por fraude o pérdidas sustanciales. La cuantía individual la decide el propio presidente por delegación del consejo, tras informar a la comisión de remuneración [8].</w:t>
      </w:r>
    </w:p>
    <w:p>
      <w:pPr>
        <w:pStyle w:val="Heading2"/>
      </w:pPr>
      <w:r>
        <w:t xml:space="preserve">Operaciones vinculadas, estructura de control y defensas</w:t>
      </w:r>
    </w:p>
    <w:p>
      <w:pPr>
        <w:spacing w:after="100"/>
      </w:pPr>
      <w:r>
        <w:t xml:space="preserve">La familia Takahara controla de hecho la junta con un 31,6 % (Unitec 26,72 % y Takahara Kikin 4,84 %) más el 0,68 % directo del presidente [8]. Una acción, un voto; sin blindajes estatutarios publicados. El presidente del consejo es el primer ejecutivo y miembro de la familia, y el consejo tiene solo dos independientes de seis (33 %); ISS recomendó votar en contra de su reelección en 2022 por esa razón [8, 21]. Las comisiones de nombramientos y remuneración las presiden independientes, pero el presidente forma parte de ellas y decide la remuneración individual [8].</w:t>
      </w:r>
    </w:p>
    <w:p>
      <w:pPr>
        <w:pStyle w:val="Heading2"/>
      </w:pPr>
      <w:r>
        <w:t xml:space="preserve">Señales de alerta</w:t>
      </w:r>
    </w:p>
    <w:p>
      <w:pPr>
        <w:pStyle w:val="ListParagraph"/>
        <w:numPr>
          <w:ilvl w:val="0"/>
          <w:numId w:val="2"/>
        </w:numPr>
        <w:spacing w:after="60"/>
      </w:pPr>
      <w:r>
        <w:t xml:space="preserve">Consejo con un tercio de independientes y presidente ejecutivo de la familia de control [8].</w:t>
      </w:r>
    </w:p>
    <w:p>
      <w:pPr>
        <w:pStyle w:val="ListParagraph"/>
        <w:numPr>
          <w:ilvl w:val="0"/>
          <w:numId w:val="2"/>
        </w:numPr>
        <w:spacing w:after="60"/>
      </w:pPr>
      <w:r>
        <w:t xml:space="preserve">Remuneración individual decidida por el propio presidente por delegación del consejo [8].</w:t>
      </w:r>
    </w:p>
    <w:p>
      <w:pPr>
        <w:pStyle w:val="ListParagraph"/>
        <w:numPr>
          <w:ilvl w:val="0"/>
          <w:numId w:val="2"/>
        </w:numPr>
        <w:spacing w:after="60"/>
      </w:pPr>
      <w:r>
        <w:t xml:space="preserve">Objetivos del variable fijados con la previsión ya rebajada [8].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revisada el 5-ago-2026: ventas de 1.015.000 M JPY (+7,4 %), beneficio básico de 113.000 M (+3,8 %), beneficio atribuido de 70.000 M y BPA de 40,68 JPY; la de febrero era 136.000 M y 50,26 JPY [2]. Dividendo de 22 JPY (11 + 11). Objetivos fijos del plan 2026-2030: ventas de 1,3 billones en 2030 (aspiración, 1,5 billones con margen básico y ROE del 17 %) y retribución total ≥ 65 %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1.004.480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1.015.218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1.004.480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1.060.903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1.056.218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1.108.643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1.104.972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192.963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1.120,57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980,00 – 1.450,00</w:t>
            </w:r>
          </w:p>
        </w:tc>
      </w:tr>
    </w:tbl>
    <w:p>
      <w:pPr>
        <w:spacing w:after="160" w:before="0"/>
      </w:pPr>
    </w:p>
    <w:p>
      <w:pPr>
        <w:pStyle w:val="Heading2"/>
      </w:pPr>
      <w:r>
        <w:t xml:space="preserve">Revisiones de estimaciones</w:t>
      </w:r>
    </w:p>
    <w:p>
      <w:pPr>
        <w:spacing w:after="100"/>
      </w:pPr>
      <w:r>
        <w:t xml:space="preserve">El BPA de 2026 del consenso bajó de 46,76 JPY hace 90 días a 45,46 hace 30 y 42,69 hoy (−8,7 %), y el de 2027 de 50,77 a 50,02 (−1,5 %): los analistas han recogido el recorte de la guía de agosto en el año en curso, pero apenas en 2027 [24]. El consenso de 2026 (42,69) sigue por encima de la guía (40,68). Dos proveedores (MarketScreener y Yahoo) dan las mismas cifras de BPA y el mismo objetivo medio (1.120,57 JPY) [23, 24].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13 % en el año, por debajo del TOPIX (+19,9 %), y un 7,1 % en 12 meses; en tres años cae un 15,1 % anual y en cinco un 7,2 % anual, por la pérdida de margen en China y Asia [22]. Tocó 874,7 JPY tras el recorte de la guía y rebota desde septiembre: el 15-oct cerró en 1.000 JPY el día que el Nikkei cayó un 4,9 %, con siete sesiones de subida seguidas [22, 32]. Beta mensual de 0,34 frente al TOPIX (ajustada 0,56) y volatilidad del 27,8 %: se comporta como valor defensivo. Liquidez alta (≈ 4.900 M JPY al día).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PER de los últimos 12 meses, la acción cotiza a 26,9 veces frente a una media de 38,1 veces en sus seis cierres de ejercicio (percentil 17) y a 9,9 veces el EBITDA frente a 16,7 veces [1, 22]. Con el PER adelantado (el que usa la regla): 20,7 veces nuestro BPA de 2027e frente a una mediana de 34,9 veces en cinco años. El descuento refleja que Unicharm ha dejado de crecer y ha perdido margen en Asia: en 2020-2023 el mercado pagaba 40 veces por una empresa que crecía un 8-10 % al año. No suponemos volver a esos múltiplos: el tope de la regla (×1,1) deja el base en 22,8x.</w:t>
      </w:r>
    </w:p>
    <w:p>
      <w:pPr>
        <w:pStyle w:val="Heading1"/>
      </w:pPr>
      <w:r>
        <w:t xml:space="preserve">18. Comparables cotizados</w:t>
      </w:r>
    </w:p>
    <w:p>
      <w:pPr>
        <w:pStyle w:val="Confianza"/>
        <w:spacing w:after="100"/>
      </w:pPr>
      <w:r>
        <w:t xml:space="preserve">Confianza: Media</w:t>
      </w:r>
    </w:p>
    <w:p>
      <w:pPr>
        <w:spacing w:after="100"/>
      </w:pPr>
      <w:r>
        <w:t xml:space="preserve">Fabricantes cotizados de pañales, compresas e incontinencia (Procter &amp; Gamble, Kimberly-Clark, Essity, Hengan, Daio), rivales japoneses de consumo con higiene (Kao, Lion) y Colgate por la comida para mascotas de Hill's. Quedan fuera Kenvue (comprada por Kimberly-Clark), Vinda (excluida de bolsa) y los fabricantes de marca blanca, sin cotización o sin datos comparables.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Unicharm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Procter &amp; Gamble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57.609.032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Kimberly-Clark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5.238.778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2.898.009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3.358.462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Hengan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464.948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Colgate-Palmolive (Hill's)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11.719.575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Daio Paper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148.826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 / 8,1x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16,5x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968.231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 / 1,7x / 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1.642,33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Unicharm cotiza con prima a la mediana de los comparables: 20,6 veces el BPA de los próximos 12 meses frente a 16,5 veces, y a 9,9 veces el EBITDA [19]. Procter &amp; Gamble (22,0x), Colgate (22,9x) y Kao (22,6x) cotizan por encima; Kimberly-Clark (13,4x), Essity (13,7x), Daio (11,4x) y Hengan (8,1x) por debajo. La prima se justifica por la caja neta (frente a deuda en PG, KMB, Essity y Daio) y la exposición a India y Oriente Medio, y se ha estrechado mucho: en 2021 era de más del doble.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Kenvue (cuidado personal y salud de consumo)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Kimberly-Clark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48.700 M USD; 14,3 veces el EBITDA ajustado (8,8 con sinergias)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Vinda International (papel y absorbentes, China)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Royal Golden Eagle (RGE)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de 28.300 M HKD más deuda neta de ≈ 3.300 M HKD; múltiplo sobre el EBITDA estimado de 2023 (2.700 M HKD): estimación propia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internacional de papel de Kimberly-Clark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Suzano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tisú, no absorbentes: solo como suelo de referencia; múltiplo estimado con el EBITDA de 2024 publicado en prensa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Nutrire Indústria de Alimentos (comida para mascotas, Brasil)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neto de caja; múltiplos no publicados [2].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empresas de higiene desechable se han pagado a 11-14 veces el EBITDA: Kenvue por Kimberly-Clark (2025, 14,3 veces el EBITDA ajustado con sinergias) y Vinda por RGE (2023, ≈ 11,7 veces, estimación propia) [25, 26]. La empresa conjunta de papel internacional de Kimberly-Clark con Suzano (6,8x) no es comparable: es papel, no higiene [27]. Aplicadas a Unicharm darían 1.300-1.650 JPY, por encima del precio y del DCF; no pesan en la síntesis porque son de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+7,4 %, fijo: la guía revisada del 5-ago (1,015 billones de JPY) incluye Nutrire (Brasil, comida para mascotas) y subidas de precio [2, 9]. 2027e y 2028e +4,5 %: India (+20 % en el 1S26), Oriente Medio, mascotas y precios en Japón compensan la caída de natalidad en Japón y China (China −14 % en moneda local en el 1S26) [9, 15]. Después 4 %, 4 %, 3 % y 2,5 %, por debajo del 5,4 % de 2020-2025 (con el yen a favor) y algo por encima del mercado de absorbentes (3,9 %) [17].</w:t>
      </w:r>
    </w:p>
    <w:p>
      <w:pPr>
        <w:keepNext/>
        <w:spacing w:after="100"/>
      </w:pPr>
      <w:r>
        <w:rPr>
          <w:b/>
          <w:bCs/>
        </w:rPr>
        <w:t xml:space="preserve">Márgenes.</w:t>
      </w:r>
    </w:p>
    <w:p>
      <w:pPr>
        <w:spacing w:after="100"/>
      </w:pPr>
      <w:r>
        <w:t xml:space="preserve">Margen EBITDA del 15,7 % en 2026e (beneficio básico de 113.000 M de la guía, con el SAP comprado con prima y la logística encarecida por Ormuz) [2, 15], 17,1 % en 2027e y 17,4-17,8 % desde 2028e, frente al 18-20 % de 2020-2024 y el 15,8 % de 2025 [1, 5]. El consenso da 16,3 %, 17,1 % y 17,5 % [23]. No suponemos volver al 20 % de 2021: China y el resto de Asia han perdido rentabilidad de forma duradera.</w:t>
      </w:r>
    </w:p>
    <w:p>
      <w:pPr>
        <w:keepNext/>
        <w:spacing w:after="100"/>
      </w:pPr>
      <w:r>
        <w:rPr>
          <w:b/>
          <w:bCs/>
        </w:rPr>
        <w:t xml:space="preserve">Inversión y circulante.</w:t>
      </w:r>
    </w:p>
    <w:p>
      <w:pPr>
        <w:spacing w:after="100"/>
      </w:pPr>
      <w:r>
        <w:t xml:space="preserve">Capex del 4,0 % de las ventas en 2026e (40.600 M, ya recortado en el 1S) y 4,8 % en 2027e-2030e, en línea con los ≈ 400.000 M de inversión de crecimiento del plan 2026-2030 y frente al 4,4-4,9 % de 2020-2025 [1, 10]. Amortización del 4,6 % (con derechos de uso NIIF 16). Circulante del 6,0 % de las ventas, como en 2025 [1].</w:t>
      </w:r>
    </w:p>
    <w:p>
      <w:pPr>
        <w:keepNext/>
        <w:spacing w:after="100"/>
      </w:pPr>
      <w:r>
        <w:rPr>
          <w:b/>
          <w:bCs/>
        </w:rPr>
        <w:t xml:space="preserve">Coste del capital.</w:t>
      </w:r>
    </w:p>
    <w:p>
      <w:pPr>
        <w:spacing w:after="100"/>
      </w:pPr>
      <w:r>
        <w:t xml:space="preserve">Tasa libre: bono japonés a 10 años, 3,015 % (14-oct-2026) [28]. Beta 0,65: la mensual de cinco años es de 0,34 y la ajustada de 0,56-0,62 [22]; subimos a 0,65 porque la beta de un valor defensivo en un mercado muy cíclico infravalora su riesgo propio (China, Asia). Prima de mercado del 5,5 % y prima adicional de 0,5 puntos por la exposición a emergentes (≈ 40 % de las ventas). Coste de la deuda del 2,5 % con un peso del 2 % (caja neta). WACC del 6,98 %.</w:t>
      </w:r>
    </w:p>
    <w:p>
      <w:pPr>
        <w:keepNext/>
        <w:spacing w:after="100"/>
      </w:pPr>
      <w:r>
        <w:rPr>
          <w:b/>
          <w:bCs/>
        </w:rPr>
        <w:t xml:space="preserve">Valor terminal.</w:t>
      </w:r>
    </w:p>
    <w:p>
      <w:pPr>
        <w:spacing w:after="100"/>
      </w:pPr>
      <w:r>
        <w:t xml:space="preserve">Gordon con crecimiento del 2,0 % en yenes (inflación a largo plazo del Banco de Japón y algo de crecimiento en Asia). El valor terminal pesa un 75 % del valor empresa y el múltiplo implícito es de 10,5 veces el EBITDA, frente a un EV/EBITDA actual de 9,9x y una media histórica de 16,7x: no es exigente.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78.289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2.356.406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2.704.088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509.670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1.549.303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1.604,50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22.385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(reinvierte el 55 %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(histórico: -0,1 %)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frente al 4,3 %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22.385 M, el 3 % del NOPAT, con un capex bruto medio del 4,6 % de las ventas). En un negocio de activos ligeros, el crecimiento medio del 4,3 %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(India, Oriente Medio, mascotas; China cae); precio +2,5 % (subidas en Japón y Asia por el SAP) [9, 15]; otros +2,9 % por Nutrire y el yen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+2 %; otros +0,5 % (Nutrire, año completo).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(India y África con capacidad nueva) y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y precio +2 %, algo por encima del mercado (3,9 %)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y precio +2 %, con el objetivo del plan (1,3 billones) todavía lejos [18].</w:t>
            </w:r>
          </w:p>
        </w:tc>
      </w:tr>
    </w:tbl>
    <w:p>
      <w:pPr>
        <w:spacing w:after="160" w:before="0"/>
      </w:pPr>
    </w:p>
    <w:p>
      <w:pPr>
        <w:spacing w:after="100"/>
      </w:pPr>
      <w:r>
        <w:t xml:space="preserve">En parte. Las pruebas del motor dan «Sí»: el crecimiento proyectado (4,3 % anual) está por debajo de la historia (5,4 %), la cuota se mantiene en ≈ 4 % de un mercado que crece un 3,9 % y la reinversión necesaria es pequeña (el ROIC actual del 12,7 % financiaría un 6,9 %). Lo que no pasa es la prueba que importa en un negocio de marcas: el poder de precios. Unicharm no ha podido repercutir el coste del SAP y la logística en 2026 (guía recortada un 17 %), ha perdido cuota y margen en China (de 21.805 M de beneficio en 2021 a −5.364 M en 2025) y en Indonesia, y su ROIC bajó del 22,6 % al 12,7 % con un ROIC incremental de 2021-2025 de ≈ 0. Mientras el margen de 2027 no confirme la recuperación,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 (base: 17,8 %)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7,0 %)</w:t>
            </w:r>
          </w:p>
        </w:tc>
      </w:tr>
    </w:tbl>
    <w:p>
      <w:pPr>
        <w:spacing w:after="160" w:before="0"/>
      </w:pPr>
    </w:p>
    <w:p>
      <w:pPr>
        <w:spacing w:after="100"/>
      </w:pPr>
      <w:r>
        <w:t xml:space="preserve">El DCF da 1.287,30 JPY por acción (+28,7 %), con el valor terminal pesando un 75 %. El DCF inverso dice que a 1.000 JPY el mercado descuenta que las ventas caigan un 2,2 % al año entre 2027e y 2032e (proyectamos +3,8 %) o que el margen no se recupere; la rentabilidad implícita es del 8,5 % frente a un WACC del 6,98 %. El precio ya descuenta una empresa que no vuelve a crecer: para perder dinero desde aquí hace falta que el margen siga bajando, no solo que se quede donde está.</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sigue en pérdidas y la competencia local se extiende a Indonesia y Tailandia; la natalidad sigue cayendo en Japón y el SAP y la logística no bajan: crecimiento del 1,8 % anual y margen EBITDA final del 14,8 %, como en 2026, con un WACC 0,5 puntos más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recortada de 2026 (beneficio básico de 113.000 M), las subidas de precio recuperan parte del margen en 2027 y India, Oriente Medio, adultos en Japón y mascotas crecen: ventas +4,3 % anual y margen EBITDA del 17,8 % desde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vuelve al equilibrio con la nueva gama, Asia recupera precio, el yen débil y los incontinentes de Japón (envejecimiento) sostienen el margen: crecimiento del 5,3 % anual y margen EBITDA del 18,8 %, todavía por debajo del 20 % de 2021.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1.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1.221,58 JPY (+22,2 %).</w:t>
      </w:r>
    </w:p>
    <w:p>
      <w:pPr>
        <w:spacing w:after="100"/>
      </w:pPr>
      <w:r>
        <w:t xml:space="preserve">La asimetría es favorable: el alcista vale 1.470,65 JPY (+47,1 %) y el bajista 841,05 (−15,9 %), unas 2,96 veces más ganancia que pérdida. El bajista es verosímil, porque es lo que ha pasado en 2022-2026: margen a la baja y guías incumplidas. La caja neta (≈ 287.000 M, el 17 % de la capitalización, sin contar 130.000 M de bonos y fondos) y el negocio de Japón (19,7 % de margen) ponen un suelo.</w:t>
      </w:r>
    </w:p>
    <w:p>
      <w:pPr>
        <w:pStyle w:val="Heading1"/>
      </w:pPr>
      <w:r>
        <w:t xml:space="preserve">22. Suma de partes</w:t>
      </w:r>
    </w:p>
    <w:p>
      <w:pPr>
        <w:pStyle w:val="Confianza"/>
        <w:spacing w:after="100"/>
      </w:pPr>
      <w:r>
        <w:t xml:space="preserve">Confianza: Media</w:t>
      </w:r>
    </w:p>
    <w:p>
      <w:pPr>
        <w:spacing w:after="100"/>
      </w:pPr>
      <w:r>
        <w:t xml:space="preserve">No aplica: cuidado personal y mascotas comparten marca corporativa, fábricas de no tejidos, compras de pulpa y SAP y la red de distribución en Japón y Asia; mascotas (el 17 % de las ventas) no cambiaría la valoración a múltiplos de comida para mascotas.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1.0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1.163,52 JPY (+16,4 % sobre 1.000,00).</w:t>
      </w:r>
    </w:p>
    <w:p>
      <w:pPr>
        <w:spacing w:after="100"/>
      </w:pPr>
      <w:r>
        <w:t xml:space="preserve">Pesamos el DCF (40 %) y los escenarios (40 %) porque recogen el ciclo de margen y la caja, y los comparables al 20 % porque Unicharm cotiza siempre con prima a ellos (crecimiento en Asia y Japón muy rentable) y la mediana del grupo (16,5x de PER) incluye a Hengan y Daio, con menos margen o más deuda. Las transacciones (Kenvue a 14,3 veces el EBITDA, Vinda a ≈ 11,7) no pesan: son compras de control con sinergias y darían 1.300-1.650 JPY, por encima del DCF [25, 26]. El valor intrínseco (1.163,52 JPY) está un 16,4 % por encima del precio; con la prima implícita del mercado (4,2 %) sube a 1.348,65 [29].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(20.7x) × 1.1 (tope: la mediana de 5 años, 34.9x,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1.762,18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+78,2 %</w:t>
            </w:r>
          </w:p>
        </w:tc>
      </w:tr>
    </w:tbl>
    <w:p>
      <w:pPr>
        <w:spacing w:after="160" w:before="0"/>
      </w:pPr>
    </w:p>
    <w:p>
      <w:pPr>
        <w:spacing w:after="100"/>
      </w:pPr>
      <w:r>
        <w:rPr>
          <w:b/>
          <w:bCs/>
        </w:rPr>
        <w:t xml:space="preserve">Objetivo a 12 meses (ponderado):</w:t>
      </w:r>
      <w:r>
        <w:t xml:space="preserve"> 1.229,45 JPY · rentabilidad +24,9 % (base +20,6 %) · señal Comprar.</w:t>
      </w:r>
    </w:p>
    <w:p>
      <w:pPr>
        <w:spacing w:after="100"/>
      </w:pPr>
      <w:r>
        <w:t xml:space="preserve">Para comparar, con la regla v2 (historia al cierre, mismo precio): 17,6x / 20,7x / 26,9x, 13,4 % Mantener; con el tope anterior del base (×1,3, 14-oct mediodía): 45,2 %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2028e (52,0 JPY) está un 4,9 % por debajo del consenso (54,70) y el de 2027e (≈ 48,3) un 3,4 % por debajo (50,02) [23]: somos algo más prudentes en el margen, porque la empresa lleva cuatro años sin cumplir su guía. El EBITDA coincide (192.904 frente a 192.963 M en 2028e); la diferencia está en los minoritarios y el tipo fiscal. El objetivo medio de los analistas (1.120,57 JPY) supone ≈ 21-22 veces el BPA de 2027e-2028e; nuestra regla da 22,8x en el base porque la acción cotiza muy por debajo de su mediana adelantada (34,9x).</w:t>
      </w:r>
    </w:p>
    <w:p>
      <w:pPr>
        <w:keepNext/>
        <w:spacing w:after="100"/>
      </w:pPr>
      <w:r>
        <w:rPr>
          <w:b/>
          <w:bCs/>
        </w:rPr>
        <w:t xml:space="preserve">Del valor intrínseco al objetivo a 12 meses.</w:t>
      </w:r>
    </w:p>
    <w:p>
      <w:pPr>
        <w:spacing w:after="100"/>
      </w:pPr>
      <w:r>
        <w:t xml:space="preserve">El objetivo a 12 meses (1.229,45 JPY) queda un 6 % por encima del valor intrínseco (1.163,52) y el base (1.185,60) casi coincide con él: el mercado paga hoy 20,7 veces nuestro BPA de 2027e, la cifra más baja de los últimos diez años, y la regla supone que recupera algo del múltiplo (22,8x, tope ×1,1). La rentabilidad depende de dos cosas: que el beneficio vuelva a crecer un 13 % al año en 2027-2028 y que el mercado deje de descontar más recortes de guía. Con la historia al cierre (v2) la ponderada baja al 13,4 %: la compra no es robusta.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beneficio básico del 3T está en línea con la guía recortada (≈ 24.000 M al trimestre en el 2S), confirma el suelo; otro recorte llevaría al bajista [31,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el margen sube (17 % de EBITDA en nuestro base) y si sigue el 65 % de reparto con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del 13.º plan (≥ 65 % de reparto total)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BPA de 2026 (≈ 40,7) y un dividendo de 22 JPY, quedan ≈ 8.000-15.000 M al año para recompras, ≈ 0,5-0,9 %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SAP (polímero superabsorbente) y de la pulpa; tipo de cambio del yen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SAP comprado con prima tras Ormuz explica buena parte del recorte de 2026; una normalización devolvería 1-2 puntos de margen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nueva gama de compresas y pañales y reestructuración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 al equilibrio en China suma ≈ 5.000 M de beneficio básico (≈ 2 JPY de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Abierta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Opa de exclusión de la familia Takahara (31,6 %)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Especulación de foro sin hechos; con la prima habitual en Japón (30-50 %) daría 1.300-1.500 JPY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se recupera: competencia local en China y bajada de gama en Indonesia y Tailandia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sobre el DCF (bajista de 841,05 frente a 1.287,30)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(19,7 % de margen), mascotas (15,4 %) y caja neta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básico del 3T26 por debajo de 22.000 M o nueva rebaja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Natalidad en caída en Japón, China y el sudeste asiático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 pañales infantiles ≈ 25-30 %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Incontinencia de adultos (envejecimiento), India y África con natalidad alta, mascotas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cuidado infantil en Asia por debajo del −5 %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SAP, la pulpa y la logística (Ormuz)</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(estimación propia: −1 punto de margen EBITDA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en Japón y contratos de suministro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38 %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10 % de subida del yen frente a las monedas de Asia (estimación propia, efecto de conversión)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cada país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en filiales (Malasia, Indonesia, China) y crédito fiscal en India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 1,5 JPY de BPA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pequeños frente al beneficio (912-6.015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por encima de 10.000 M en un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familiar: presidente ejecutivo y control del 31,6 %, consejo con 2 independientes de 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del 65 % y caja que no se malgasta en compras grandes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grande (&gt; 150.000 M) o voto bajo en la reelección del presidente (ISS votó en contra en 2022)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Inteligencia artificial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de compra repetida; la IA ayuda en el desarrollo y la cadena de suministro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las marcas blancas y de los vendedores en línea en Japón por encima del 20 %</w:t>
            </w:r>
          </w:p>
        </w:tc>
      </w:tr>
    </w:tbl>
    <w:p>
      <w:pPr>
        <w:spacing w:after="160" w:before="0"/>
      </w:pPr>
    </w:p>
    <w:p>
      <w:pPr>
        <w:pStyle w:val="Heading2"/>
      </w:pPr>
      <w:r>
        <w:t xml:space="preserve">Pre-mortem</w:t>
      </w:r>
    </w:p>
    <w:p>
      <w:pPr>
        <w:spacing w:after="100"/>
      </w:pPr>
      <w:r>
        <w:t xml:space="preserve">Octubre de 2027: la acción vale 780 JPY y hemos perdido un 22 %. Lo que pasó: el 3T26 salió por debajo de la guía, la empresa recortó otra vez en febrero de 2027 y dio una guía plana; China siguió en pérdidas y la bajada de gama llegó a la India, donde los fabricantes locales copiaron los pañales braga. El SAP no bajó y el yen se apreció a 140 por dólar con la subida de tipos del Banco de Japón. El mercado dejó de ver a Unicharm como una empresa de crecimiento en Asia y la valoró como Kimberly-Clark o Essity, a 15-16 veces el beneficio. Lo que habríamos visto antes: el margen bruto del 2S26 por debajo del 1S y las promociones en Japón.</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a +2 % (estimación propia)</w:t>
      </w:r>
    </w:p>
    <w:p>
      <w:pPr>
        <w:spacing w:after="100"/>
      </w:pPr>
      <w:r>
        <w:t xml:space="preserve">Unicharm vende pañales, compresas, productos de incontinencia y comida para mascotas: productos físicos de compra repetida que la IA no puede sustituir. El riesgo de que la IA se coma el negocio es bajo. Hay dos efectos indirectos. A favor: la IA ayuda en el desarrollo de producto, en la planificación de la producción y en el márketing digital, donde la empresa ya usa datos de venta en línea en China y Japón. En contra: los agentes de compra con IA y la comparación automática de precios en el comercio electrónico pueden quitar valor a la marca en categorías donde el cliente elige por precio por unidad, como ya pasa en China con las plataformas en línea. Eso empujaría a las marcas blancas y a los fabricantes locales. El efecto neto sobre el valor es pequeño.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 bosques y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 en tres categorías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JPX Blossom Japan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Los tres asuntos que mueven las cifras: (1) el plástico y la pulpa de los productos desechables, con presión regulatoria sobre envases y residuos; Unicharm recicla pañales usados y vende en guarderías un pañal con pulpa reciclada (RefF) [2, 18]; (2) la deforestación en la cadena de la pulpa, con calificación A de CDP en bosques [8]; (3) la seguridad y el etiquetado del producto, donde un escándalo en redes sociales cuesta cuota (China) [20].</w:t>
      </w:r>
    </w:p>
    <w:p>
      <w:pPr>
        <w:pStyle w:val="Heading2"/>
      </w:pPr>
      <w:r>
        <w:t xml:space="preserve">Controversias</w:t>
      </w:r>
    </w:p>
    <w:p>
      <w:pPr>
        <w:spacing w:after="100"/>
      </w:pPr>
      <w:r>
        <w:t xml:space="preserve">Daño reputacional en cuidado femenino en China (2024-2025), que la empresa reconoce como causa de la caída de ventas [1, 20]. Sin multas ni litigios relevantes publicados en los últimos tres años [8].</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recorte de la guía de 2026 (−23.000 M de beneficio básico) es SAP con prima y logística, y cuánto vuelve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2026 es el suelo del margen o el nuevo nivel.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plazo y qué coste tiene volver al equilibrio en China, y se plantea salir de alguna categoría?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perdió 5.364 M en 2025 y sus ventas caen un 14 % en moneda local.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ha frenado la bajada de gama en Indonesia y Tailandia, y qué margen tiene la India?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de Asia pasó de 30.739 M de beneficio en 2021 a 16.748 M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recompras adicionales en 2026-2027 con el 65 % de reparto y una caja de 335.000 M más 130.000 M en bonos y fondos?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neta pesa un 17 %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se usará la reserva de 150.000 M para compras del plan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comprador con un historial de deterioros en Asia; una compra grande cambiaría el ROIC.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peso tienen hoy los pañales infantiles en las ventas y en el beneficio,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no lo publica y es el negocio con más riesgo estructural.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 Finance Japón (foro de 8113)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contenida por la subida de siete sesiones seguidas y el paso de los 1.000 JPY el día que el Nikkei cayó un 4,9 %; unos lo ven como refugio defensivo y especulan con una opa de la familia, otros temen que el 3T decepcione y que el valor vuelva a los 890 JPY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(UNICY)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noticias de resultados y transcripciones (1S26 del 6-ago-2026), sin debate de lectores; una noticia sobre Kimberly-Clark y la caída de la natalidad en Vietnam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Preguntas de analistas en la presentación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Escepticismo sobre la guía recortada (¿suelo u objetivo?), sobre la recuperación de China y sobre la prima pagada por el SAP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Refugio defensivo en la caída del mercado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beta mensual frente al TOPIX es de 0,34: el valor se comporta como defensivo, pero eso no cambia el beneficio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Posible opa de exclusión de la familia Takahara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tiene el 31,6 % y no ha anunciado nada; con un 65 % de reparto en recompras y dividendos no necesita excluir la empresa. Especulación sin hechos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del 3T (6-nov-2026) como prueba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recortada supone un 2S peor que el de 2025 (≈ 48.000 M de beneficio básico frente a 51.870 M); un 3T en línea confirmaría el suelo [15,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Cierre de posiciones cortas de los gestores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comprobado en el registro de JPX; no entra en el análisis [32].</w:t>
            </w:r>
          </w:p>
        </w:tc>
      </w:tr>
    </w:tbl>
    <w:p>
      <w:pPr>
        <w:spacing w:after="160" w:before="0"/>
      </w:pPr>
    </w:p>
    <w:p>
      <w:pPr>
        <w:spacing w:after="100"/>
      </w:pPr>
      <w:r>
        <w:t xml:space="preserve">El inversor particular japonés pasó de la capitulación (mínimo de 874,7 JPY en enero) a una euforia prudente con la subida de octubre, sobre todo como refugio frente a la caída del Nikkei. Los analistas son más escépticos tras el recorte de agosto. Ni unos ni otros discuten lo que decide la tesis: si el margen de Asia y China vuelve en 2027. La especulación sobre una opa de la familia no tiene base publicada. No cambia la decisión; avisa de que una parte de la subida reciente es flujo defensivo que puede darse la vuelta si el mercado rebota.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35 (20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6,0 % frente a 6,0 % real: genera una variación de circulante de 4.390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13,4 %: para comprar o ampliar hace falta motivo de negocio propio; para mantener basta la vigente. Explicación: La v2 da 13,4 % y no llega al 15 %: la compra no es robusta. Además la sostenibilidad «En parte» impide comprar o ampliar en cartera (§4 del método). Se publica la señal de la regla (Comprar, convicción baja) con la advertencia de que no pasa los filtros de cartera.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18,4 % (&lt; 25 %))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34,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2T25 y 3T25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de 9M25 y 1S25 (solo acumulados del año anterior); 2) presentaciones trimestrales (cifras de 2024 por trimestre no publicadas en las que se descargaron); 3) Yahoo y MarketScreener (sin consenso trimestral histórico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y presentaciones de Unicharm (sin tamaño de mercado); 2) búsqueda de informes de Euromonitor, Grand View y Essity (sin cifra abierta con el mismo perímetro); 3) suma de ventas de los grandes como contraste (estimación propia en la ficha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voto_cupula_pct (aprobación de la reelección del presidente en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valores 2025 y web de la junta (sin resultados en inglés); 2) búsqueda del informe extraordinario de resultados de voto (臨時報告書) en EDINET (no localizado en inglés); 3) informes de asesores de voto (solo la recomendación de 2022, sin porcentaje)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valores (participaciones a fin de año, sin operaciones); 2) Japón no tiene registro público de operaciones de directivos (lecciones del repositorio); 3) informes de grandes participaciones de EDINET (solo por encima del 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EBITDA estimado); 2) MarketScreener (EV/EBITDA no mostrado para Unicharm ni gratis para comparables); 3) derivarlo con márgenes supuestos mezclaría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JPX publica solo posiciones ≥ 0,5 % por gestor; 2) Yahoo (sin dato para Tokio); 3) foros: comentan que las posiciones de los gestores bajaron del umbral de publicación en octubre (opinión, no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the Fiscal Year Ended December 31, 2025 (Kessan Tanshin, NIIF): cuenta, balance, flujos, segmentos, deterioros, IVA indio, recompra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https://www.unicharm.co.jp/content/dam/sites/www_unicharm_co_jp/pdf/ir/library/earnings/Consolidated%20Financial%20Results%20for%20the%20Fiscal%20Year%20Ended%20December%2031%2C%202025.pdf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Results for the Six Months Ended June 30, 2026 (1S26): estados resumidos, segmentos, revisión a la baja de la guía 2026, compra de Nutrire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https://www.unicharm.co.jp/content/dam/sites/www_unicharm_co_jp/pdf/ir/library/earnings/20260805_Consolidated%20Financial%20Results%20for%20the%20Six%20Months%20Ended%20June%2030%2C%202026%20.pdf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March 31, 2026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https://www.unicharm.co.jp/content/dam/sites/www_unicharm_co_jp/pdf/ir/library/earnings/Consolidated%20Financial%20Results%20for%20the%20Three%20Months%20Ended%20March%2031%2C%202026.pdf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September 30, 2025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https://www.unicharm.co.jp/content/dam/sites/www_unicharm_co_jp/pdf/ir/library/earnings/Consolidated%20Financial%20Results%20for%20the%20Nine%20Months%20Ended%20September%2030%2C%202025.pdf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December 31, 2024 (Kessan Tanshin; balance 2023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https://www.unicharm.co.jp/content/dam/sites/www_unicharm_co_jp/pdf/ir/library/earnings/E_UC_%E7%AC%AC65%E6%9C%9F_%E6%B1%BA%E7%AE%97%E7%9F%AD%E4%BF%A1_202502.pdf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Ending December 31, 2023 (columnas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https://www.unicharm.co.jp/content/dam/sites/www_unicharm_co_jp/pdf/ir/library/earnings/UC_Consolidated%20Financial%20Results%20for%20the%20Fiscal%20Year%20Ending%20December%2031%2C%202023.pdf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December 31, 2021 (columnas 2020 y 2021; incendio de Ahmedabad)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https://www.unicharm.co.jp/content/dam/sites/www_unicharm_co_jp/pdf/ir/library/earnings/E_Financial_Report_2021Q4.pdf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Securities Report for the 66th Fiscal Year ended December 31, 2025 (notas: arrendamientos, instrumentos financieros, fondo de comercio, auditor,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https://www.unicharm.co.jp/content/dam/sites/www_unicharm_co_jp/pdf/ir/library/securities/Annual%20Securities%20Report%20for%20the%2066th%20Fiscal%20Year%20ended%20December%2031%2C%202025.pdf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Briefing FY2026, presentación con guion (6-ago-2026): regiones, márgenes, divisas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https://www.unicharm.co.jp/content/dam/sites/www_unicharm_co_jp/pdf/ir/library/investors/E_202606_Presentation%20Materials%20with%20Script.pdf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Briefing FY2025, presentación con guion: política de retribución (65 % de reparto total),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https://www.unicharm.co.jp/content/dam/sites/www_unicharm_co_jp/pdf/ir/library/investors/E_202512_Presentation%20Materials%20with%20Script.pdf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Ending December 31, 2022 (guía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https://www.unicharm.co.jp/content/dam/sites/www_unicharm_co_jp/pdf/ir/library/earnings/E_Consolidated%20Financial%20Results%20for%20the%20Fiscal%20Year%20Ending%20December%2031%2C%202022.pdf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FY2020 (Financial Report 2020Q4; guía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https://www.unicharm.co.jp/content/dam/sites/www_unicharm_co_jp/pdf/ir/library/earnings/E_Unicharm_Financial_Report_2020Q4.pdf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Financial Report FY2019 (BPA 2018-2019, guía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https://www.unicharm.co.jp/content/dam/sites/www_unicharm_co_jp/pdf/ir/library/earnings/Unicharm_Financial_Report_FY2019.pdf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Flash Report FY2017 (BPA 2016-2017)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https://www.unicharm.co.jp/content/dam/sites/www_unicharm_co_jp/pdf/ir/library/earnings/180216_E_Flash_Report.pdf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Results Briefing FY2026: Q&amp;A Summary (precios, SAP con prima, China)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https://www.unicharm.co.jp/content/dam/sites/www_unicharm_co_jp/pdf/ir/library/investors/E_202606_QA_Summary.pdf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Financial Results Briefing FY2026: Q&amp;A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https://www.unicharm.co.jp/content/dam/sites/www_unicharm_co_jp/pdf/ir/library/investors/E_202603_QA_Summary.pdf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Absorbent Hygiene Products Market: 123.500 M USD en 2025, 129.100 M en 2026 y 177.500 M en 2036 (TCAC del 3,9 %); pañales infantiles el mayor; incontinencia de adultos el que más crece; Asia-Pacífico el mayor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https://meticulousresearch.com/pressrelease/1390/absorbent-hygiene-products-market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Report 2026: entrevista con el presidente, 13.º plan a medio plazo, objetivos de 2030, Kyo-sei Life Vision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https://www.unicharm.co.jp/content/dam/sites/www_unicharm_co_jp/pdf/ir/library/annual/E_Integrated_Report_2026_all_view.pdf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cuentas de los competidores (ventas y EBIT de los últimos 12 meses),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sanitary pad scandal causing uproar on Chinese social media (longitud real de las compresas frente a la del envase)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Sixth Tone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https://www.sixthtone.com/news/1016259/the-sanitary-pad-scandal-causing-uproar-on-chinese-social-media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votación de ISS para la junta del 25-mar-2022 (recomendación en contra de la reelección del presidente por falta de mayoría independiente)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Amundi / ISS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https://abglobal.com/content/dam/corporate/corporate-srdii-pdfs-2022/Unicharm%20Corp-8113.pdf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8113.T, 1306.T (TOPIX) y 4452.T hasta el 15-oct-2026 (rango, volumen, rentabilidades, beta,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https://finance.yahoo.com/quote/8113.T/history/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 estimaciones anuales 2026-2028 y consenso de 14 analistas («Outperform», objetivo medio 1.120,57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https://www.marketscreener.com/quote/stock/UNICHARM-CORPORATION-6491263/finances/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8113.T: tendencia de estimaciones de BPA (hace 30 y 90 días), recomendaciones (4 compra fuerte, 3 compra, 7 mantener), objetivos 980-1.450 JPY, fecha de resultados 6-nov-2026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https://finance.yahoo.com/quote/8113.T/analysis/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Kimberly-Clark to Acquire Kenvue: valor empresa ≈ 48.700 M USD, 14,3 veces el EBITDA ajustado de 12 meses (8,8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Kirkland &amp; Ellis (nota de la operación)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https://www.kirkland.com/news/press-release/2025/10/kirkland-advises-kimberly-clark-on-487-billion-acquisition-of-kenvue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RGE to acquire and privatize Vinda: 23,50 HKD por acción, 28.300 M HKD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Yicai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https://yicaiglobal.com/news/singapores-rge-to-aquire-privatize-chinese-tissue-giant-vinda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Suzano and Kimberly-Clark announce US$3.4B joint venture (papel internacional; ventas ≈ 3.300 M USD y EBITDA ≈ 500 M USD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https://www.packaginginsights.com/news/suzano-kimberly-clark-joint-venture.html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a 10 años al 3,015 %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Hacienda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14-oct-2026 (177,39 JPY, 1,1195 USD, 11,158 SEK, 8,7859 HKD y 7,4925 CNY por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 of IR Events: resultados del 3T26 a principios de noviembre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Unicharm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https://www.unicharm.co.jp/en/ir/calendar.html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Japón, foro de 8113 (ユニ・チャーム), mensajes del 13 al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https://finance.yahoo.co.jp/quote/8113.T/forum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noticias y análisis de Unicharm (UNICY),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https://seekingalpha.com/api/sa/combined/UNICY.xml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UNICY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https://api.stocktwits.com/api/2/streams/symbol/UNICY.json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higiene desechable (sectores/higiene-desechables-2026-10-15.md)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sectores/higiene-desechables-2026-10-15.md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87,7 %</w:t>
      </w:r>
      <w:r>
        <w:t xml:space="preserve"> · Secciones con menos del 60 % de campos cubiertos: </w:t>
      </w:r>
      <w:r>
        <w:rPr>
          <w:b/>
          <w:bCs/>
        </w:rPr>
        <w:t xml:space="preserve">ninguna</w:t>
      </w:r>
      <w:r>
        <w:t xml:space="preserve"> · Generado el 15 oct 2026.</w:t>
      </w:r>
    </w:p>
    <w:p>
      <w:pPr>
        <w:pStyle w:val="Nota"/>
        <w:spacing w:after="100"/>
      </w:pPr>
      <w:r>
        <w:t xml:space="preserve">Una sola línea cotizada (8113, Bolsa de Tokio, Prime). Japón no tiene XBRL en la herramienta de cuentas: las cifras salen de los Kessan Tanshin (resultados) y del Annual Securities Report en inglés, en NIIF, de 2020 a 2025 y del primer semestre de 2026 [1, 2, 3, 4, 8]. Los BPA de 2016-2019 salen de los informes de 2017 y 2019, ajustados por el desdoblamiento de 3 por 1 de 2024 [13, 14]. Precio: cierre del 15-oct-2026 (1.000 JPY), la sesión de Tokio ya estaba cerrada [22]. Una acción cuesta ≈ 5,64 EUR y el lote mínimo de 100 acciones, ≈ 564 EUR (BCE, 177,39 JPY/EUR) [30]. Consenso de MarketScreener y Yahoo (14 analistas). Japón no publica en un registro las operaciones de los directivos y solo se declaran las posiciones cortas por encima del 0,5 %: no hay ninguna. Comparables de Yahoo Finance pasados a JPY; el EBITDA de Kao, Lion y Colgate en Yahoo no es fiable y se deja vacío.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Unicharm Corporation (8113)</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(874,70 – 1.104,00)</c:v>
                </c:pt>
                <c:pt idx="1">
                  <c:v>Precio objetivo de los analistas (980,00 – 1.450,00)</c:v>
                </c:pt>
                <c:pt idx="2">
                  <c:v>Comparables: PER NTM (625,32 – 1.073,72)</c:v>
                </c:pt>
                <c:pt idx="3">
                  <c:v>DCF (WACC y g ± 0,5) (1.107,64 – 1.556,59)</c:v>
                </c:pt>
                <c:pt idx="4">
                  <c:v>Escenarios (bajista – alcista) (841,05 – 1.470,65)</c:v>
                </c:pt>
                <c:pt idx="5">
                  <c:v>DCF con la prima implícita del mercado (4,2 %)</c:v>
                </c:pt>
                <c:pt idx="6">
                  <c:v>Precio actual (1.000,00)</c:v>
                </c:pt>
              </c:strCache>
            </c:strRef>
          </c:cat>
          <c:val>
            <c:numRef>
              <c:f>Hoja1!$B$2:$B$8</c:f>
              <c:numCache>
                <c:formatCode>#,##0</c:formatCode>
                <c:ptCount val="7"/>
                <c:pt idx="0">
                  <c:v>874.7</c:v>
                </c:pt>
                <c:pt idx="1">
                  <c:v>980</c:v>
                </c:pt>
                <c:pt idx="2">
                  <c:v>625.32</c:v>
                </c:pt>
                <c:pt idx="3">
                  <c:v>1107.64</c:v>
                </c:pt>
                <c:pt idx="4">
                  <c:v>841.05</c:v>
                </c:pt>
                <c:pt idx="5">
                  <c:v>1372.14</c:v>
                </c:pt>
                <c:pt idx="6">
                  <c:v>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(874,70 – 1.104,00)</c:v>
                </c:pt>
                <c:pt idx="1">
                  <c:v>Precio objetivo de los analistas (980,00 – 1.450,00)</c:v>
                </c:pt>
                <c:pt idx="2">
                  <c:v>Comparables: PER NTM (625,32 – 1.073,72)</c:v>
                </c:pt>
                <c:pt idx="3">
                  <c:v>DCF (WACC y g ± 0,5) (1.107,64 – 1.556,59)</c:v>
                </c:pt>
                <c:pt idx="4">
                  <c:v>Escenarios (bajista – alcista) (841,05 – 1.470,65)</c:v>
                </c:pt>
                <c:pt idx="5">
                  <c:v>DCF con la prima implícita del mercado (4,2 %)</c:v>
                </c:pt>
                <c:pt idx="6">
                  <c:v>Precio actual (1.000,00)</c:v>
                </c:pt>
              </c:strCache>
            </c:strRef>
          </c:cat>
          <c:val>
            <c:numRef>
              <c:f>Hoja1!$C$2:$C$8</c:f>
              <c:numCache>
                <c:formatCode>#,##0</c:formatCode>
                <c:ptCount val="7"/>
                <c:pt idx="0">
                  <c:v>229.29999999999995</c:v>
                </c:pt>
                <c:pt idx="1">
                  <c:v>470</c:v>
                </c:pt>
                <c:pt idx="2">
                  <c:v>448.4</c:v>
                </c:pt>
                <c:pt idx="3">
                  <c:v>448.9499999999998</c:v>
                </c:pt>
                <c:pt idx="4">
                  <c:v>629.6000000000001</c:v>
                </c:pt>
                <c:pt idx="5">
                  <c:v>353.02</c:v>
                </c:pt>
                <c:pt idx="6">
                  <c:v>10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Cuidado personal</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624758</c:v>
                </c:pt>
                <c:pt idx="1">
                  <c:v>672039</c:v>
                </c:pt>
                <c:pt idx="2">
                  <c:v>764908</c:v>
                </c:pt>
                <c:pt idx="3">
                  <c:v>793845</c:v>
                </c:pt>
                <c:pt idx="4">
                  <c:v>826100</c:v>
                </c:pt>
                <c:pt idx="5">
                  <c:v>774428</c:v>
                </c:pt>
              </c:numCache>
            </c:numRef>
          </c:val>
        </c:ser>
        <c:ser>
          <c:idx val="1"/>
          <c:order val="1"/>
          <c:tx>
            <c:strRef>
              <c:f>Hoja1!$C$1</c:f>
              <c:strCache>
                <c:ptCount val="1"/>
                <c:pt idx="0">
                  <c:v>Mascotas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95693</c:v>
                </c:pt>
                <c:pt idx="1">
                  <c:v>104541</c:v>
                </c:pt>
                <c:pt idx="2">
                  <c:v>125312</c:v>
                </c:pt>
                <c:pt idx="3">
                  <c:v>139446</c:v>
                </c:pt>
                <c:pt idx="4">
                  <c:v>148673</c:v>
                </c:pt>
                <c:pt idx="5">
                  <c:v>156084</c:v>
                </c:pt>
              </c:numCache>
            </c:numRef>
          </c:val>
        </c:ser>
        <c:ser>
          <c:idx val="2"/>
          <c:order val="2"/>
          <c:tx>
            <c:strRef>
              <c:f>Hoja1!$D$1</c:f>
              <c:strCache>
                <c:ptCount val="1"/>
                <c:pt idx="0">
                  <c:v>Otros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7024</c:v>
                </c:pt>
                <c:pt idx="1">
                  <c:v>6143</c:v>
                </c:pt>
                <c:pt idx="2">
                  <c:v>7802</c:v>
                </c:pt>
                <c:pt idx="3">
                  <c:v>8498</c:v>
                </c:pt>
                <c:pt idx="4">
                  <c:v>14208</c:v>
                </c:pt>
                <c:pt idx="5">
                  <c:v>14755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Cuidado personal</c:v>
                </c:pt>
                <c:pt idx="1">
                  <c:v>Mascotas</c:v>
                </c:pt>
                <c:pt idx="2">
                  <c:v>Otros</c:v>
                </c:pt>
              </c:strCache>
            </c:strRef>
          </c:cat>
          <c:val>
            <c:numRef>
              <c:f>Hoja1!$B$2:$B$4</c:f>
              <c:numCache>
                <c:formatCode>General</c:formatCode>
                <c:ptCount val="3"/>
                <c:pt idx="0">
                  <c:v>81.9</c:v>
                </c:pt>
                <c:pt idx="1">
                  <c:v>16.5</c:v>
                </c:pt>
                <c:pt idx="2">
                  <c:v>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Japón</c:v>
                </c:pt>
                <c:pt idx="1">
                  <c:v>China</c:v>
                </c:pt>
                <c:pt idx="2">
                  <c:v>Resto de Asia</c:v>
                </c:pt>
                <c:pt idx="3">
                  <c:v>Otros (Norteamérica, Oriente Medio, Brasil…)</c:v>
                </c:pt>
              </c:strCache>
            </c:strRef>
          </c:cat>
          <c:val>
            <c:numRef>
              <c:f>Hoja1!$B$2:$B$5</c:f>
              <c:numCache>
                <c:formatCode>0"%"</c:formatCode>
                <c:ptCount val="4"/>
                <c:pt idx="0">
                  <c:v>36.2</c:v>
                </c:pt>
                <c:pt idx="1">
                  <c:v>8.3</c:v>
                </c:pt>
                <c:pt idx="2">
                  <c:v>32.9</c:v>
                </c:pt>
                <c:pt idx="3">
                  <c:v>22.6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2030e</c:v>
                </c:pt>
                <c:pt idx="3">
                  <c:v>2036e</c:v>
                </c:pt>
              </c:strCache>
            </c:strRef>
          </c:cat>
          <c:val>
            <c:numRef>
              <c:f>Hoja1!$B$2:$B$5</c:f>
              <c:numCache>
                <c:formatCode>#,##0</c:formatCode>
                <c:ptCount val="4"/>
                <c:pt idx="0">
                  <c:v>123.5</c:v>
                </c:pt>
                <c:pt idx="1">
                  <c:v>129.1</c:v>
                </c:pt>
                <c:pt idx="2">
                  <c:v>150.4</c:v>
                </c:pt>
                <c:pt idx="3">
                  <c:v>177.5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Unicharm</c:v>
                </c:pt>
                <c:pt idx="1">
                  <c:v>Procter &amp; Gamble (Pampers, Always)</c:v>
                </c:pt>
                <c:pt idx="2">
                  <c:v>Kimberly-Clark (Huggies, Kotex, Depend)</c:v>
                </c:pt>
                <c:pt idx="3">
                  <c:v>Essity (TENA, Libresse)</c:v>
                </c:pt>
                <c:pt idx="4">
                  <c:v>Kao (Merries, Laurier)</c:v>
                </c:pt>
                <c:pt idx="5">
                  <c:v>Hengan International</c:v>
                </c:pt>
                <c:pt idx="6">
                  <c:v>Daio Paper (GOO.N)</c:v>
                </c:pt>
                <c:pt idx="7">
                  <c:v>Ontex</c:v>
                </c:pt>
              </c:strCache>
            </c:strRef>
          </c:cat>
          <c:val>
            <c:numRef>
              <c:f>Hoja1!$B$2:$B$9</c:f>
              <c:numCache>
                <c:formatCode>0.0"%"</c:formatCode>
                <c:ptCount val="8"/>
                <c:pt idx="0">
                  <c:v>11.4</c:v>
                </c:pt>
                <c:pt idx="1">
                  <c:v>24.4</c:v>
                </c:pt>
                <c:pt idx="2">
                  <c:v>14.9</c:v>
                </c:pt>
                <c:pt idx="3">
                  <c:v>13.6</c:v>
                </c:pt>
                <c:pt idx="5">
                  <c:v>15.2</c:v>
                </c:pt>
                <c:pt idx="6">
                  <c:v>4.2</c:v>
                </c:pt>
                <c:pt idx="7">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727475</c:v>
                </c:pt>
                <c:pt idx="1">
                  <c:v>782723</c:v>
                </c:pt>
                <c:pt idx="2">
                  <c:v>898022</c:v>
                </c:pt>
                <c:pt idx="3">
                  <c:v>941790</c:v>
                </c:pt>
                <c:pt idx="4">
                  <c:v>988981</c:v>
                </c:pt>
                <c:pt idx="5">
                  <c:v>945268</c:v>
                </c:pt>
                <c:pt idx="6">
                  <c:v>1015218</c:v>
                </c:pt>
                <c:pt idx="7">
                  <c:v>1060903</c:v>
                </c:pt>
                <c:pt idx="8">
                  <c:v>1108643</c:v>
                </c:pt>
                <c:pt idx="9">
                  <c:v>1152989</c:v>
                </c:pt>
                <c:pt idx="10">
                  <c:v>1199109</c:v>
                </c:pt>
                <c:pt idx="11">
                  <c:v>1235082</c:v>
                </c:pt>
                <c:pt idx="12">
                  <c:v>1265959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147684</c:v>
                </c:pt>
                <c:pt idx="1">
                  <c:v>160956</c:v>
                </c:pt>
                <c:pt idx="2">
                  <c:v>161021</c:v>
                </c:pt>
                <c:pt idx="3">
                  <c:v>177522</c:v>
                </c:pt>
                <c:pt idx="4">
                  <c:v>182213</c:v>
                </c:pt>
                <c:pt idx="5">
                  <c:v>155851</c:v>
                </c:pt>
                <c:pt idx="6">
                  <c:v>159389</c:v>
                </c:pt>
                <c:pt idx="7">
                  <c:v>181414</c:v>
                </c:pt>
                <c:pt idx="8">
                  <c:v>192904</c:v>
                </c:pt>
                <c:pt idx="9">
                  <c:v>202926</c:v>
                </c:pt>
                <c:pt idx="10">
                  <c:v>213441</c:v>
                </c:pt>
                <c:pt idx="11">
                  <c:v>219845</c:v>
                </c:pt>
                <c:pt idx="12">
                  <c:v>225341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40.2</c:v>
                </c:pt>
                <c:pt idx="1">
                  <c:v>40.1</c:v>
                </c:pt>
                <c:pt idx="2">
                  <c:v>36.6</c:v>
                </c:pt>
                <c:pt idx="3">
                  <c:v>37.3</c:v>
                </c:pt>
                <c:pt idx="4">
                  <c:v>39.4</c:v>
                </c:pt>
                <c:pt idx="5">
                  <c:v>39.1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20.3</c:v>
                </c:pt>
                <c:pt idx="1">
                  <c:v>20.6</c:v>
                </c:pt>
                <c:pt idx="2">
                  <c:v>17.9</c:v>
                </c:pt>
                <c:pt idx="3">
                  <c:v>18.8</c:v>
                </c:pt>
                <c:pt idx="4">
                  <c:v>18.4</c:v>
                </c:pt>
                <c:pt idx="5">
                  <c:v>16.5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15.3</c:v>
                </c:pt>
                <c:pt idx="1">
                  <c:v>15.7</c:v>
                </c:pt>
                <c:pt idx="2">
                  <c:v>13.3</c:v>
                </c:pt>
                <c:pt idx="3">
                  <c:v>14.3</c:v>
                </c:pt>
                <c:pt idx="4">
                  <c:v>13.7</c:v>
                </c:pt>
                <c:pt idx="5">
                  <c:v>11.4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7.2</c:v>
                </c:pt>
                <c:pt idx="1">
                  <c:v>9.3</c:v>
                </c:pt>
                <c:pt idx="2">
                  <c:v>7.5</c:v>
                </c:pt>
                <c:pt idx="3">
                  <c:v>9.1</c:v>
                </c:pt>
                <c:pt idx="4">
                  <c:v>8.3</c:v>
                </c:pt>
                <c:pt idx="5">
                  <c:v>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1">
                  <c:v>-3.7</c:v>
                </c:pt>
                <c:pt idx="4">
                  <c:v>-6</c:v>
                </c:pt>
                <c:pt idx="5">
                  <c:v>2.9</c:v>
                </c:pt>
                <c:pt idx="6">
                  <c:v>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57</c:v>
                </c:pt>
                <c:pt idx="1">
                  <c:v>60</c:v>
                </c:pt>
                <c:pt idx="2">
                  <c:v>62</c:v>
                </c:pt>
                <c:pt idx="3">
                  <c:v>59</c:v>
                </c:pt>
                <c:pt idx="4">
                  <c:v>62</c:v>
                </c:pt>
                <c:pt idx="5">
                  <c:v>60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52</c:v>
                </c:pt>
                <c:pt idx="1">
                  <c:v>70</c:v>
                </c:pt>
                <c:pt idx="2">
                  <c:v>75</c:v>
                </c:pt>
                <c:pt idx="3">
                  <c:v>64</c:v>
                </c:pt>
                <c:pt idx="4">
                  <c:v>74</c:v>
                </c:pt>
                <c:pt idx="5">
                  <c:v>78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122</c:v>
                </c:pt>
                <c:pt idx="1">
                  <c:v>130</c:v>
                </c:pt>
                <c:pt idx="2">
                  <c:v>110</c:v>
                </c:pt>
                <c:pt idx="3">
                  <c:v>130</c:v>
                </c:pt>
                <c:pt idx="4">
                  <c:v>141</c:v>
                </c:pt>
                <c:pt idx="5">
                  <c:v>140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109598</c:v>
                </c:pt>
                <c:pt idx="1">
                  <c:v>65347</c:v>
                </c:pt>
                <c:pt idx="2">
                  <c:v>53625</c:v>
                </c:pt>
                <c:pt idx="3">
                  <c:v>117275</c:v>
                </c:pt>
                <c:pt idx="4">
                  <c:v>90579</c:v>
                </c:pt>
                <c:pt idx="5">
                  <c:v>95308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52344</c:v>
                </c:pt>
                <c:pt idx="1">
                  <c:v>72745</c:v>
                </c:pt>
                <c:pt idx="2">
                  <c:v>67608</c:v>
                </c:pt>
                <c:pt idx="3">
                  <c:v>86053</c:v>
                </c:pt>
                <c:pt idx="4">
                  <c:v>81842</c:v>
                </c:pt>
                <c:pt idx="5">
                  <c:v>65212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21.3</c:v>
                </c:pt>
                <c:pt idx="1">
                  <c:v>22.6</c:v>
                </c:pt>
                <c:pt idx="2">
                  <c:v>18.7</c:v>
                </c:pt>
                <c:pt idx="3">
                  <c:v>21</c:v>
                </c:pt>
                <c:pt idx="4">
                  <c:v>18.3</c:v>
                </c:pt>
                <c:pt idx="5">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c:v>
                </c:pt>
                <c:pt idx="1">
                  <c:v>7</c:v>
                </c:pt>
                <c:pt idx="2">
                  <c:v>7</c:v>
                </c:pt>
                <c:pt idx="3">
                  <c:v>7</c:v>
                </c:pt>
                <c:pt idx="4">
                  <c:v>7</c:v>
                </c:pt>
                <c:pt idx="5">
                  <c:v>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10.6</c:v>
                </c:pt>
                <c:pt idx="1">
                  <c:v>13.8</c:v>
                </c:pt>
                <c:pt idx="2">
                  <c:v>11.5</c:v>
                </c:pt>
                <c:pt idx="3">
                  <c:v>13.1</c:v>
                </c:pt>
                <c:pt idx="4">
                  <c:v>11.1</c:v>
                </c:pt>
                <c:pt idx="5">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-1.5</c:v>
                </c:pt>
                <c:pt idx="1">
                  <c:v>-1.43</c:v>
                </c:pt>
                <c:pt idx="2">
                  <c:v>-1.55</c:v>
                </c:pt>
                <c:pt idx="3">
                  <c:v>-1.69</c:v>
                </c:pt>
                <c:pt idx="4">
                  <c:v>-1.7</c:v>
                </c:pt>
                <c:pt idx="5">
                  <c:v>-2.01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3488</c:v>
                </c:pt>
                <c:pt idx="1">
                  <c:v>7567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106</c:v>
                </c:pt>
                <c:pt idx="1">
                  <c:v>318</c:v>
                </c:pt>
                <c:pt idx="2">
                  <c:v>0</c:v>
                </c:pt>
                <c:pt idx="3">
                  <c:v>11117</c:v>
                </c:pt>
                <c:pt idx="4">
                  <c:v>0</c:v>
                </c:pt>
                <c:pt idx="5">
                  <c:v>1610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17895</c:v>
                </c:pt>
                <c:pt idx="1">
                  <c:v>20301</c:v>
                </c:pt>
                <c:pt idx="2">
                  <c:v>22053</c:v>
                </c:pt>
                <c:pt idx="3">
                  <c:v>23095</c:v>
                </c:pt>
                <c:pt idx="4">
                  <c:v>24704</c:v>
                </c:pt>
                <c:pt idx="5">
                  <c:v>28646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7193</c:v>
                </c:pt>
                <c:pt idx="1">
                  <c:v>16001</c:v>
                </c:pt>
                <c:pt idx="2">
                  <c:v>17001</c:v>
                </c:pt>
                <c:pt idx="3">
                  <c:v>17004</c:v>
                </c:pt>
                <c:pt idx="4">
                  <c:v>19001</c:v>
                </c:pt>
                <c:pt idx="5">
                  <c:v>22002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3</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Unitec Corporation (sociedad de la familia Takahara)</c:v>
                </c:pt>
                <c:pt idx="1">
                  <c:v>The Master Trust Bank of Japan (fideicomisos)</c:v>
                </c:pt>
                <c:pt idx="2">
                  <c:v>Takahara Kikin K.K.</c:v>
                </c:pt>
                <c:pt idx="3">
                  <c:v>Custody Bank of Japan (fideicomisos)</c:v>
                </c:pt>
                <c:pt idx="4">
                  <c:v>The Iyo Bank</c:v>
                </c:pt>
                <c:pt idx="5">
                  <c:v>Nippon Life Insurance</c:v>
                </c:pt>
                <c:pt idx="6">
                  <c:v>Autocartera</c:v>
                </c:pt>
              </c:strCache>
            </c:strRef>
          </c:cat>
          <c:val>
            <c:numRef>
              <c:f>Hoja1!$B$2:$B$8</c:f>
              <c:numCache>
                <c:formatCode>0.0"%"</c:formatCode>
                <c:ptCount val="7"/>
                <c:pt idx="0">
                  <c:v>26.72</c:v>
                </c:pt>
                <c:pt idx="1">
                  <c:v>10.06</c:v>
                </c:pt>
                <c:pt idx="2">
                  <c:v>4.84</c:v>
                </c:pt>
                <c:pt idx="3">
                  <c:v>3.53</c:v>
                </c:pt>
                <c:pt idx="4">
                  <c:v>2.64</c:v>
                </c:pt>
                <c:pt idx="5">
                  <c:v>2.1</c:v>
                </c:pt>
                <c:pt idx="6">
                  <c:v>7.61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c:v>
                </c:pt>
                <c:pt idx="1">
                  <c:v>15.3</c:v>
                </c:pt>
                <c:pt idx="2">
                  <c:v>22.4</c:v>
                </c:pt>
                <c:pt idx="3">
                  <c:v>4.8</c:v>
                </c:pt>
                <c:pt idx="4">
                  <c:v>33.1</c:v>
                </c:pt>
                <c:pt idx="5">
                  <c:v>3</c:v>
                </c:pt>
                <c:pt idx="6">
                  <c:v>2.2</c:v>
                </c:pt>
                <c:pt idx="7">
                  <c:v>1.4</c:v>
                </c:pt>
                <c:pt idx="8">
                  <c:v>-22.6</c:v>
                </c:pt>
                <c:pt idx="9">
                  <c:v>-30</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22.1</c:v>
                </c:pt>
                <c:pt idx="2">
                  <c:v>-15.8</c:v>
                </c:pt>
                <c:pt idx="3">
                  <c:v>17.7</c:v>
                </c:pt>
                <c:pt idx="4">
                  <c:v>7.4</c:v>
                </c:pt>
                <c:pt idx="5">
                  <c:v>12.7</c:v>
                </c:pt>
                <c:pt idx="6">
                  <c:v>-2.4</c:v>
                </c:pt>
                <c:pt idx="7">
                  <c:v>28.2</c:v>
                </c:pt>
                <c:pt idx="8">
                  <c:v>20.3</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18.8</c:v>
                </c:pt>
                <c:pt idx="1">
                  <c:v>17.6</c:v>
                </c:pt>
                <c:pt idx="2">
                  <c:v>17.7</c:v>
                </c:pt>
                <c:pt idx="3">
                  <c:v>15.8</c:v>
                </c:pt>
                <c:pt idx="4">
                  <c:v>11.5</c:v>
                </c:pt>
                <c:pt idx="5">
                  <c:v>8.7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16.7</c:v>
                </c:pt>
                <c:pt idx="1">
                  <c:v>16.7</c:v>
                </c:pt>
                <c:pt idx="2">
                  <c:v>16.7</c:v>
                </c:pt>
                <c:pt idx="3">
                  <c:v>16.7</c:v>
                </c:pt>
                <c:pt idx="4">
                  <c:v>16.7</c:v>
                </c:pt>
                <c:pt idx="5">
                  <c:v>16.7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Unicharm</c:v>
                </c:pt>
                <c:pt idx="1">
                  <c:v>Procter &amp; Gamble</c:v>
                </c:pt>
                <c:pt idx="2">
                  <c:v>Kimberly-Clark</c:v>
                </c:pt>
                <c:pt idx="3">
                  <c:v>Essity</c:v>
                </c:pt>
                <c:pt idx="4">
                  <c:v>Kao</c:v>
                </c:pt>
                <c:pt idx="5">
                  <c:v>Hengan International</c:v>
                </c:pt>
                <c:pt idx="6">
                  <c:v>Lion</c:v>
                </c:pt>
                <c:pt idx="7">
                  <c:v>Colgate-Palmolive (Hill's)</c:v>
                </c:pt>
                <c:pt idx="8">
                  <c:v>Daio Paper</c:v>
                </c:pt>
              </c:strCache>
            </c:strRef>
          </c:cat>
          <c:val>
            <c:numRef>
              <c:f>Hoja1!$B$2:$B$10</c:f>
              <c:numCache>
                <c:formatCode>0.0"x"</c:formatCode>
                <c:ptCount val="9"/>
                <c:pt idx="0">
                  <c:v>8.8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Kenvue (cuidado personal y salud de consumo)</c:v>
                </c:pt>
                <c:pt idx="1">
                  <c:v>Vinda International (papel y absorbentes, China)</c:v>
                </c:pt>
                <c:pt idx="2">
                  <c:v>Negocio internacional de papel de Kimberly-Clark (51 %)</c:v>
                </c:pt>
                <c:pt idx="3">
                  <c:v>Nutrire Indústria de Alimentos (comida para mascotas, Brasil)</c:v>
                </c:pt>
              </c:strCache>
            </c:strRef>
          </c:cat>
          <c:val>
            <c:numRef>
              <c:f>Hoja1!$B$2:$B$5</c:f>
              <c:numCache>
                <c:formatCode>0.0"x"</c:formatCode>
                <c:ptCount val="4"/>
                <c:pt idx="0">
                  <c:v>14.3</c:v>
                </c:pt>
                <c:pt idx="1">
                  <c:v>11.7</c:v>
                </c:pt>
                <c:pt idx="2">
                  <c:v>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80584</c:v>
                </c:pt>
                <c:pt idx="1">
                  <c:v>87966</c:v>
                </c:pt>
                <c:pt idx="2">
                  <c:v>94253</c:v>
                </c:pt>
                <c:pt idx="3">
                  <c:v>99955</c:v>
                </c:pt>
                <c:pt idx="4">
                  <c:v>105632</c:v>
                </c:pt>
                <c:pt idx="5">
                  <c:v>111963</c:v>
                </c:pt>
                <c:pt idx="6">
                  <c:v>115122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509670</c:v>
                </c:pt>
                <c:pt idx="1">
                  <c:v>1549303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1.000,00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841.05</c:v>
                </c:pt>
                <c:pt idx="1">
                  <c:v>1287.3</c:v>
                </c:pt>
                <c:pt idx="2">
                  <c:v>1470.65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1.000,00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(874,70 – 1.104,00)</c:v>
                </c:pt>
                <c:pt idx="1">
                  <c:v>Precio objetivo de los analistas (980,00 – 1.450,00)</c:v>
                </c:pt>
                <c:pt idx="2">
                  <c:v>Comparables: PER NTM (625,32 – 1.073,72)</c:v>
                </c:pt>
                <c:pt idx="3">
                  <c:v>DCF (WACC y g ± 0,5) (1.107,64 – 1.556,59)</c:v>
                </c:pt>
                <c:pt idx="4">
                  <c:v>Escenarios (bajista – alcista) (841,05 – 1.470,65)</c:v>
                </c:pt>
                <c:pt idx="5">
                  <c:v>DCF con la prima implícita del mercado (4,2 %)</c:v>
                </c:pt>
                <c:pt idx="6">
                  <c:v>Precio actual (1.000,00)</c:v>
                </c:pt>
              </c:strCache>
            </c:strRef>
          </c:cat>
          <c:val>
            <c:numRef>
              <c:f>Hoja1!$B$2:$B$8</c:f>
              <c:numCache>
                <c:formatCode>#,##0</c:formatCode>
                <c:ptCount val="7"/>
                <c:pt idx="0">
                  <c:v>874.7</c:v>
                </c:pt>
                <c:pt idx="1">
                  <c:v>980</c:v>
                </c:pt>
                <c:pt idx="2">
                  <c:v>625.32</c:v>
                </c:pt>
                <c:pt idx="3">
                  <c:v>1107.64</c:v>
                </c:pt>
                <c:pt idx="4">
                  <c:v>841.05</c:v>
                </c:pt>
                <c:pt idx="5">
                  <c:v>1372.14</c:v>
                </c:pt>
                <c:pt idx="6">
                  <c:v>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(874,70 – 1.104,00)</c:v>
                </c:pt>
                <c:pt idx="1">
                  <c:v>Precio objetivo de los analistas (980,00 – 1.450,00)</c:v>
                </c:pt>
                <c:pt idx="2">
                  <c:v>Comparables: PER NTM (625,32 – 1.073,72)</c:v>
                </c:pt>
                <c:pt idx="3">
                  <c:v>DCF (WACC y g ± 0,5) (1.107,64 – 1.556,59)</c:v>
                </c:pt>
                <c:pt idx="4">
                  <c:v>Escenarios (bajista – alcista) (841,05 – 1.470,65)</c:v>
                </c:pt>
                <c:pt idx="5">
                  <c:v>DCF con la prima implícita del mercado (4,2 %)</c:v>
                </c:pt>
                <c:pt idx="6">
                  <c:v>Precio actual (1.000,00)</c:v>
                </c:pt>
              </c:strCache>
            </c:strRef>
          </c:cat>
          <c:val>
            <c:numRef>
              <c:f>Hoja1!$C$2:$C$8</c:f>
              <c:numCache>
                <c:formatCode>#,##0</c:formatCode>
                <c:ptCount val="7"/>
                <c:pt idx="0">
                  <c:v>229.29999999999995</c:v>
                </c:pt>
                <c:pt idx="1">
                  <c:v>470</c:v>
                </c:pt>
                <c:pt idx="2">
                  <c:v>448.4</c:v>
                </c:pt>
                <c:pt idx="3">
                  <c:v>448.9499999999998</c:v>
                </c:pt>
                <c:pt idx="4">
                  <c:v>629.6000000000001</c:v>
                </c:pt>
                <c:pt idx="5">
                  <c:v>353.02</c:v>
                </c:pt>
                <c:pt idx="6">
                  <c:v>10</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