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Cheryong Electric Co., Ltd. (제룡전기주식회사)</w:t>
      </w:r>
    </w:p>
    <w:p>
      <w:pPr>
        <w:spacing w:after="60"/>
        <w:rPr>
          <w:color w:val="52514E"/>
          <w:sz w:val="22"/>
          <w:szCs w:val="22"/>
        </w:rPr>
      </w:pPr>
      <w:r>
        <w:rPr>
          <w:color w:val="52514E"/>
          <w:sz w:val="22"/>
          <w:szCs w:val="22"/>
        </w:rPr>
        <w:t xml:space="preserve">033100 · KOSDAQ (Korea Exchange) · ISIN KR7033100009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KRW</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40.900,00 KRW</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12.765,63 KRW</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-66,1 % (base -68,1 %)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18.337,66 KRW · mercado 19.835,12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656.953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Cheryong Electric Co., Ltd. (제룡전기주식회사)</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033100 / KR7033100009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 (Korea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KOSDAQ</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 pesados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Seúl (fábrica en Daejeon) · 1986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https://www.cheryongelec.com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40.900,00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32.950,00 – 93.800,00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656.953 M KRW</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499.613 M KRW</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5101 M KRW/día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12.765,63 KRW</w:t>
      </w:r>
      <w:r>
        <w:t xml:space="preserve"> frente a 40.900,00 · Rentabilidad a 12 meses </w:t>
      </w:r>
      <w:r>
        <w:rPr>
          <w:b/>
          <w:bCs/>
        </w:rPr>
        <w:t xml:space="preserve">-66,1 % (base -68,1 %)</w:t>
      </w:r>
      <w:r>
        <w:t xml:space="preserve"> · Valor intrínseco 18.337,66 KRW · con la prima implícita del mercado: 19.835,12 (-51,5 %) · Alcista / bajista -38,0 % / -65,9 %</w:t>
      </w:r>
    </w:p>
    <w:p>
      <w:pPr>
        <w:spacing w:after="100"/>
      </w:pPr>
      <w:r>
        <w:rPr>
          <w:b/>
        </w:rPr>
        <w:t xml:space="preserve">Qué es.</w:t>
      </w:r>
      <w:r>
        <w:t xml:space="preserve"> Cheryong Electric es un fabricante coreano pequeño (190 empleados, una fábrica en Daejeon) de </w:t>
      </w:r>
      <w:r>
        <w:rPr>
          <w:b/>
        </w:rPr>
        <w:t xml:space="preserve">transformadores de distribución</w:t>
      </w:r>
      <w:r>
        <w:t xml:space="preserve">: los cilindros que se ven en los postes y las cajas verdes de las calles que bajan la tensión para casas y comercios. El 89 % de las ventas de 2025 fue exportación a EE. UU., a distribuidoras y mayoristas eléctricos; el resto, transformadores para KEPCO y el ferrocarril en Corea [1].</w:t>
      </w:r>
    </w:p>
    <w:p>
      <w:pPr>
        <w:spacing w:after="100"/>
      </w:pPr>
      <w:r>
        <w:rPr>
          <w:b/>
        </w:rPr>
        <w:t xml:space="preserve">La recomendación y por qué.</w:t>
      </w:r>
      <w:r>
        <w:t xml:space="preserve"> Vender, con convicción media. Objetivo a 12 meses de 12.766 KRW: −66,1 % con dividendo (−68,1 % en el base), frente a un precio de 40.900 KRW (cierre del 20-oct-2026 en el KOSDAQ) [30]. El valor intrínseco es de 18.338 KRW (−55 %). El precio equivale a un margen EBITDA del 37,8 % para siempre, el de 2024, el año de pico; hoy es del 17 %. La convicción es media, no alta, porque la caja sin deuda es el 23 % del precio y el tema de la IA puede sostener la cotización más tiempo que el beneficio. Subiría la convicción una cartera de pedidos que siga bajando en el 3T26 (por debajo de 130.000 M); la bajaría una cartera al alza dos trimestres seguidos con un margen operativo por encima del 20 %.</w:t>
      </w:r>
    </w:p>
    <w:p>
      <w:pPr>
        <w:spacing w:after="100"/>
      </w:pPr>
      <w:r>
        <w:rPr>
          <w:b/>
        </w:rPr>
        <w:t xml:space="preserve">Qué ha pasado.</w:t>
      </w:r>
      <w:r>
        <w:t xml:space="preserve"> Entre 2022 y 2024 la escasez de transformadores en EE. UU. (red envejecida, electrificación y centros de datos) multiplicó las ventas por seis (44.196 M en 2020; 262.736 M en 2024) y el margen operativo llegó al 37 % [1]. Desde 2025 se deshace: más oferta (fábricas nuevas en EE. UU. y México, grandes coreanos con planta en EE. UU.), aranceles de la sección 232 sobre todo el valor del transformador desde abril de 2026, y clientes con más proveedores. Ventas −14,7 % en 2025 y −36,4 % en el 1S26; beneficio operativo −69,5 %; cartera de pedidos de 305.567 M (mar-2024) a 141.580 M (jun-2026) [1, 2, 14].</w:t>
      </w:r>
    </w:p>
    <w:p>
      <w:pPr>
        <w:spacing w:after="100"/>
      </w:pPr>
      <w:r>
        <w:rPr>
          <w:b/>
        </w:rPr>
        <w:t xml:space="preserve">El negocio y la calidad.</w:t>
      </w:r>
      <w:r>
        <w:t xml:space="preserve"> </w:t>
      </w:r>
      <w:r>
        <w:rPr>
          <w:b/>
        </w:rPr>
        <w:t xml:space="preserve">Calidad: pasa por la regla</w:t>
      </w:r>
      <w:r>
        <w:t xml:space="preserve"> (ROIC del 90,5 % en 2025 frente a un WACC del 12,5 %, 78 puntos; sostenibilidad del crecimiento </w:t>
      </w:r>
      <w:r>
        <w:rPr>
          <w:b/>
        </w:rPr>
        <w:t xml:space="preserve">Sí</w:t>
      </w:r>
      <w:r>
        <w:t xml:space="preserve">). Pero en 2020-2021 el ROIC fue del 0-11 % con la misma fábrica: no hay foso, hay ciclo. Con nuestro margen de 2033e (EBITDA del 13 %) y la nave nueva, el ROIC bajaría al ≈ 13 %, cerca del WACC.</w:t>
      </w:r>
    </w:p>
    <w:p>
      <w:pPr>
        <w:spacing w:after="100"/>
      </w:pPr>
      <w:r>
        <w:rPr>
          <w:b/>
        </w:rPr>
        <w:t xml:space="preserve">Finanzas y capital.</w:t>
      </w:r>
      <w:r>
        <w:t xml:space="preserve"> Sin deuda y con 153.953 M de caja y depósitos (≈ 9.585 KRW por acción) tras pagar 40.000 M por la nave de Bosch en Daejeon para fabricar transformadores de 154 kV [2, 13]. Dividendo de 1.100 KRW por 2025 (30 % del beneficio) [12].</w:t>
      </w:r>
    </w:p>
    <w:p>
      <w:pPr>
        <w:spacing w:after="100"/>
      </w:pPr>
      <w:r>
        <w:rPr>
          <w:b/>
        </w:rPr>
        <w:t xml:space="preserve">Equipo y gobierno.</w:t>
      </w:r>
      <w:r>
        <w:t xml:space="preserve"> Empresa familiar (familia Park, 33,13 %) con un consejo de cuatro, un solo independiente y sin comités; compras a una empresa del presidente (Woojin Electric, 14.061 M en 2025) y una multa confirmada por el cártel de GIS en las licitaciones de KEPCO [1, 2, 25].</w:t>
      </w:r>
    </w:p>
    <w:p>
      <w:pPr>
        <w:spacing w:after="100"/>
      </w:pPr>
      <w:r>
        <w:rPr>
          <w:b/>
        </w:rPr>
        <w:t xml:space="preserve">Valoración.</w:t>
      </w:r>
      <w:r>
        <w:t xml:space="preserve"> El DCF da 18.008 KRW (WACC del 12,5 % con el bono coreano al 4,45 % [32]). A 12 meses: PER de 9,6x (la mediana histórica al cierre; con historia corta decide la v2, la más baja) sobre un BPA de 2028e de 1.244 KRW. Ninguna casa de análisis cubre la empresa [27].</w:t>
      </w:r>
    </w:p>
    <w:p>
      <w:pPr>
        <w:spacing w:after="100"/>
      </w:pPr>
      <w:r>
        <w:rPr>
          <w:b/>
        </w:rPr>
        <w:t xml:space="preserve">Riesgos.</w:t>
      </w:r>
      <w:r>
        <w:t xml:space="preserve"> Los cuatro que pedía el encargo: (1) </w:t>
      </w:r>
      <w:r>
        <w:rPr>
          <w:b/>
        </w:rPr>
        <w:t xml:space="preserve">pico de ciclo</w:t>
      </w:r>
      <w:r>
        <w:t xml:space="preserve">: es el principal y ya está en las cuentas; (2) </w:t>
      </w:r>
      <w:r>
        <w:rPr>
          <w:b/>
        </w:rPr>
        <w:t xml:space="preserve">aranceles de EE. UU.</w:t>
      </w:r>
      <w:r>
        <w:t xml:space="preserve">: altos, fletes y aduanas del 27,8 % de las ventas en el 2T26; (3) </w:t>
      </w:r>
      <w:r>
        <w:rPr>
          <w:b/>
        </w:rPr>
        <w:t xml:space="preserve">competencia nueva</w:t>
      </w:r>
      <w:r>
        <w:t xml:space="preserve"> (HD Hyundai, Hyosung, LS con fábricas en EE. UU.; fábricas en México): alta; (4) </w:t>
      </w:r>
      <w:r>
        <w:rPr>
          <w:b/>
        </w:rPr>
        <w:t xml:space="preserve">IA: viento a favor, no amenaza</w:t>
      </w:r>
      <w:r>
        <w:t xml:space="preserve"> — los centros de datos sostienen la demanda de transformadores, pero Cheryong vende sobre todo distribución y la IA está más en la cotización que en sus ventas. Veredicto de precio y noticias: </w:t>
      </w:r>
      <w:r>
        <w:rPr>
          <w:b/>
        </w:rPr>
        <w:t xml:space="preserve">no cambia</w:t>
      </w:r>
      <w:r>
        <w:t xml:space="preserve">.</w:t>
      </w:r>
    </w:p>
    <w:p>
      <w:pPr>
        <w:spacing w:after="100"/>
      </w:pPr>
      <w:r>
        <w:rPr>
          <w:b/>
        </w:rPr>
        <w:t xml:space="preserve">Qué cambiaría la decisión.</w:t>
      </w:r>
      <w:r>
        <w:t xml:space="preserve"> Un precio por debajo de 10.588 KRW (límite robusto), casi la caja; o una vuelta clara del ciclo: cartera de pedidos al alza dos trimestres seguidos, margen operativo por encima del 25 % y ventas de 154 kV.</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Media · Horizonte: 12 meses · Objetivo a 12 meses: </w:t>
      </w:r>
      <w:r>
        <w:rPr>
          <w:b/>
          <w:bCs/>
        </w:rPr>
        <w:t xml:space="preserve">12.765,63 KRW</w:t>
      </w:r>
      <w:r>
        <w:t xml:space="preserve"> (rentabilidad -66,1 % (base -68,1 %)) · Valor intrínseco: 18.337,66 KRW (-55,2 % sobre 40.900,00) · con la prima implícita del mercado: 19.835,12 (-51,5 %)</w:t>
      </w:r>
    </w:p>
    <w:p>
      <w:pPr>
        <w:spacing w:after="100"/>
      </w:pPr>
      <w:r>
        <w:t xml:space="preserve">Cheryong Electric fabrica transformadores de distribución y los exporta a EE. UU., donde la escasez de 2022-2024 le dio un margen operativo del 37 % y un ROIC del 111 % [1].</w:t>
      </w:r>
    </w:p>
    <w:p>
      <w:pPr>
        <w:spacing w:after="100"/>
      </w:pPr>
      <w:r>
        <w:t xml:space="preserve">El pico ya ha pasado: ventas −36 % y beneficio operativo −70 % en el 1S26, cartera a menos de la mitad del máximo, aranceles sobre todo el valor del producto y competidores con fábrica en EE. UU. [2, 18].</w:t>
      </w:r>
    </w:p>
    <w:p>
      <w:pPr>
        <w:spacing w:after="100"/>
      </w:pPr>
      <w:r>
        <w:t xml:space="preserve">El precio (35 veces nuestro BPA de 2027e) descuenta que el margen de 2024 vuelve y se queda. Nuestro base, con un margen EBITDA que baja del 16,5 % al 13 %, da 18.008 KRW de valor y un −66 % a 12 meses. Vender.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12.765,63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 × 825,44 = 4.705,01 · 9,6x × 1.244,03 = 11.942,69 · 12,5x × 1.797,77 = 22.472,13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 / -68,1 %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historia adelantada de 2 años: decide la más baja de v3 y v2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18.337,66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 / -65,9 %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12,5 % y 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11,1 %)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19.835,12 KRW</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(1,4 % anual proyectado; financiable al ROIC actual: 41,2 %)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el precio pide un crecimiento sin calcular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11.645,26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11.645,26 y 15.406,26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15.406,26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a 12 meses da Vender con mucho margen: la ponderada es del −66,1 % y la del base del −68,1 % (con la v3 sin selector, −10,6 %: también Vender); el valor intrínseco (18.338 KRW) está un 55 % por debajo del precio. El beneficio ha caído un 66 % con el fin del pico de la escasez de transformadores en EE. UU. y la acción cotiza a 35 veces nuestro BPA de 2027e. Calidad: pasa por la regla (ROIC del 90,5 % frente a un WACC del 12,5 %; sostenibilidad Sí), pero es un ROIC de pico. Convicción media y no alta porque la empresa no tiene deuda y la caja es el 23 % del precio, y porque el tema de la IA puede sostener la cotización más tiempo que el beneficio. No es compra a ningún precio cercano: la acción robusta es no comprar por encima de 10.588 KRW.</w:t>
      </w:r>
    </w:p>
    <w:p>
      <w:pPr>
        <w:pStyle w:val="Heading2"/>
      </w:pPr>
      <w:r>
        <w:t xml:space="preserve">Qué cambiaría la recomendación</w:t>
      </w:r>
    </w:p>
    <w:p>
      <w:pPr>
        <w:pStyle w:val="ListParagraph"/>
        <w:numPr>
          <w:ilvl w:val="0"/>
          <w:numId w:val="2"/>
        </w:numPr>
        <w:spacing w:after="60"/>
      </w:pPr>
      <w:r>
        <w:t xml:space="preserve">Precio por debajo de 10.588 KRW (límite robusto): la compra aguantaría un BPA un 10 % peor con v3 y v2; sería poco más que la caja.</w:t>
      </w:r>
    </w:p>
    <w:p>
      <w:pPr>
        <w:pStyle w:val="ListParagraph"/>
        <w:numPr>
          <w:ilvl w:val="0"/>
          <w:numId w:val="2"/>
        </w:numPr>
        <w:spacing w:after="60"/>
      </w:pPr>
      <w:r>
        <w:t xml:space="preserve">Cartera al alza dos trimestres seguidos y margen operativo por encima del 25 %: subiríamos el base hacia el alcista (que aun así vale 25.366 KRW en el DCF).</w:t>
      </w:r>
    </w:p>
    <w:p>
      <w:pPr>
        <w:pStyle w:val="ListParagraph"/>
        <w:numPr>
          <w:ilvl w:val="0"/>
          <w:numId w:val="2"/>
        </w:numPr>
        <w:spacing w:after="60"/>
      </w:pPr>
      <w:r>
        <w:t xml:space="preserve">Ventas de 154 kV homologadas con KEPCO o clientes de EE. UU. antes de 2027: más crecimiento en 2027-2028.</w:t>
      </w:r>
    </w:p>
    <w:p>
      <w:pPr>
        <w:pStyle w:val="ListParagraph"/>
        <w:numPr>
          <w:ilvl w:val="0"/>
          <w:numId w:val="2"/>
        </w:numPr>
        <w:spacing w:after="60"/>
      </w:pPr>
      <w:r>
        <w:t xml:space="preserve">Exención de la sección 232 para la distribución o acuerdo comercial que la rebaje: +3-5 puntos de margen.</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37,8 % para siempre, el de 2024: que la escasez de transformadores en EE. UU. vuelve y dura, con la demanda de la IA como argumento. No hay analistas que publiquen estimaciones.</w:t>
      </w:r>
    </w:p>
    <w:p>
      <w:pPr>
        <w:keepNext/>
        <w:spacing w:after="100"/>
      </w:pPr>
      <w:r>
        <w:rPr>
          <w:b/>
          <w:bCs/>
        </w:rPr>
        <w:t xml:space="preserve">Lo que creemos nosotros.</w:t>
      </w:r>
    </w:p>
    <w:p>
      <w:pPr>
        <w:spacing w:after="100"/>
      </w:pPr>
      <w:r>
        <w:t xml:space="preserve">El ciclo de Cheryong ya ha girado y el margen converge a un nivel de ciclo medio (≈ 13 % de EBITDA, el doble que antes de la escasez); la nave de 154 kV ayuda desde 2027-2028, pero no devuelve el beneficio de 2024. BPA de 1.244 KRW en 2028e, un tercio del de 2025.</w:t>
      </w:r>
    </w:p>
    <w:p>
      <w:pPr>
        <w:keepNext/>
        <w:spacing w:after="100"/>
      </w:pPr>
      <w:r>
        <w:rPr>
          <w:b/>
          <w:bCs/>
        </w:rPr>
        <w:t xml:space="preserve">Por qué podemos tener razón.</w:t>
      </w:r>
    </w:p>
    <w:p>
      <w:pPr>
        <w:spacing w:after="100"/>
      </w:pPr>
      <w:r>
        <w:t xml:space="preserve">Book-to-bill de 0,53 en 2025 y 0,88 en el 1S26; unidades exportadas −43 % en 2025; fletes y aduanas del 27,8 % de las ventas en el 2T26; la propia empresa atribuye la caída a la competencia y a los aranceles [1, 2, 11].</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KRW) · precio actual 40.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18.832,37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Caja</w:t>
      </w:r>
      <w:r>
        <w:t xml:space="preserve">: 153.953 M sin deuda, el 23 % de la capitalización [2].</w:t>
      </w:r>
    </w:p>
    <w:p>
      <w:pPr>
        <w:pStyle w:val="ListParagraph"/>
        <w:numPr>
          <w:ilvl w:val="0"/>
          <w:numId w:val="2"/>
        </w:numPr>
        <w:spacing w:after="60"/>
      </w:pPr>
      <w:r>
        <w:rPr>
          <w:b/>
        </w:rPr>
        <w:t xml:space="preserve">Demanda de fondo</w:t>
      </w:r>
      <w:r>
        <w:t xml:space="preserve">: red de EE. UU. envejecida y centros de datos [16, 20].</w:t>
      </w:r>
    </w:p>
    <w:p>
      <w:pPr>
        <w:pStyle w:val="ListParagraph"/>
        <w:numPr>
          <w:ilvl w:val="0"/>
          <w:numId w:val="2"/>
        </w:numPr>
        <w:spacing w:after="60"/>
      </w:pPr>
      <w:r>
        <w:rPr>
          <w:b/>
        </w:rPr>
        <w:t xml:space="preserve">Nuevo producto</w:t>
      </w:r>
      <w:r>
        <w:t xml:space="preserve">: nave de 154 kV comprada a Bosch (40.000 M) [13].</w:t>
      </w:r>
    </w:p>
    <w:p>
      <w:pPr>
        <w:pStyle w:val="ListParagraph"/>
        <w:numPr>
          <w:ilvl w:val="0"/>
          <w:numId w:val="2"/>
        </w:numPr>
        <w:spacing w:after="60"/>
      </w:pPr>
      <w:r>
        <w:rPr>
          <w:b/>
        </w:rPr>
        <w:t xml:space="preserve">Dividendo</w:t>
      </w:r>
      <w:r>
        <w:t xml:space="preserve">: 1.100 KRW (2,7 %) y reparto del 30 % [12].</w:t>
      </w:r>
    </w:p>
    <w:p>
      <w:pPr>
        <w:pStyle w:val="Heading2"/>
      </w:pPr>
      <w:r>
        <w:t xml:space="preserve">En contra</w:t>
      </w:r>
    </w:p>
    <w:p>
      <w:pPr>
        <w:pStyle w:val="ListParagraph"/>
        <w:numPr>
          <w:ilvl w:val="0"/>
          <w:numId w:val="2"/>
        </w:numPr>
        <w:spacing w:after="60"/>
      </w:pPr>
      <w:r>
        <w:rPr>
          <w:b/>
        </w:rPr>
        <w:t xml:space="preserve">Ciclo</w:t>
      </w:r>
      <w:r>
        <w:t xml:space="preserve">: ventas −36 % y beneficio operativo −70 % en el 1S26 [2].</w:t>
      </w:r>
    </w:p>
    <w:p>
      <w:pPr>
        <w:pStyle w:val="ListParagraph"/>
        <w:numPr>
          <w:ilvl w:val="0"/>
          <w:numId w:val="2"/>
        </w:numPr>
        <w:spacing w:after="60"/>
      </w:pPr>
      <w:r>
        <w:rPr>
          <w:b/>
        </w:rPr>
        <w:t xml:space="preserve">Aranceles</w:t>
      </w:r>
      <w:r>
        <w:t xml:space="preserve">: sección 232 sobre todo el valor del producto [18].</w:t>
      </w:r>
    </w:p>
    <w:p>
      <w:pPr>
        <w:pStyle w:val="ListParagraph"/>
        <w:numPr>
          <w:ilvl w:val="0"/>
          <w:numId w:val="2"/>
        </w:numPr>
        <w:spacing w:after="60"/>
      </w:pPr>
      <w:r>
        <w:rPr>
          <w:b/>
        </w:rPr>
        <w:t xml:space="preserve">Competencia</w:t>
      </w:r>
      <w:r>
        <w:t xml:space="preserve">: grandes coreanos y fábricas nuevas en EE. UU. [21].</w:t>
      </w:r>
    </w:p>
    <w:p>
      <w:pPr>
        <w:pStyle w:val="ListParagraph"/>
        <w:numPr>
          <w:ilvl w:val="0"/>
          <w:numId w:val="2"/>
        </w:numPr>
        <w:spacing w:after="60"/>
      </w:pPr>
      <w:r>
        <w:rPr>
          <w:b/>
        </w:rPr>
        <w:t xml:space="preserve">Precio</w:t>
      </w:r>
      <w:r>
        <w:t xml:space="preserve">: 35 veces nuestro BPA de 2027e; 55 % sobre nuestro valor [30].</w:t>
      </w:r>
    </w:p>
    <w:p>
      <w:pPr>
        <w:pStyle w:val="Heading2"/>
      </w:pPr>
      <w:r>
        <w:t xml:space="preserve">Qué tiene que pasar para que la tesis funcione</w:t>
      </w:r>
    </w:p>
    <w:p>
      <w:pPr>
        <w:spacing w:after="100"/>
      </w:pPr>
      <w:r>
        <w:t xml:space="preserve">La cartera de pedidos y el margen. La señal de que el fondo ha llegado: en el 3T26 (hacia el 13-nov) una cartera de 150.000 M o más, pedidos del trimestre por encima de 35.000 M y un margen operativo del 15 % o más; la de que sigue bajando: cartera por debajo de 130.000 M, fletes y aduanas por encima del 25 % de las ventas o pérdida de un cliente grande.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141.580 M (jun-2026)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130.000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3-4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nuevos del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31.000 M (media del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dice si el ciclo ha tocado fondo.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y aranceles.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Fletes y aduanas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arancel que paga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medio por unidad exportada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12,0 M KRW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10 M KRW</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señal de guerra de precios.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Cheryong Electric nació en 1986 como fabricante de material eléctrico y abrió su fábrica de Daejeon en 2005. Cotiza en el KOSDAQ desde agosto de 1997. En 2011 escindió el negocio de metal y plásticos (hoy Cheryong Industrial, 제룡산업, también de la familia Park) y se quedó solo con los transformadores y la aparamenta [1]. Durante dos décadas vendió sobre todo en Corea (KEPCO, ferrocarril) con márgenes de un dígito alto; desde 2015 exporta transformadores de distribución a EE. UU. («torre» de 10 M USD de exportación en 2015, de 70 M USD en 2023 y de 100 M USD en 2024) [2]. La escasez de transformadores en EE. UU. a partir de 2022 multiplicó por seis las ventas y por veinticinco el beneficio operativo entre 2021 y 2024 [1]. En 2026 compró la nave de Bosch Korea en Daejeon para entrar en media y gran potencia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fábrica de Cheongsan (1990) y centro de I+D (1992)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al KOSDAQ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de Daejeon, la única hoy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del negocio de metal y plásticos (Cheryong Industrial)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hito exportador: 10 M USD al año, sobre todo a EE. UU.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183.941 M KRW (×2,1) y margen operativo del 38 %; 70 M USD de exportación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del ciclo: ventas de 262.736 M y 100 M USD de exportación; cartera récord de 305.567 M en marzo; multa por el cártel de GIS de KEPCO (diciembre)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−14,7 % por competencia y aranceles; certificación UL de transformadores de pedestal trifásicos hasta 3.750 kVA (noviembre)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la nave 2 de Daejeon (40.000 M) para 154 kV; ventas del 1S −36 % [2].</w:t>
            </w:r>
          </w:p>
        </w:tc>
      </w:tr>
    </w:tbl>
    <w:p>
      <w:pPr>
        <w:spacing w:after="160" w:before="0"/>
      </w:pPr>
    </w:p>
    <w:p>
      <w:pPr>
        <w:pStyle w:val="Heading1"/>
      </w:pPr>
      <w:r>
        <w:t xml:space="preserve">2. Modelo de negocio</w:t>
      </w:r>
    </w:p>
    <w:p>
      <w:pPr>
        <w:spacing w:after="100"/>
      </w:pPr>
      <w:r>
        <w:t xml:space="preserve">Cheryong fabrica transformadores, el aparato que baja la tensión de la red a la que usa el cliente final, en una sola fábrica en Daejeon (Corea) con 190 empleados [1]. El 100 % de las ventas son de la división de material eléctrico pesado y casi todo son transformadores de distribución: de poste (monofásicos, los que cuelgan en las calles de EE. UU.) y de pedestal (pad-mounted, en el suelo, para urbanizaciones, comercios y centros de datos), en aceite y con núcleo de chapa magnética o amorfo [1, 2]. El 88,8 % de las ventas de 2025 fue exportación a EE. UU. (198.920 M KRW) y el 11,2 % a Corea (KEPCO, ferrocarril e industria: transformadores secos de resina, GIS y obras) [1]. Tres clientes, que la empresa no nombra (A, B y C), fueron el 74,6 % de las ventas de 2025 [1]. En noviembre de 2025 obtuvo la certificación UL para transformadores de pedestal trifásicos de hasta 3.750 kVA, más grandes y caros [2].</w:t>
      </w:r>
    </w:p>
    <w:p>
      <w:pPr>
        <w:pStyle w:val="Heading2"/>
      </w:pPr>
      <w:r>
        <w:t xml:space="preserve">Cómo gana dinero</w:t>
      </w:r>
    </w:p>
    <w:p>
      <w:pPr>
        <w:spacing w:after="100"/>
      </w:pPr>
      <w:r>
        <w:t xml:space="preserve">Vende por pedido, con plazos de entrega de meses, a precio cerrado en dólares, y cobra al contado unos 50 días después de entregar [1]. El coste principal es material: chapa magnética de POSCO y núcleos de Woojin Electric (vinculada), cobre y aceite; el material comprado fue el 45 % del gasto en 2025 [1]. El margen depende sobre todo del </w:t>
      </w:r>
      <w:r>
        <w:rPr>
          <w:b/>
        </w:rPr>
        <w:t xml:space="preserve">precio en EE. UU.</w:t>
      </w:r>
      <w:r>
        <w:t xml:space="preserve">, que se disparó con la escasez de 2022-2024 (margen bruto del 51,7 % en 2024 frente al 19,8 % en 2020) y ahora baja con la competencia [1]. Desde 2025 también pesan los </w:t>
      </w:r>
      <w:r>
        <w:rPr>
          <w:b/>
        </w:rPr>
        <w:t xml:space="preserve">aranceles</w:t>
      </w:r>
      <w:r>
        <w:t xml:space="preserve">: Cheryong vende entregado y paga el transporte y el arancel, que suman el 27,8 % de las ventas del 2T26 [1, 2]. Apalancamiento operativo alto: con ventas −36 % en el 1S26, el beneficio operativo cayó un 69,5 % [2]. Sin ingresos recurrentes: cada año hay que volver a ganar los pedidos.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exportación (sobre todo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y otros: Corea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Transformadores: exportación (sobre todo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234.490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y otros: Corea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Muy concentrados: el primer cliente (A) fue el 37,9 % de las ventas de 2025 (38,3 % en 2024), el segundo (B) el 24,5 % (17,1 %) y el tercero (C) el 12,3 % (11,1 %): el 74,6 % entre tres [1]. No se publican los nombres; por el producto son distribuidoras eléctricas o mayoristas de material eléctrico de EE. UU. Los contratos son pedidos, sin compromisos plurianuales publicados. </w:t>
      </w:r>
      <w:r>
        <w:rPr>
          <w:b/>
        </w:rPr>
        <w:t xml:space="preserve">Poder de precios</w:t>
      </w:r>
      <w:r>
        <w:t xml:space="preserve">: lo tuvo con la escasez (el precio medio por unidad exportada subió de ≈ 8,0 M a ≈ 11,9 M KRW entre 2024 y 2025, en parte por mezcla) [1], pero no lo ha tenido para repercutir el arancel: el margen operativo bajó del 37,2 % (2024) al 15,8 % (1S26) [1, 2]. En Corea vende a KEPCO por subasta pública; en 2025 KEPCO la vetó seis meses por el cártel de GIS (veto suspendido por un juez)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255.603 M (dic-2024)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141.580 M (jun-2026)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305.567 M en mar-2024; 150.076 M en dic-2025 y 153.251 M en mar-2026 [1, 2, 3, 6,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118.490 M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61.827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124.000 M anualizados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Pedidos/ventas de 0,53 en 2025 y 0,88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exportadas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29.174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16.733 (2025); 4.912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 en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 8,0 M KRW por unidad en 2024, ≈ 11,9 M en 2025 y ≈ 12,0 M en el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Transporte y aduanas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9.905 M de 35.649 M de ventas en el 2T26: el arancel de la sección 232 lo paga Cheryong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29,9 % en 2025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Uso de la capacidad (horas de trabajo)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en unidades de 29.855 (2024), 17.449 (2025) y 8.122 en el semestre: se mide por la mezcla de productos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que importa es el de </w:t>
      </w:r>
      <w:r>
        <w:rPr>
          <w:b/>
        </w:rPr>
        <w:t xml:space="preserve">transformadores de distribución en EE. UU.</w:t>
      </w:r>
      <w:r>
        <w:t xml:space="preserve">, donde Cheryong vende el 89 %. Como no hay cifra pública de ese mercado con fuente primaria, usamos el mundial de transformadores de distribución de GlobalData (53.510 M USD en 2030) recogido en la ficha sectorial del repositorio, con las cifras de Wood Mackenzie para EE. UU. (déficit del 10 %, demanda +41 % desde 2019, 50 % de importación) [16]. MarketsandMarkets mide solo potencia (30.380 M USD en 2025) [17]: sirve de contraste del ciclo, no del perímetro. Estimación propia de distribución mundial en 2025: ≈ 34.800 M USD (total de ≈ 65.200 M menos potencia) [16,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34.800 M USD de transformadores de distribución en el mundo en 2025 (estimación propia con GlobalData y MarketsandMarkets) y 53.510 M USD en 2030 (GlobalData) [16, 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transformadores de distribución, mund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 de datos de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centros de datos piden transformadores de pedestal y de potencia; las exportaciones coreanas de transformadores grandes y cables superaron 1 billón de KRW en el 1T26, más de la mitad a EE. UU.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Reposición de una red envejecida y electrificación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de transformadores de distribución en EE. UU. +41 % desde 2019 y déficit del 10 % (Wood Mackenzie)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nueva de los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1.800 M USD de ampliaciones anunciadas en EE. UU. desde 2023; Cheryong habla de «estabilización del suministro» y competencia [2,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(sección 232)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sobre el acero de los transformadores desde ago-2025; desde el 6-abr-2026, 15/25/50 % sobre el valor del producto acabado (15 % solo para muy alta tensión hasta 2027)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Veto a equipos de países adversarios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Emergencia nacional del 26-ago-2026 que limita la compra de equipos eléctricos de origen extranjero adversario (China)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la red coreana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de KEPCO hasta 2030 y «tres leyes de la red» en tramitación (may-2026)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estándar con norma ANSI/IEEE; competidores estadounidenses (Eaton, ERMCO, Howard), mexicanos (Prolec GE, WEG), coreanos (HD Hyundai, LS, Hyosung, Sanil) y nuevos importadores; la empresa reconoce más competencia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son el 74,6 % de las ventas; las distribuidoras compran por subasta y con varios proveedores homologados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Chapa magnética de POSCO (pocos fabricantes de grano orientado) y cobre a precio de la LME; precio de la chapa estable en 4.180 KRW/kg en 2024-2026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Fabricar distribución es fácil y barato (capex del 1-3 % de las ventas); la barrera es la homologación de cada distribuidora y la certificación UL [2,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sustituto del transformador; los de estado sólido están en fase de prueba [16].</w:t>
            </w:r>
          </w:p>
        </w:tc>
      </w:tr>
    </w:tbl>
    <w:p>
      <w:pPr>
        <w:spacing w:after="160" w:before="0"/>
      </w:pPr>
    </w:p>
    <w:p>
      <w:pPr>
        <w:pStyle w:val="Heading2"/>
      </w:pPr>
      <w:r>
        <w:t xml:space="preserve">Ciclo</w:t>
      </w:r>
    </w:p>
    <w:p>
      <w:pPr>
        <w:spacing w:after="100"/>
      </w:pPr>
      <w:r>
        <w:t xml:space="preserve">Para Cheryong el ciclo de precios ya gira: cartera −54 % desde el máximo (305.567 M en mar-2024 a 141.580 M en jun-2026) y pedidos/ventas de 0,53 en 2025 [1, 2]. La demanda estructural sigue (centros de datos, red), pero la capacidad nueva y los aranceles hunden el precio que cobra un exportador de distribución. En el ciclo anterior, tras el auge de 2005-2008, precios y márgenes cayeron casi una década [16]. En 2020-2021 Cheryong ganó un margen operativo del 8,6 % y del 0,2 %; en 2022, con la escasez, subió al 18,6 % [1].</w:t>
      </w:r>
    </w:p>
    <w:p>
      <w:pPr>
        <w:pStyle w:val="Heading2"/>
      </w:pPr>
      <w:r>
        <w:t xml:space="preserve">Regulación</w:t>
      </w:r>
    </w:p>
    <w:p>
      <w:pPr>
        <w:spacing w:after="100"/>
      </w:pPr>
      <w:r>
        <w:t xml:space="preserve">Lo que más pesa son los aranceles de EE. UU.: sección 232 sobre derivados del acero (50 % del contenido de acero desde el 18-ago-2025; desde el 6-abr-2026, 15, 25 o 50 % sobre el valor en aduana del producto acabado según el peso del metal, con un 15 % solo para los de muy alta tensión hasta el 31-dic-2027) [18, 19]. Los transformadores de distribución no tienen el tipo reducido. El 26-ago-2026 EE. UU. declaró una emergencia que limita los equipos eléctricos de países adversarios, que favorece a Corea frente a China [21]. Normas de eficiencia del Departamento de Energía para distribución (2024; el núcleo amorfo de Cheryong las cumple) [16]. En Corea, el cártel de GIS (multa, veto de KEPCO suspendido y demanda de daños) [2].</w:t>
      </w:r>
    </w:p>
    <w:p>
      <w:pPr>
        <w:pStyle w:val="Heading2"/>
      </w:pPr>
      <w:r>
        <w:t xml:space="preserve">Tendencias y disrupción</w:t>
      </w:r>
    </w:p>
    <w:p>
      <w:pPr>
        <w:spacing w:after="100"/>
      </w:pPr>
      <w:r>
        <w:t xml:space="preserve">Tres tendencias. (1) Los centros de datos de IA son viento a favor de la demanda de transformadores, sobre todo de potencia y de pedestal grandes; el negocio de Cheryong (poste y pedestal pequeño) lo nota menos que HD Hyundai o Hyosung, que cerraron 2025 con récord mientras Cheryong caía [15, 20]. (2) Relocalización: los grandes abren fábricas en EE. UU. (HD Hyundai en Alabama, Hyosung en Memphis, LS) y así esquivan el arancel; Cheryong exporta desde Corea y paga el arancel entero [16, 20]. (3) Subir de gama (154 kV) es su respuesta, con una nave comprada en 2026 y sin producción todavía [2].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de nicho de transformadores de distribución importados en EE. UU.; ≈ 0,5 % del mercado mundial de distribución (estimación propia: ≈ 169 M USD de ventas de 2025 sobre ≈ 34.800 M USD) [1, 16]. En Corea, fabricante mediano de transformadores secos de resina para KEPCO y ferrocarril.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foso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267260.KS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4.336.924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Potencia y distribución; fábrica en Alabama; margen de pico del 27 %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298040.KS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6.412.279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Potencia (765 kV) y fábrica en Memphis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010120.KS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5.694.222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Aparamenta y transformadores; centros de datos en EE. UU.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Iljin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103590.KS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2.207.818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de potencia y cables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Sanil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062040.KS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589.364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Transformadores especiales para renovables y almacenamiento en EE. UU.; el rival coreano más parecido en tamaño, que crece mientras Cheryong cae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Hammond Power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HPS-A.TO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1.003.629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Transformadores secos y de distribución en Norteamérica, con fábricas locales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producto industrial vendido por pedido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Homologación de cada distribuidora y certificación UL; cuesta entrar, pero los clientes ya tienen varios proveedores y compran por subasta [B1,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 patentes (60 en Corea); productos certificados (núcleo amorfo, resina sin tóxicos), pero sin prima de marca demostrada [B2].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Fábrica coreana con 190 empleados y gastos generales bajos; la ventaja se perdió con el arancel, que no pagan los que fabrican en EE. UU. o México [B1,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 169 M USD en un mercado de decenas de miles de millones y fácil de ampliar [B3].</w:t>
            </w:r>
          </w:p>
        </w:tc>
      </w:tr>
    </w:tbl>
    <w:p>
      <w:pPr>
        <w:spacing w:after="160" w:before="0"/>
      </w:pPr>
    </w:p>
    <w:p>
      <w:pPr>
        <w:pStyle w:val="Heading2"/>
      </w:pPr>
      <w:r>
        <w:t xml:space="preserve">Amenazas</w:t>
      </w:r>
    </w:p>
    <w:p>
      <w:pPr>
        <w:spacing w:after="100"/>
      </w:pPr>
      <w:r>
        <w:t xml:space="preserve">Lo que erosiona el margen ya está pasando: (1) la capacidad nueva en EE. UU. y México (1.800 M USD anunciados desde 2023) normaliza el precio, y la propia empresa habla de competencia [2, 16]; (2) el arancel de la sección 232 lo paga Cheryong y no los competidores con fábrica local [18]; (3) tres clientes son el 74,6 % de las ventas: perder uno restaría hasta un 38 % [1]. Probabilidad alta de que el margen no vuelva al 30-38 % de 2023-2025; media de que baje al 8-12 % del ciclo anterior.</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183.941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4.976,00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224.017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3.655,00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2020-2025: ingresos </w:t>
      </w:r>
      <w:r>
        <w:rPr>
          <w:b/>
          <w:bCs/>
        </w:rPr>
        <w:t xml:space="preserve">38,4 %</w:t>
      </w:r>
      <w:r>
        <w:t xml:space="preserve">, EBITDA </w:t>
      </w:r>
      <w:r>
        <w:rPr>
          <w:b/>
          <w:bCs/>
        </w:rPr>
        <w:t xml:space="preserve">62,1 %</w:t>
      </w:r>
      <w:r>
        <w:t xml:space="preserve">, BPA </w:t>
      </w:r>
      <w:r>
        <w:rPr>
          <w:b/>
          <w:bCs/>
        </w:rPr>
        <w:t xml:space="preserve">75,6 %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KRW,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Cheryong vive el ciclo de los transformadores de distribución en EE. UU. Las ventas pasaron de 44.196 M KRW en 2020 a 262.736 M en 2024 (×5,9) y el margen operativo del 8,6 % al 37,2 % (2023: 38,1 %), con un margen bruto que subió del 19,8 % al 51,7 % por precio, no por volumen: las unidades exportadas bajaron de 29.174 en 2024 a 16.733 en 2025 mientras el precio medio por unidad subía de ≈ 8,0 M a ≈ 11,9 M KRW [1]. </w:t>
      </w:r>
      <w:r>
        <w:rPr>
          <w:b/>
        </w:rPr>
        <w:t xml:space="preserve">El ciclo ya gira</w:t>
      </w:r>
      <w:r>
        <w:t xml:space="preserve">: 2025 cerró con ventas −14,7 % y beneficio operativo −31,4 % por «la competencia en el mercado norteamericano de transformadores de distribución, al estabilizarse el suministro, y los aranceles de EE. UU.» [11]; el 1S26, con ventas −36,4 % (70.323 M) y beneficio operativo −69,5 % (11.123 M, margen del 15,8 %) [2]. Los gastos de transporte (운반비, donde la empresa registra el envío y los derechos de aduana al vender entregado) pasaron del 7,2 % de las ventas en 2024 al 12,7 % en 2025 y al 27,8 % en el 2T26 [1, 2]. Todo el crecimiento es orgánico.</w:t>
      </w:r>
    </w:p>
    <w:p>
      <w:pPr>
        <w:pStyle w:val="Heading2"/>
      </w:pPr>
      <w:r>
        <w:t xml:space="preserve">Ajustes y partidas no recurrentes</w:t>
      </w:r>
    </w:p>
    <w:p>
      <w:pPr>
        <w:spacing w:after="100"/>
      </w:pPr>
      <w:r>
        <w:t xml:space="preserve">Cifras publicadas K-IFRS, sin ajustes. Tres avisos. (1) El beneficio del 1S26 (26.086 M) lleva una plusvalía de 16.792 M por la venta de activos financieros a valor razonable (compras de 41.069 M y ventas de 57.862 M en el semestre): no es recurrente; sin ella, el BAI del semestre sería ≈ 17.000 M [2]. (2) El resultado financiero recurrente son sobre todo intereses de los depósitos (≈ 4.100-4.500 M al año con ≈ 150.000-185.000 M de caja) y diferencias de cambio [1, 2]. (3) 2021 (beneficio operativo de 117 M) fue un año de márgenes hundidos por el coste del acero y del cobre antes de la subida de precios; el BPA de 73 KRW no es representativo [5]. El aviso preliminar de 2025 dio un beneficio de 59.064 M; el auditado es 58.712 M [1,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2"/>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Cheryong no da conferencias con analistas ni guía, y ninguna casa la cubre (FnGuide: ninguna recomendación en tres meses). Lo que dice la dirección está en los informes. Ventas y beneficio de cada trimestre de los trimestrales, semestrales y anuales; el 4T sale del anual menos los nueve meses [1, 2, 3, 6, 7, 8, 9, 10]. El BPA trimestral es el beneficio entre 16,06 M de acciones (el de 2T26, 1.122 KRW, lleva la plusvalía financiera de 16.025 M del trimestre). Beneficio operativo trimestral: 26.630 M (3T24), 12.702 M (4T24), 16.068 M (1T25), 20.408 M (2T25), 22.530 M (3T25), 8.021 M (4T25), 5.888 M (1T26) y 5.234 M (2T26): del 38,4 % al 14,7 % de margen en siete trimestres. En el informe semestral la dirección habla de «estabilización de la capacidad mundial y competencia», de «apalancamiento operativo negativo con más costes fijos por la inversión en la gama» y de los aranceles; para 2026 espera demanda pública en Corea y más competencia en EE. UU., y apuesta por transformadores de media y gran potencia (154 kV) [2]. No hemos encontrado el EBITDA trimestral (la amortización solo se publica por semestre) ni un consenso previo.</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71.229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59.153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241.768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196.694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266.912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239.344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Un balance de caja: 153.953 M de efectivo y depósitos frente a una capitalización de 656.953 M (23 %). El circulante comercial (existencias + clientes − proveedores) bajó de 66.444 M en 2023 (36 % de las ventas) a 36.283 M en 2025 (16 %), y en junio de 2026 era de 35.610 M, ≈ 25 % de las ventas anualizadas del semestre [1, 2]. La nave de Daejeon llevó el inmovilizado material de 20.494 M a 65.192 M en seis meses (+44.698 M): es la primera inversión grande en una década y cambia el capital invertido [2, 13].</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2.312,64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5.799,88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4.016,56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190.014</w:t>
      </w:r>
      <w:r>
        <w:t xml:space="preserve">, conversión </w:t>
      </w:r>
      <w:r>
        <w:rPr>
          <w:b/>
          <w:bCs/>
        </w:rPr>
        <w:t xml:space="preserve">90 %</w:t>
      </w:r>
      <w:r>
        <w:t xml:space="preserve"> del beneficio neto; adquisiciones 0, dividendos 28.911, recompras 0.</w:t>
      </w:r>
    </w:p>
    <w:p>
      <w:pPr>
        <w:spacing w:after="100"/>
      </w:pPr>
      <w:r>
        <w:t xml:space="preserve">La conversión en caja es buena con el ciclo a favor: el flujo operativo de 2023-2025 (202.392 M) fue el 104 % del beneficio (195.017 M), con el capex por debajo del 1,3 % de las ventas [1, 3, 4]. En 2022 fue negativo (−17.020 M) por la compra de existencias y los clientes al arrancar las exportaciones. El 1S26 cambia: flujo operativo de 13.188 M, capex de 45.736 M (la nave) y dividendo de 17.669 M [2]. El capex de mantenimiento es pequeño (≈ 2.000-2.500 M al año: amortización de 1.373-1.902 M); para 2026 la empresa prevé 45.545 M de inversión en terreno y edificios y habrá equipamiento después [2]. Estimación propia: el capex de mantenimiento es el 1-1,5 % de las ventas.</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Samil PwC (삼일회계법인)</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Samil PwC audita desde 2024 (antes, Hyundai Accounting) con opinión favorable y la existencia de las ventas de producto como cuestión clave [1]. Revisado: reconocimiento de ingresos (entrega; algún contrato público por avance de obra), gastos de transporte y aduana dentro de gastos de venta, activos por costes de obtención de contratos (amortización de 3.475 M por semestre), la plusvalía de activos financieros del 1S26 y las vinculadas. Tres puntos a vigilar. (1) </w:t>
      </w:r>
      <w:r>
        <w:rPr>
          <w:b/>
        </w:rPr>
        <w:t xml:space="preserve">Compras a una vinculada</w:t>
      </w:r>
      <w:r>
        <w:t xml:space="preserve">: Woojin Electric (우진전기), de la que el presidente es consejero delegado, vendió a Cheryong núcleos y componentes por 23.374 M en 2024 y 14.061 M en 2025 (13 % de las compras de materias primas) [1]. (2) El corregido de junio de 2026 cambió dos notas (unidades de avance de obra y divisa de activos en dólares) sin tocar las cifras [1]. (3) El beneficio del 1S26 depende en un 64 % de la plusvalía financiera [2]. Lectura de los indicadores del motor: con el salto de ventas de 2022-2024, el Beneish puede dar falsos positivos; el Altman sale muy alto por la caja y la ausencia de deuda.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a una sociedad del presidente (Woojin Electric)</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14.061 M en 2025 y 23.374 M en 2024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del 1S26 inflado por una plusvalía financiera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16.792 M de 26.086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auditor en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 Hyundai Accounting a Samil PwC; opinión favorable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26.743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39.119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64.766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5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172,4 % · </w:t>
      </w:r>
      <w:r>
        <w:rPr>
          <w:b/>
          <w:bCs/>
        </w:rPr>
        <w:t xml:space="preserve">WACC</w:t>
      </w:r>
      <w:r>
        <w:t xml:space="preserve">: 12,5 %.</w:t>
      </w:r>
    </w:p>
    <w:p>
      <w:pPr>
        <w:spacing w:after="100"/>
      </w:pPr>
      <w:r>
        <w:t xml:space="preserve">Por la regla, Cheryong crea valor: ROIC del 90,5 % en 2025 frente a un WACC del 12,5 % (78 puntos), del 111 % en 2024 y del 85 % en 2023 [1]. Pero es un ROIC de pico: en 2020 fue del 11,4 % y en 2021 del 0,4 %, con el mismo negocio y la misma fábrica. Viene de un margen operativo del 30-37 % que el mercado de transformadores de EE. UU. pagó durante la escasez, con un capital invertido pequeño (≈ 68.000 M: circulante y una fábrica amortizada) que giraba 3,5 veces. Con la nave de 154 kV el capital se duplica (≈ 130.000 M) y con nuestro margen de 2033e (EBIT del ≈ 10 %) el ROIC bajaría al ≈ 13 %, cerca del WACC. Calidad, por tanto, en el límite: pasa por las cifras publicadas, no por un foso.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-153.375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efectivo de 39.457 M y depósitos a plazo de 114.496 M (153.953 M), sin deuda financiera; arrendamientos de 578 M [2]. La caja bajó desde 185.299 M (dic-2025) por la compra de la nave de Daejeon (40.000 M, pagada en el 1S26) y el dividendo (17.669 M) [2, 12,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de deuda (no tiene bonos). Calificaciones de empresa: A+ (e-Credible, mar-2026) y AA− (SCI, mar-2026)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garantías ni pensiones de prestación definida relevantes (provisiones no corrientes de 679 M, sobre todo garantías de producto) [2]. Contingencias: multa de la Comisión de Competencia por el cártel de las subastas de GIS de KEPCO (1.165 M, firme tras perder en el Tribunal Supremo), veto de seis meses de KEPCO a sus subastas (suspendido por un juez mientras se pleitea) y una demanda de daños de KEPCO de 2.000 M contra diez fabricantes en primera instancia [2]. Impuesto de sociedades a pagar de 12.383 M [2].</w:t>
      </w:r>
    </w:p>
    <w:p>
      <w:pPr>
        <w:pStyle w:val="Heading1"/>
      </w:pPr>
      <w:r>
        <w:t xml:space="preserve">12. Asignación de capital</w:t>
      </w:r>
    </w:p>
    <w:p>
      <w:pPr>
        <w:pStyle w:val="Confianza"/>
        <w:spacing w:after="100"/>
      </w:pPr>
      <w:r>
        <w:t xml:space="preserve">Confianza: Alta</w:t>
      </w:r>
    </w:p>
    <w:p>
      <w:pPr>
        <w:spacing w:after="100"/>
      </w:pPr>
      <w:r>
        <w:t xml:space="preserve">Dividendo creciente con el ciclo: 50 KRW por acción (2019-2021), 150 (2022), 500 (2023), 1.000 (2024) y 1.100 (2025: 17.669 M, 30,1 % del beneficio) [1, 12]. El plan de valor de marzo de 2026 promete «un dividendo sostenible», mejor coste y nuevos productos, sin cifras [2]. Sin recompras ni autocartera. Prioridad declarada para la caja: la gama de transformadores de media y gran potencia (154 kV) [2,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Terreno y edificios de Bosch Korea en Daejeon (nave 2), junto a la fábrica actual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propia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transformadores de media y gran potencia; sin producción aún. Inversión total prevista para 2026: 45.545 M [2, 13].</w:t>
            </w:r>
          </w:p>
        </w:tc>
      </w:tr>
    </w:tbl>
    <w:p>
      <w:pPr>
        <w:spacing w:after="160" w:before="0"/>
      </w:pPr>
    </w:p>
    <w:p>
      <w:pPr>
        <w:spacing w:after="100"/>
      </w:pPr>
      <w:r>
        <w:t xml:space="preserve">La dirección ha sido prudente: sin deuda, sin compras de empresas, capex mínimo y reparto creciente, y ha acumulado caja (de 29.380 M en 2020 a 185.299 M en 2025) [1, 5]. La primera decisión grande, la nave de 40.000 M, llega cuando el ciclo de distribución gira y apuesta por un mercado (potencia, 154 kV) donde Cheryong no tiene historia ni homologaciones en EE. UU. [2]. El 30 % de reparto deja la caja sin uso: con 153.953 M (23 % de la capitalización) y el beneficio a la baja, una recompra sería una señal; no la hay.</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Jong-tae (박종태)</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accionista de control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1989; presidente desde 2013 y consejero delegado desde 2016; es también consejero delegado de Cheryong Industrial y de Woojin Electric (proveedor vinculado). Con él las ventas pasaron de ≈ 45.000 M KRW (2019) a 262.736 M (2024) y la caja de 29.380 M (2020) a 185.299 M (2025) [1,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In-jun (박인준)</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y presidente ejecutivo de administración (사장)</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presidente; ingeniero mecánico por Purdue y MBA por la Universidad Nacional de Seúl; en la empresa desde 2018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Lee Jin-ho (이진호)</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negocio (사장, no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general (전무) en Hyundai Electric; dirige el negocio desde dic-2021, cuando empezó la expansión en EE. UU.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Hyun-soon (김현순)</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ejecutiva (asesoría de gestión)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1989 (antes en Cheryong Industrial); 16 mandatos como consejera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Moon Byung-chul (문병철)</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producción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eléctrico; antes en Hyosung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Park Seok-jun (박석준)</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administración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en planificación estratégica del grupo Tongyang [1].</w:t>
            </w:r>
          </w:p>
        </w:tc>
      </w:tr>
    </w:tbl>
    <w:p>
      <w:pPr>
        <w:spacing w:after="160" w:before="0"/>
      </w:pPr>
    </w:p>
    <w:p>
      <w:pPr>
        <w:spacing w:after="100"/>
      </w:pPr>
      <w:r>
        <w:t xml:space="preserve">Equipo estable y de la familia: el presidente lleva 37 años en la empresa y su hijo es el número dos; el negocio lo dirige un profesional que vino de Hyundai Electric en 2021 [1]. No publica guía ni objetivos a medio plazo, así que no se puede medir su credibilidad con cifras; el plan de valor de 2026 no tiene metas numéricas [24]. La sucesión parece familiar (Park In-jun). Ejecución en el ciclo: acertó al llenar la fábrica con EE. UU. en 2022-2024 y al no endeudarse; falló en defender margen y pedidos en 2025-2026, cuando rivales coreanos más grandes siguieron creciendo [1, 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Jong-tae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(no hay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In-jun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Hyun-soon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Kim Hee-jun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Jong-tae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(presidente)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498.099 acciones en mar-2024 y 200.000 en jul-2024; sin cambios desde entonces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Fundación social Cheryong (제룡사회복지법인)</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Vinculada al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 Hyun-soon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In-jun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del presidente (grupo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In-won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Park Jin-su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(grupo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Declaraciones en feb, mar y jun de 2026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Norges Bank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encima del 5 % desde sep-2024 [27,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Superó el 5 % en jul-2026 [27, 28].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1.446,00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el presidente cobró 1.446 M KRW (1.083 M de sueldo y 363 M de pagas extra: dos medias pagas fijas y una «extra especial» que aprueba el consejo según «resultados y contribución») y su hijo 931 M (693 M y 238 M) [1]. Es 17,8 veces el sueldo medio de un empleado (81,4 M KRW). No hay variable a largo plazo, ni acciones, ni métricas de rentabilidad, ni cláusula de devolución. La junta aprueba solo un límite global (3.500 M para cuatro consejeros; se pagaron 2.685 M a cinco, contando al auditor interno) [1]. No se publican los votos de la junta.</w:t>
      </w:r>
    </w:p>
    <w:p>
      <w:pPr>
        <w:pStyle w:val="Heading2"/>
      </w:pPr>
      <w:r>
        <w:t xml:space="preserve">Operaciones vinculadas, estructura de control y defensas</w:t>
      </w:r>
    </w:p>
    <w:p>
      <w:pPr>
        <w:spacing w:after="100"/>
      </w:pPr>
      <w:r>
        <w:t xml:space="preserve">La familia Park controla el 33,13 % (presidente 17,93 %, fundación 4,98 %, consejera Kim 3,80 %, hijos y familiares 6,42 %) [2]. Con el resto muy repartido (87.662 minoritarios con el 53,9 %), decide la junta. El consejo son cuatro personas: tres ejecutivas (dos de la familia) y un independiente; no hay comisión de auditoría (hay un auditor interno, 감사) ni de nombramientos [2]. Una sola clase de acciones, sin blindajes. Operación vinculada recurrente: compras a Woojin Electric, que dirige el presidente (14.061 M en 2025) [1]. En 2023 un accionista particular pidió ante el juez ver el libro de accionistas y las actas; retiró la petición en abril de 2024 [26].</w:t>
      </w:r>
    </w:p>
    <w:p>
      <w:pPr>
        <w:pStyle w:val="Heading2"/>
      </w:pPr>
      <w:r>
        <w:t xml:space="preserve">Señales de alerta</w:t>
      </w:r>
    </w:p>
    <w:p>
      <w:pPr>
        <w:pStyle w:val="ListParagraph"/>
        <w:numPr>
          <w:ilvl w:val="0"/>
          <w:numId w:val="2"/>
        </w:numPr>
        <w:spacing w:after="60"/>
      </w:pPr>
      <w:r>
        <w:t xml:space="preserve">Cártel de las subastas de GIS de KEPCO: multa de 1.165 M KRW, firme tras el Tribunal Supremo (2026); denuncia penal de la empresa por la Comisión; veto de KEPCO suspendido; demanda de 2.000 M a diez fabricantes [2, 25].</w:t>
      </w:r>
    </w:p>
    <w:p>
      <w:pPr>
        <w:pStyle w:val="ListParagraph"/>
        <w:numPr>
          <w:ilvl w:val="0"/>
          <w:numId w:val="2"/>
        </w:numPr>
        <w:spacing w:after="60"/>
      </w:pPr>
      <w:r>
        <w:t xml:space="preserve">Compras a Woojin Electric, sociedad del presidente (14.061 M en 2025) [1].</w:t>
      </w:r>
    </w:p>
    <w:p>
      <w:pPr>
        <w:pStyle w:val="ListParagraph"/>
        <w:numPr>
          <w:ilvl w:val="0"/>
          <w:numId w:val="2"/>
        </w:numPr>
        <w:spacing w:after="60"/>
      </w:pPr>
      <w:r>
        <w:t xml:space="preserve">Consejo con un solo independiente y sin comisiones [2].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Cheryong no publica previsiones de ventas ni de beneficio, ni objetivos a medio plazo; el plan de valor de marzo de 2026 habla de rentabilidad, dividendo sostenible y nuevos productos sin cifras [27]. El informe semestral prevé para 2026 demanda pública en Corea, más competencia y aranceles en EE. UU. y la entrada en 154 kV [27].</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 0 / 0</w:t>
            </w:r>
          </w:p>
        </w:tc>
      </w:tr>
    </w:tbl>
    <w:p>
      <w:pPr>
        <w:spacing w:after="160" w:before="0"/>
      </w:pPr>
    </w:p>
    <w:p>
      <w:pPr>
        <w:pStyle w:val="Heading2"/>
      </w:pPr>
      <w:r>
        <w:t xml:space="preserve">Revisiones de estimaciones</w:t>
      </w:r>
    </w:p>
    <w:p>
      <w:pPr>
        <w:spacing w:after="100"/>
      </w:pPr>
      <w:r>
        <w:t xml:space="preserve">Ninguna casa ha publicado estimaciones ni recomendación en los últimos tres meses (FnGuide, 19-oct-2026) y Yahoo no tiene consenso [27, 31]. Sin cobertura, el precio lo mueven el flujo de los particulares, los fondos temáticos y las ventas en corto: Cheryong fue en enero de 2026 la primera del KOSDAQ 150 por posición corta sobre el capital flotante (NH) y el 20-oct las ventas en corto fueron el 26,4 % de lo negociado [40, 41].</w:t>
      </w:r>
    </w:p>
    <w:p>
      <w:pPr>
        <w:pStyle w:val="Heading1"/>
      </w:pPr>
      <w:r>
        <w:t xml:space="preserve">16. Comportamiento en bolsa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multiplicó por siete su precio entre el cierre de 2021 (5.220 KRW) y el de 2024 (45.950) con la escasez de transformadores; cayó un 71,5 % desde el máximo de julio de 2024 hasta abril de 2025 cuando se vio que el beneficio había tocado techo [30]. En 2026 subió hasta 93.800 KRW (6-may) con la euforia de las eléctricas coreanas por la IA y se desplomó un 45,9 % en un mes; cotiza a 40.900, un 55 % bajo el máximo de 52 semanas [30, 39]. En el año sube un 16,5 % frente a un −15,5 % del KOSDAQ y un −37,0 % de HD Hyundai Electric [30]. Beta mensual de 1,11 frente al KOSDAQ y volatilidad anual del 79,9 % [30].</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 / -12,4 % / -17,0 % / +24,7 %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-55,3 % / +23,8 %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4-feb subió un 26,8 % con la compra de la nave de Bosch Korea en Daejeon (40.000 M) para entrar en los transformadores de 154 kV [13]; el 10-feb cayó un 12,2 % tras el aviso de resultados de 2025 (ventas −14,7 %, beneficio operativo −31,4 %, por la competencia en EE. UU. y los aranceles) [11]. Ambos están en nuestras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4-mar cayó un 15,9 % con el KOSDAQ hundido por la tensión en Oriente Medio; rebotó un 11,9 % al día siguiente [30]. Mercado, no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del 109 % en un mes hasta 91.500 KRW (4-may: +30 %, el límite diario) con el tema de la infraestructura eléctrica para los centros de datos de IA: todo el sector de cables y equipos eléctricos coreano subió con compras de institucionales [45, 47]. No hubo noticia de la empresa en DART [2]. Es la prima de tema que el precio aún conserva en parte.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46 % en un mes hasta el 8-jun (de 91.500 a ≈ 47.700 KRW): recogida de beneficios en todo el sector eléctrico tras la subida [45] y el 1T26 publicado el 13-may (ventas −31 %, beneficio operativo −63 %) [6]. En junio, días de −8 a −9 % (8, 23 y 26-jun) y un +14 % el 29-jun con la bajada del riesgo en Oriente Medio [46].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51.200 (30-jun) a 41.300 KRW (31-jul), con días de −8,1 % (8-jul), −8,4 % (16-jul) y −9,9 % (29-jul, jornada de 517 mínimos de 52 semanas en la bolsa coreana) [30, 48]. Sin noticia de la empresa; el 1S26 salió el 13-ago con ventas −36 %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15-oct cayó un 8,5 % (a 40.400 KRW) [49], el día después de un artículo de Seoul Economic Daily sobre el «tropiezo» del sector de transformadores tras el pico de la IA, con Cheryong como ejemplo (ventas −36 % en el 1S26) [15]. Rebotó un 4,5 % el 16-oct. Es la tesis bajista, ya en nuestras cifras.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hacia el 13-nov (estimado; el 3T25 salió el 12-nov) [7]. A 24 días: la regla de retrasar por resultados solo aplica a 15 días o menos con tendencia bajista, y la señal es Vender, no compra.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en corto fueron el 26,43 % de la negociación del 20-oct, de los porcentajes más altos del KOSDAQ [40, 41]. Presión vendedora, no un hecho nuevo de la empresa.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2026-10-19</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Tribunal Supremo confirma la multa de 1.165 M KRW por el cártel de GIS en las licitaciones de KEPCO [25]. Importe pequeño (0,8 % de la caja); queda la demanda civil de KEPCO (2.000 M) y el riesgo de veto en sus licitaciones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venta de Dongmi Electric (transformadores) se atasca: el precio de ≈ 500.000 M era 10 veces el EBITDA de 2025 y es ≈ 20 veces el de 2026 [15]. Confirma que el sector ha pasado el pico, como suponemos.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emergencia de EE. UU. que limita equipos eléctricos de países adversarios en la red de 69 kV o más (no en la distribución local); Cheryong subió un 4,7 % [21]. Positivo pero pequeño para un fabricante de distribución.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semestral: ventas del 1S26 de 70.323 M (−36,4 %), beneficio operativo de 11.123 M (−69,5 %), beneficio neto de 26.086 M con 16.792 M de plusvalías financieras; cartera de 141.580 M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2026-04-06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cobra la sección 232 sobre todo el valor de los derivados de acero, aluminio y cobre (15, 25 o 50 %); la rebaja al 15 % es solo para transformadores de muy alta tensión hasta 2027 [18]. Es la causa de los fletes y aduanas del 27,8 % de las ventas en el 2T26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55 % por debajo del máximo de 52 semanas (93.800 KRW, 6-may) y en tendencia bajista (18 % por debajo de la media de 200 sesiones) [39]. Las causas son conocidas y están en nuestras cifras: el fin del pico de la escasez de transformadores en EE. UU. (ventas −36 % y cartera −54 % desde el máximo), los aranceles de la sección 232 y más competencia; la subida de abril-mayo fue el tema de la IA en todo el sector y se deshizo. No hay colocación, ampliación ni venta de accionistas anunciada; los resultados del 3T26 (hacia el 13-nov) están a más de 15 días. Las ventas en corto (26 % de la negociación) indican que otros también ven la acción cara. Veredicto: no cambia (y la señal es Vender: el precio no retrasa ni adelanta nada).</w:t>
      </w:r>
    </w:p>
    <w:p>
      <w:pPr>
        <w:pStyle w:val="Heading1"/>
      </w:pPr>
      <w:r>
        <w:t xml:space="preserve">17. Múltiplos frente a su historia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Con el precio de cierre de cada año y el beneficio del mismo año, el PER fue de 24x (2020), 71x (2021, beneficio hundido: excluido), 14x (2022), 5,7x (2023), 9,2x (2024) y 9,6x (2025) [30]. El mercado nunca pagó el beneficio de pico: lo descontaba como transitorio. Hoy, a 40.900 KRW, el PER de los últimos doce meses es de 12,0x (BPA de 3.421 KRW con la plusvalía financiera del 1S26) y sube a ≈ 20x sin ella; frente al beneficio que esperamos para 2027 es mucho más alto.</w:t>
      </w:r>
    </w:p>
    <w:p>
      <w:pPr>
        <w:pStyle w:val="Heading1"/>
      </w:pPr>
      <w:r>
        <w:t xml:space="preserve">18. Comparables cotizados</w:t>
      </w:r>
    </w:p>
    <w:p>
      <w:pPr>
        <w:pStyle w:val="Confianza"/>
        <w:spacing w:after="100"/>
      </w:pPr>
      <w:r>
        <w:t xml:space="preserve">Confianza: Media</w:t>
      </w:r>
    </w:p>
    <w:p>
      <w:pPr>
        <w:spacing w:after="100"/>
      </w:pPr>
      <w:r>
        <w:t xml:space="preserve">Fabricantes cotizados de transformadores y aparamenta que venden en EE. UU.: cinco coreanos (HD Hyundai Electric, Hyosung Heavy, LS Electric, Iljin y Sanil, el más parecido en tamaño y en producto), Hammond Power (distribución en Norteamérica), tres taiwaneses (Fortune, Shihlin, Allis) y Powell (aparamenta en EE. UU.). No hay ningún cotizado puro de transformadores de distribución exportados a EE. UU. Bosung Powertec queda fuera por falta de datos. Todas las cifras de Yahoo a 20-oct-2026; PER de los próximos 12 meses = precio ÷ (0,2 × BPA 2026e + 0,8 × BPA 2027e)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Cheryong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656.953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HD Hyundai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17.546.443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Hyosung Heavy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17.617.813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23.091.485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Iljin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Sanil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5.322.698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Hammond Power Solutions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2.695.001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Fortune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8.900.795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Shihlin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4.039.531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Allis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1.108.155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Powell Industries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8.016.129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 / 22,7x / 25,6x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60.707,56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71.597,83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79.629,41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3,5x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39.257,72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49.898,42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62.598,62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r>
    </w:tbl>
    <w:p>
      <w:pPr>
        <w:spacing w:after="160" w:before="0"/>
      </w:pPr>
    </w:p>
    <w:p>
      <w:pPr>
        <w:spacing w:after="100"/>
      </w:pPr>
      <w:r>
        <w:t xml:space="preserve">Mediana del PER de los próximos 12 meses: 20,35x. Los comparables cotizan con margen EBITDA de pico (10-37 %) y crecimiento previsto del 10-60 %; Cheryong es el único del grupo con ventas a la baja (−41 % en el 2T26) y sin consenso. Por eso sus múltiplos no son el ancla: HD Hyundai, Hyosung y Sanil crecen con potencia y centros de datos, y Cheryong pierde precio en distribución. El EV/EBITDA de los últimos doce meses de Cheryong (≈ 11,6x con la caja) parece en línea con Hyosung o Iljin, pero sobre un EBITDA que cae a la mitad en 2026e.</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Prolec GE (50 % restante; transformadores de distribución y potencia en México y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 Vernova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14.003.859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5.275 M USD por el 50 % = 10.550 M USD por el 100 %; ventas de ≈ 3.000 M USD y margen EBITDA de ≈ 25 % (estimación con datos de la operación) [34].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 (salas eléctricas modulares)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1.858.332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378 M USD y EBITDA de 110 M [35].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DMC Power (conectores de alta tensión)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Hubbell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130 M USD; múltiplo sobre el EBITDA de 2026e (60 M) [36].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 Power Grids (100 %)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Hitachi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14.601.180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11.000 M USD, en el fondo del ciclo anterior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Dongmi Electric (동미전기공업; transformadores, Corea)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Cactus PE (en negociación)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500.000 M KRW, ≈ 10 veces el EBITDA de 2025 y ≈ 20 veces el de 2026 con el beneficio a la baja; el cierre se retrasa porque los inversores no pagan ese múltiplo [15].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13,3x (12,0x – 13,9x)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45.869,57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42.534,42 – 47.571,17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compras de equipos de red de 2025 se pagaron a 12,7-14,1 veces el EBITDA (Prolec GE, Fibrebond, DMC Power) sobre márgenes de pico, y la de ABB Power Grids, en el fondo del ciclo anterior, a 1,1 veces las ventas [34, 35, 36, 37]. La referencia más cercana a Cheryong es Dongmi Electric: ≈ 10 veces el EBITDA de 2025, que pasa a ≈ 20 veces con el de 2026, y el comprador no encuentra financiación [15]. Cheryong no es objetivo probable de una opa: la familia Park controla el 33 % [27].</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pasaron de 44.196 M (2020) a 262.736 M (2024) con la escasez de transformadores en EE. UU., bajaron un 14,7 % en 2025 (224.017 M) y un 36,4 % en el 1S26 (70.323 M) [1, 2, 11]. La cartera de pedidos cayó del máximo de 305.567 M (mar-2024) a 141.580 M (jun-2026) y los pedidos nuevos de 2025 (118.490 M) fueron la mitad de las ventas [1, 2, 14]. Proyectamos 145.387 M en 2026e (el 1S publicado y un 2S de ≈ 75.000 M, el ritmo de los dos últimos trimestres con algo de recuperación por la cartera), +8 % en 2027e y +12 % en 2028e con la gama de 154 kV de la nave comprada a Bosch, y después del 8 % al 3,5 %. No volvemos al pico: las unidades exportadas cayeron un 43 % en 2025 (29.174 a 16.733) y los clientes de EE. UU. tienen ya más proveedores y fábricas locales [1, 2].</w:t>
      </w:r>
    </w:p>
    <w:p>
      <w:pPr>
        <w:keepNext/>
        <w:spacing w:after="100"/>
      </w:pPr>
      <w:r>
        <w:rPr>
          <w:b/>
          <w:bCs/>
        </w:rPr>
        <w:t xml:space="preserve">Márgenes.</w:t>
      </w:r>
    </w:p>
    <w:p>
      <w:pPr>
        <w:spacing w:after="100"/>
      </w:pPr>
      <w:r>
        <w:t xml:space="preserve">El margen EBITDA fue del 2-14 % en 2020-2022, del 38,9 % en 2023, del 37,8 % en 2024 y del 30,8 % en 2025; en el 1S26, del 17,3 % y en el 2T26 del ≈ 16 % con los fletes y aduanas en el 27,8 % de las ventas (12,7 % en 2025) por la sección 232 [1, 2, 18]. Partimos del 16,5 % en 2026e y bajamos al 13 % en 2032e: el doble que antes de la escasez, porque el precio por unidad en EE. UU. (11,9 M KRW en 2025 frente a 8,0 M en 2024) no vuelve del todo y la gama de 154 kV deja más margen, pero con más competencia (HD Hyundai, Hyosung, LS, fábricas nuevas en EE. UU. y México) y aranceles que paga la empresa (vende con entrega en destino).</w:t>
      </w:r>
    </w:p>
    <w:p>
      <w:pPr>
        <w:keepNext/>
        <w:spacing w:after="100"/>
      </w:pPr>
      <w:r>
        <w:rPr>
          <w:b/>
          <w:bCs/>
        </w:rPr>
        <w:t xml:space="preserve">Inversión y circulante.</w:t>
      </w:r>
    </w:p>
    <w:p>
      <w:pPr>
        <w:spacing w:after="100"/>
      </w:pPr>
      <w:r>
        <w:t xml:space="preserve">Capex de ≈ 48.000 M en 2026e (la nave de Bosch en Daejeon, 40.000 M pagados en el 1S, y equipos; plan de 45.545 M en el informe semestral) [2, 13], ≈ 10.000 M en 2027e para la línea de 154 kV y un 3 % de las ventas después (la media de 2020-2025 fue del 1,7 %). Circulante del 24 % de las ventas en 2026e (25,3 % en junio) bajando al 20 %.</w:t>
      </w:r>
    </w:p>
    <w:p>
      <w:pPr>
        <w:keepNext/>
        <w:spacing w:after="100"/>
      </w:pPr>
      <w:r>
        <w:rPr>
          <w:b/>
          <w:bCs/>
        </w:rPr>
        <w:t xml:space="preserve">Coste del capital.</w:t>
      </w:r>
    </w:p>
    <w:p>
      <w:pPr>
        <w:spacing w:after="100"/>
      </w:pPr>
      <w:r>
        <w:t xml:space="preserve">Coste de los fondos propios del 12,5 % = bono coreano a 10 años del 4,454 % (sep-2026) [32] + beta de 1,1 (mensual a 5 años 1,11; semanal a 2 años 1,25) [30] × 5,5 % de prima + 2 puntos adicionales por tamaño (≈ 657.000 M KRW de capitalización), concentración (el primer cliente es el 37,9 % de las ventas y los tres primeros el 74,7 % [1]) y ciclo. Sin deuda: WACC = Ke. Con la prima implícita de Damodaran (4,2 %) el WACC sería del 11,1 % [33].</w:t>
      </w:r>
    </w:p>
    <w:p>
      <w:pPr>
        <w:keepNext/>
        <w:spacing w:after="100"/>
      </w:pPr>
      <w:r>
        <w:rPr>
          <w:b/>
          <w:bCs/>
        </w:rPr>
        <w:t xml:space="preserve">Valor terminal.</w:t>
      </w:r>
    </w:p>
    <w:p>
      <w:pPr>
        <w:spacing w:after="100"/>
      </w:pPr>
      <w:r>
        <w:t xml:space="preserve">Gordon con un 2,5 % de crecimiento (inflación coreana y estadounidense; demanda de red que crece algo más que el PIB). El valor terminal es el 54 % del valor de empresa. El múltiplo de salida implícito es de 5,6x el EBITDA, bajo para el sector (13,3x en las transacciones [34, 35, 36, 37]) pero coherente con un fabricante pequeño sin foso y con un 12,5 % de coste de capital.</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219.847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227.541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166.242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236.643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18.007,86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KRW,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18.387,41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19.294,35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19.672,20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17.956,80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19.076,99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18.263,80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18.548,16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17.826,22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18.075,22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16.882,46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17.049,27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17.231,25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17.430,54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17.649,76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16.036,64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16.278,42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16.915,26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17.251,73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17.420,92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17.793,88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18.225,04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18.445,20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19.469,48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19.252,68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19.857,44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20.171,65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20.493,76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62.908 M (46 %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 (ROIC 90,5 %)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 frente al 1,4 %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 (histórico: 172,4 %)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 (hoy: 0,5 %)</w:t>
            </w:r>
          </w:p>
        </w:tc>
      </w:tr>
    </w:tbl>
    <w:p>
      <w:pPr>
        <w:spacing w:after="160" w:before="0"/>
      </w:pPr>
    </w:p>
    <w:p>
      <w:pPr>
        <w:spacing w:after="100"/>
      </w:pPr>
      <w:r>
        <w:t xml:space="preserve">La proyección reinvierte el 46 % del NOPAT. Con el ROIC del último ejercicio (90,5 %), eso financia un crecimiento del 41,2 % anual, frente al 1,4 % de ingresos proyectado. Supone que el capital nuevo rinde un -55,0 %, frente a un ROIC incremental histórico del 172,4 %; la cuota de mercado pasaría al 0,3 % desde el 0,5 %.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−38 %: las unidades exportadas del 1S26 (4.912, ≈ 9.800 anualizadas) frente a 16.733 en 2025, y la cartera bajó a 141.580 M [2]; precio por unidad estable (≈ 12,0 M KRW) y casi 2 puntos de Corea (KEPCO, ferrocarril) y obra de 154 kV.</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+5 % (la cartera y los pedidos del 1S26, 61.827 M, ya estabilizan el ritmo) y 3 puntos de las primeras unidades de 154 kV de la nave de Daejeon [13]; precio plano por la competencia.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8 puntos de la gama de 154 kV en marcha (≈ 14.000 M de ventas, el 8 % del total).</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4 puntos de 154 kV.</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+4 % y 2 puntos de 154 kV. Ventas de ≈ 201.000 M: el 0,28 % del mercado mundial de transformadores de distribución de GlobalData (53.510 M USD) [16], menos que el 0,5 % de 2025.</w:t>
            </w:r>
          </w:p>
        </w:tc>
      </w:tr>
    </w:tbl>
    <w:p>
      <w:pPr>
        <w:spacing w:after="160" w:before="0"/>
      </w:pPr>
    </w:p>
    <w:p>
      <w:pPr>
        <w:spacing w:after="100"/>
      </w:pPr>
      <w:r>
        <w:t xml:space="preserve">Sí. (1) El crecimiento proyectado (1,4 % de media en 2026e-2033e; 6,6 % sin 2026e) es una fracción del histórico (38,4 % anual en 2020-2025) y parte de un 2026e con ventas un 35 % más bajas. (2) La proyección reinvierte el 46 % del NOPAT; al ROIC de 2025 (90,5 %) eso financia de sobra el crecimiento, aunque el capital nuevo de 2026e (la nave de 154 kV) rinde poco al principio (el motor da un −55 % porque el NOPAT cae mientras se invierte). (3) La cuota bajaría del 0,5 % al 0,3 % del mercado mundial de distribución. La pregunta no es si puede crecer, sino cuánto margen le queda cuando termine la escasez: por eso el margen baja en la proyección y el bajista lo baja más.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37,8 %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(WACC: 12,5 %)</w:t>
            </w:r>
          </w:p>
        </w:tc>
      </w:tr>
    </w:tbl>
    <w:p>
      <w:pPr>
        <w:spacing w:after="160" w:before="0"/>
      </w:pPr>
    </w:p>
    <w:p>
      <w:pPr>
        <w:spacing w:after="100"/>
      </w:pPr>
      <w:r>
        <w:t xml:space="preserve">El DCF da 18.008 KRW por acción, un 56 % por debajo del precio, con el valor terminal en el 54 % del valor; de ese valor, 9.585 KRW por acción son caja neta. El precio de 40.900 KRW equivale a un margen EBITDA del 37,8 % para siempre (base: 16,5 % bajando al 13 %): exactamente el de 2024, el pico de la escasez de transformadores en EE. UU. Ningún crecimiento razonable lo justifica con nuestros márgenes. La rentabilidad implícita en el precio es del 5,2 % anual frente a un WACC del 12,5 %. La sensibilidad apenas mueve la conclusión: de 16.882 a 19.672 KRW con WACC del 11,5-13,5 % y crecimiento a perpetuidad del 1,5-3,5 %; con dos puntos más de margen en toda la proyección, 19.857 KRW.</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13.947,83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escasez se acaba en 2027 (fábricas nuevas de Eaton, Hitachi, Siemens Energy, Prolec GE y Hammond en EE. UU. y México) y los aranceles de la sección 232 (25-50 % del valor) siguen: 6 puntos menos de crecimiento desde 2027 y margen EBITDA 4 puntos más bajo (≈ 9-11 %, como antes del ciclo), crecimiento terminal del 2 %.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que tocan fondo en 2026 (−35 %) y vuelven a crecer con la gama de 154 kV (+8 % y +12 % en 2027-2028); margen EBITDA del 16,5 % bajando al 13 %: la mitad del de 2025, el doble del de antes de la escasez.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demanda de los centros de datos y la reposición de la red mantienen la escasez hasta 2030 y la gama de 154 kV funciona: 8 puntos más de crecimiento y 4 más de margen (≈ 17-20 %).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KRW) · precio actual 40.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18.832,37 KRW (-54,0 %).</w:t>
      </w:r>
    </w:p>
    <w:p>
      <w:pPr>
        <w:spacing w:after="100"/>
      </w:pPr>
      <w:r>
        <w:t xml:space="preserve">En el DCF el bajista (13.948 KRW) pierde un 65,9 % y el alcista (25.366 KRW) un 38,0 %: ni el escenario bueno llega al precio. A 12 meses, con el PER propio, el bajista pierde un 88 % y el alcista un 45 %. Para justificar 40.900 KRW hace falta volver al margen de 2024 (≈ 38 %) de forma permanente, o un PER de 35 veces sobre un beneficio de ciclo bajo. Asignamos un 25 % al bajista porque la cartera y los pedidos siguen cayendo (book-to-bill de 0,53 en 2025 y 0,88 en el 1S26) [1, 2].</w:t>
      </w:r>
    </w:p>
    <w:p>
      <w:pPr>
        <w:pStyle w:val="Heading1"/>
      </w:pPr>
      <w:r>
        <w:t xml:space="preserve">22. Suma de partes</w:t>
      </w:r>
    </w:p>
    <w:p>
      <w:pPr>
        <w:pStyle w:val="Confianza"/>
        <w:spacing w:after="100"/>
      </w:pPr>
      <w:r>
        <w:t xml:space="preserve">Confianza: Media</w:t>
      </w:r>
    </w:p>
    <w:p>
      <w:pPr>
        <w:spacing w:after="100"/>
      </w:pPr>
      <w:r>
        <w:t xml:space="preserve">No la hacemos: un solo negocio (transformadores), con Corea como el 11 % de las ventas y sin resultado por segmento. La caja (153.953 M) está en el puente.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KRW) · precio actual 40.900,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42.534,42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45.869,57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47.571,17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18.750,29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13.947,83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18.832,37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25.365,92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18.885,04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19.435,93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20.055,55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40.695,50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40.900,00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41.104,50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45.869,57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18.832,37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18.337,66 KRW (-55,2 % sobre 40.900,00).</w:t>
      </w:r>
    </w:p>
    <w:p>
      <w:pPr>
        <w:spacing w:after="100"/>
      </w:pPr>
      <w:r>
        <w:t xml:space="preserve">Pesamos el DCF un 60 % y los escenarios un 40 %. Los comparables no pesan: sin consenso no hay BPA ni EBITDA de los próximos doce meses con el que aplicarlos (a la mediana de 20,4x de PER sobre nuestro BPA de 2027e darían ≈ 23.900 KRW). El DCF da 18.008 KRW (−56,0 %) con un WACC del 12,5 % y el valor terminal en el 54 % del valor; los escenarios van de 13.948 (bajista) a 25.366 KRW (alcista): ni el alcista llega al precio. El valor intrínseco ponderado es de 18.338 KRW, un 55 % por debajo. Con la prima implícita del mercado (4,2 %) el DCF sale 19.436 KRW. Las transacciones del sector (13,3x de EV/EBITDA de mediana) aplicadas al EBITDA de los últimos doce meses (43.731 M, aún con el 2S25 de pico) darían 45.870 KRW, y sobre el EBITDA de 2026e (≈ 24.000 M) ≈ 29.700 KRW: no se usan porque el EBITDA de referencia está cayendo a la mitad, que es lo que ha atascado la venta de Dongmi (10x el EBITDA de 2025 son 20x el de 2026) [15]. La caja (153.953 M, ≈ 9.585 KRW por acción) es el 23 % de la capitalización.</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4.705,01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11.942,69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1.797,77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22.472,13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-42,4 %</w:t>
            </w:r>
          </w:p>
        </w:tc>
      </w:tr>
    </w:tbl>
    <w:p>
      <w:pPr>
        <w:spacing w:after="160" w:before="0"/>
      </w:pPr>
    </w:p>
    <w:p>
      <w:pPr>
        <w:spacing w:after="100"/>
      </w:pPr>
      <w:r>
        <w:rPr>
          <w:b/>
          <w:bCs/>
        </w:rPr>
        <w:t xml:space="preserve">Objetivo a 12 meses (ponderado):</w:t>
      </w:r>
      <w:r>
        <w:t xml:space="preserve"> 12.765,63 KRW · rentabilidad -66,1 % (base -68,1 %) · señal Vender.</w:t>
      </w:r>
    </w:p>
    <w:p>
      <w:pPr>
        <w:spacing w:after="100"/>
      </w:pPr>
      <w:r>
        <w:t xml:space="preserve">Para comparar, con la regla v2 (historia al cierre, mismo precio): 5,7x / 9,6x / 12,5x, -66,1 % Vender; con el tope anterior del base (×1,3, 14-oct mediodía): -23,5 % Vender; con la v3 sin el selector (tope ×1,1): -10,6 % Vender. Decide la v2, elegida por el selector de método (historia adelantada de 2 años: decide la más baja de v3 y v2 (v2); METODO-VIGENTE.md).</w:t>
      </w:r>
    </w:p>
    <w:p>
      <w:pPr>
        <w:keepNext/>
        <w:spacing w:after="100"/>
      </w:pPr>
      <w:r>
        <w:rPr>
          <w:b/>
          <w:bCs/>
        </w:rPr>
        <w:t xml:space="preserve">Frente al consenso (solo contraste).</w:t>
      </w:r>
    </w:p>
    <w:p>
      <w:pPr>
        <w:spacing w:after="100"/>
      </w:pPr>
      <w:r>
        <w:t xml:space="preserve">No hay consenso: ninguna casa publica estimaciones ni objetivo de Cheryong (FnGuide, 20-oct-2026) [27]. El contraste más cercano es el mercado: el PER de los comparables de los próximos doce meses es de 20,4x de mediana (HD Hyundai Electric 15,4x, Hyosung Heavy 16,7x) [31]; a ese múltiplo nuestro BPA de 2027e (1.170 KRW) valdría ≈ 23.900 KRW, un 42 % por debajo del precio. El precio de hoy es 35 veces nuestro BPA de 2027e y 12 veces el de 2025, el año del pico.</w:t>
      </w:r>
    </w:p>
    <w:p>
      <w:pPr>
        <w:keepNext/>
        <w:spacing w:after="100"/>
      </w:pPr>
      <w:r>
        <w:rPr>
          <w:b/>
          <w:bCs/>
        </w:rPr>
        <w:t xml:space="preserve">Del valor intrínseco al objetivo a 12 meses.</w:t>
      </w:r>
    </w:p>
    <w:p>
      <w:pPr>
        <w:spacing w:after="100"/>
      </w:pPr>
      <w:r>
        <w:t xml:space="preserve">El objetivo a 12 meses (12.766 KRW, ponderado 25/50/25) da un −66,1 % con dividendo (−68,1 % el base): Vender. Con historia corta (dos años útiles) el selector se queda con la v2, la más baja: base = el menor entre el PER actual (35,0x) y la mediana al cierre (9,6x), sobre un BPA de 2028e de 1.244 KRW, más un 2,7 % de dividendo (1.100 KRW de 2025; el de 2026 será menor con el 30 % de reparto). El bajista (5,7x sobre 825) pierde un 88 %; el alcista (12,5x sobre 1.798) un 45 %. Con la v3 (PER del base 31,8x, la actual rebajada un 10 %) la ponderada sería de ≈ −10 %: también Vender. El resultado no depende del método: el precio paga 35 veces un beneficio que ha caído un 66 % y que tendría que volver al de 2024-2025 para justificarlo. La regla daría comprar por debajo de ≈ 11.600 KRW.</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2026-11-13</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(estimado: el trimestral de 2025 salió el 12-nov; plazo legal 14-nov)</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2S26 es de ≈ 75.000 M de ventas con un margen operativo del 14,5-15 %. La cartera de pedidos a 30-sep es la cifra que más importa: por debajo de 130.000 M, el bajista gana peso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unidades de 154 kV en la nave de Daejeon (compra a Bosch, 40.000 M)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 fuera de la distribución en EE. UU. y del cliente principal; exige homologación con KEPCO y clientes de EE. UU.</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232: arancel del 25-50 % sobre el valor del transformador de distribución; el 15 % rebajado es solo para los de muy alta tensión, hasta el 31-dic-2027 [18]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Fletes y aduanas del 27,8 % de las ventas en el 2T26; un acuerdo comercial o una exención para la distribución subiría el margen varios puntos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emergencia de EE. UU. (26-ago-2026) contra equipos eléctricos de países adversarios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aplica a la red de transporte de 69 kV o más; la distribución local queda fuera. Efecto pequeño y positivo (menos competencia china por México)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competencia en la distribución de EE. UU.: fábricas nuevas en EE. UU. y México y fabricantes coreanos medianos con planta en EE. UU. (Sungjin en Oklahoma) [15, 38]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precio y volumen; es la causa que da la empresa para la caída de 2025-2026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ciclo de escasez de transformadores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Ya está ocurriendo: ventas −36 % y beneficio operativo −70 % en el 1S26; cartera −54 % desde mar-2024 [2, 14]. En el bajista (−6 puntos de crecimiento y −4 de margen) el DCF cae a 13.948 KRW (−66 %) y el objetivo a 12 meses a 4.705 KRW</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153.953 M (≈ 9.585 KRW por acción) sin deuda; la demanda de fondo (centros de datos, reposición, electrificación) sigue creciendo [16, 20]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pedidos por debajo de 130.000 M o pedidos trimestrales por debajo de 25.000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(sección 232 y recíprocos)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comercio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Desde el 6-abr-2026 el arancel se cobra sobre todo el valor del transformador (25-50 % según el peso de acero y cobre) [18]; fletes y aduanas pasaron del 12,7 % de las ventas en 2025 al 27,8 % en el 2T26 [1, 2]. Cada 5 puntos de arancel que no se trasladen restan ≈ 5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competidores importados pagan lo mismo; las fábricas de EE. UU. no tienen capacidad para cubrir toda la demanda a corto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Fletes y aduanas por encima del 25 % de las ventas en el 3T26 o pérdida de un cliente grande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nueva (HD Hyundai, Hyosung, LS, fábricas en EE. UU. y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Los grandes coreanos tienen fábrica en EE. UU. (HD Hyundai en Alabama, Hyosung en Memphis, LS en Utah, 6 veces más grande desde 2027) [21]; los medianos también (Sungjin en Oklahoma) [38]. Recogido en el margen que baja al 13 %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Homologaciones con distribuidoras de EE. UU., que cambian poco de proveedor [38]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medio por unidad exportada por debajo de 10 M KRW (11,9 M en 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cliente A es el 37,9 % de las ventas y los tres primeros el 74,7 % (2025) [1]; perder uno restaría un tercio de las ventas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largas con distribuidoras de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las ventas a EE. UU. mayor que la del total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partes vinculadas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Consejo de cuatro con un solo independiente y sin comités; compras a Woojin Electric (empresa del presidente) de 14.061 M en 2025; multa del cártel de GIS (1.165 M, confirmada por el Supremo) y demanda de KEPCO (2.000 M) [1, 2, 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 el 33,13 %; dividendo con un 30 % de reparto [24]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a partes vinculadas por encima del 10 % del coste de ventas o veto de KEPCO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Posición corta y volatilidad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Las ventas en corto fueron el 26,4 % de la negociación del 20-oct [40]; volatilidad del 80 % y caída máxima del 71,5 % (jul-2024 a abr-2025) [30]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una acción de tema (IA y red)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viento a favor, no amenaza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Tecnológico / 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Es el motor del precio: la subida del 4-may-2026 (+30 % en un día) fue el tema de la infraestructura eléctrica para centros de datos [45, 47]. Si la inversión en IA se frena, la acción perdería la prima de tema (el precio ya está un 55 % por encima de nuestro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Nuestras cifras no dependen de la IA: el base no supone ventas a centros de datos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Recortes de capex de los grandes de la nube en EE. UU.</w:t>
            </w:r>
          </w:p>
        </w:tc>
      </w:tr>
    </w:tbl>
    <w:p>
      <w:pPr>
        <w:spacing w:after="160" w:before="0"/>
      </w:pPr>
    </w:p>
    <w:p>
      <w:pPr>
        <w:pStyle w:val="Heading2"/>
      </w:pPr>
      <w:r>
        <w:t xml:space="preserve">Pre-mortem</w:t>
      </w:r>
    </w:p>
    <w:p>
      <w:pPr>
        <w:spacing w:after="100"/>
      </w:pPr>
      <w:r>
        <w:t xml:space="preserve">Octubre de 2027: la acción ha perdido un 60 %. Las fábricas nuevas de EE. UU. y México entraron en 2027 y la escasez de transformadores de distribución terminó; con la sección 232 sin cambios, Cheryong vendió con descuento para mantener a sus clientes y el margen operativo bajó al 8 %, como en 2020. La gama de 154 kV se retrasó por la homologación con KEPCO (y el veto del cártel de GIS). El mercado pasó a pagar la caja más 6-7 veces un beneficio de 800 KRW. Las señales: cartera por debajo de 130.000 M, precio por unidad por debajo de 10 M KRW y fletes y aduanas por encima del 25 % de las ventas.</w:t>
      </w:r>
    </w:p>
    <w:p>
      <w:pPr>
        <w:pStyle w:val="Heading2"/>
      </w:pPr>
      <w:r>
        <w:t xml:space="preserve">Riesgo de inteligencia artificial</w:t>
      </w:r>
    </w:p>
    <w:p>
      <w:pPr>
        <w:spacing w:after="100"/>
      </w:pPr>
      <w:r>
        <w:rPr>
          <w:b/>
          <w:bCs/>
        </w:rPr>
        <w:t xml:space="preserve">Exposición:</w:t>
      </w:r>
      <w:r>
        <w:t xml:space="preserve"> Media · </w:t>
      </w:r>
      <w:r>
        <w:rPr>
          <w:b/>
          <w:bCs/>
        </w:rPr>
        <w:t xml:space="preserve">Sentido:</w:t>
      </w:r>
      <w:r>
        <w:t xml:space="preserve"> Oportunidad · </w:t>
      </w:r>
      <w:r>
        <w:rPr>
          <w:b/>
          <w:bCs/>
        </w:rPr>
        <w:t xml:space="preserve">Efecto en valor (3-5 años):</w:t>
      </w:r>
      <w:r>
        <w:t xml:space="preserve"> A favor en la demanda (centros de datos) y en la cotización; nuestro base no lo cuenta y el alcista sí en parte (+8 puntos de crecimiento y +4 de margen)</w:t>
      </w:r>
    </w:p>
    <w:p>
      <w:pPr>
        <w:spacing w:after="100"/>
      </w:pPr>
      <w:r>
        <w:t xml:space="preserve">La IA es viento a favor para Cheryong, no una amenaza: los centros de datos piden transformadores de pedestal y de potencia y han alargado la escasez en EE. UU. (plazos de entrega de más de tres años en los grandes [20]). La IA no sustituye un transformador ni la fábrica que lo hace. El riesgo es el contrario: que el tema de la IA haya inflado la cotización. Cheryong vende sobre todo transformadores de distribución a distribuidoras eléctricas, no a centros de datos, y sus ventas caen un 36 % en 2026 mientras el tema sigue: la acción cotiza como si la demanda de IA fuera suya. Si la inversión en IA se frena, perdería la prima; si sigue, la ayuda menos que a los fabricantes de potencia (HD Hyundai, Hyosung).</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Lo material es producto y gobierno. Producto: transformadores de alta eficiencia (núcleo amorfo, aceite vegetal) y GIS sin SF6 alineados con las normas de eficiencia de EE. UU. y Corea [2]. Gobierno: el cártel de las subastas de GIS de KEPCO de 2018-2022, con multa de 1.165 M KRW firme y veto de seis meses de KEPCO (suspendido mientras se pleitea) [2]. Sin informe de sostenibilidad ni emisiones publicadas.</w:t>
      </w:r>
    </w:p>
    <w:p>
      <w:pPr>
        <w:pStyle w:val="Heading2"/>
      </w:pPr>
      <w:r>
        <w:t xml:space="preserve">Controversias</w:t>
      </w:r>
    </w:p>
    <w:p>
      <w:pPr>
        <w:spacing w:after="100"/>
      </w:pPr>
      <w:r>
        <w:t xml:space="preserve">Cártel de las subastas de GIS de KEPCO (2018-2022): la Comisión de Competencia multó en diciembre de 2024 a nueve fabricantes y la asociación con 39.100 M KRW; Cheryong (1.165 M) perdió en el Tribunal Supremo en 2026 [2, 25]. KEPCO la vetó seis meses (jul-2025, suspendido por un juez) y reclama 2.000 M de daños a diez empresas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cartera de 141.580 M (jun-2026) se entrega en 2026 y a qué precio por unidad frente al de 2024-2025?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2026 es el fondo.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9.905 M de fletes y aduanas del 2T26 es arancel y cuánto se ha trasladado al cliente?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mitad de la caída del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154 kV</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empieza a producir la nave de Daejeon, con qué socio tecnológico y qué ventas espera en 2027-2028?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único motor nuevo.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es el cliente A (37,9 %) y qué contrato tiene?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muy alta.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Partes vinculadas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compra a Woojin Electric (empresa del presidente) y a qué precio frente a terceros?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14.061 M en 2025.</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 de Naver (oct-2026)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Miedo a romper los 40.000 KRW, quejas por las ventas en corto y por que «sale mal en resultados otra vez»; unos pocos piden comprar «a cualquier precio por debajo de 50.000»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Naver (sep-2026)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Euforia de unos («vale 100.000 KRW», «compra con el dinero de la casa») frente a cansancio de otros («caída en escalera», «dos años de dolor») y envidia de Sanil e Iljin, que suben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corto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el 20-oct las ventas en corto fueron el 26,4 % de lo negociado [40]. Responden a una cartera que cae, no a una manipulación.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«Vale 100.000 KRW» (vuelta al máximo de mayo)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no lo sostienen: beneficio operativo del 1S26 de 11.123 M (−69,5 %) y cartera de 141.580 M (−45 % en 18 meses) [15].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Rezagada frente a Sanil, Iljin y HD Hyundai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y explicable: los rivales venden potencia y tienen fábricas en EE. UU.; Cheryong vende distribución desde Corea y paga el arancel [15].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KEPCO en la red (55 billones hasta 2030)</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Ayuda en Corea, que es el 11 % de las ventas, y la empresa está vetada a medias por el cártel de GIS [43].</w:t>
            </w:r>
          </w:p>
        </w:tc>
      </w:tr>
    </w:tbl>
    <w:p>
      <w:pPr>
        <w:spacing w:after="160" w:before="0"/>
      </w:pPr>
    </w:p>
    <w:p>
      <w:pPr>
        <w:spacing w:after="100"/>
      </w:pPr>
      <w:r>
        <w:t xml:space="preserve">El foro de Naver es el único con debate real: Paxnet tiene pocos mensajes y publicidad [43, 44]. El particular coreano está dividido entre quien ve una ganga (la caja y el recuerdo de 93.800 KRW) y quien ve una caída en escalera; casi nadie habla de márgenes, aranceles ni cartera. No hay capitulación ni euforia extremas. Lo que el foro intuye y el informe confirma: los rivales grandes siguen creciendo y Cheryong no. No aporta un riesgo nuevo.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49 (19 primarias); citas distintas en el texto: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crecimiento que justifique el precio con nuestros márgenes: con el margen EBITDA del base (16,5 % bajando al 13 %) el valor apenas responde al crecimiento, porque cada won de ventas nuevas pide ≈ 20 céntimos de circulante y el beneficio por won es pequeño. La variable que explica el precio es el margen: el motor calcula que 40.900 KRW equivalen a un margen EBITDA del 37,8 % para siempre, justo el de 2024, el año de pico de la escasez de transformadores en EE. UU. (99.374 M de EBITDA sobre 262.736 M de ventas) [1]. Lo decimos así en la lectura del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-55,0 % frente a un ROIC de 90,5 % y un incremental histórico de 172,4 %: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0,3 % en 2030e frente al 0,5 %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16,2 % real: genera una variación de circulante de -1.390 M en el primer año. Converge de forma gradual. Explicación: El 16,2 % de 2025 es un cierre de año con ventas que caían y cobros concentrados en el 4T; el último dato publicado, a 30-jun-2026, es de 35.611 M (existencias 31.181 + clientes 26.011 − proveedores 21.581) sobre unas ventas anualizadas de 140.646 M: un 25,3 % [2]. Tomamos el 24 % en 2026e y lo bajamos de forma gradual al 20 % (2024: 20,2 %). Con el 16 % el DCF subiría ≈ 400 KRW por acción; no cambia la conclusión.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656.953, publicada 688.300: revisa acciones y precio. Explicación: La capitalización publicada (688.300 M, ficha de Naver/WiseReport) es la de un cierre anterior (≈ 42.850 KRW por acción); con el cierre del 20-oct (40.900) y las 16.062.409 acciones del informe semestral, sin autocartera [2], es de 656.953 M. Las acciones cuadran.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49 fuentes (19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29,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de DART (amortización solo semestral y anual); 2) FnGuide (ninguna estimación en tres meses); 3) prensa (no hay previsiones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pasivos financieros (no hay deuda); 2) nota de arrendamientos (578 M);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de transformadores de distribución de EE. UU. con fuente primaria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Cheryong (no publica cuota ni mercado); 2) ficha sectorial (GlobalData mundial, Wood Mackenzie en porcentajes); 3) NREL y Departamento de Energía (no abiertos desde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(no menciona); 2) KCGS (Instituto Coreano de Gobierno Corporativo: sin acceso); 3) prensa (sin calificaciones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(remuneración y reelecciones)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 de la junta de mar-2026 en DART (solo «aprobado»); 2) informe anual (no los publica);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guía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Avisos de DART (la empresa no publica previsiones); 2) informe anual y plan de valor (sin cifras); 3) prensa (sin guía)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recomendaciones y objetivos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FnGuide/WiseReport (ninguna en tres meses); 2) Yahoo Finance (sin analistas); 3) prensa coreana (sin informes recientes de casas de bolsa)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 sobre el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KRX (data.krx.co.kr sin acceso desde este entorno); 2) FnGuide (no la publica); 3) prensa (solo el peso de las ventas en corto en la negociación diaria, 26,4 % el 20-oct)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foros con debate (Reddit, Stocktwits,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Naver (sí); 2) Paxnet (sin debate real); 3) Daum Finanzas (API sin respuesta) y foros en inglés (empresa sin seguimiento fuera de Corea)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[기재정정] 사업보고서 2025 (informe anual corregido el 2-jun-2026): estados individuales K-IFRS de 2025, 2024 y 2023 auditados por Samil PwC, notas (gastos por naturaleza, ventas y gastos de venta, flujos, segmento único, clientes principales, vinculadas), ventas y cartera de pedidos, capacidad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https://dart.fss.or.kr/dsaf001/main.do?rcpNo=20260602000220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반기보고서 2026 (informe semestral, revisión limitada): balance a 30-jun-2026, 2T26 y 1S26, gastos de venta (transporte), resultado financiero (plusvalía de 16.792 M en activos a valor razonable), flujos, cartera, capacidad y nave nueva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https://dart.fss.or.kr/dsaf001/main.do?rcpNo=20260813001320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2024 (informe anual): estados de 2024 y 2023, notas y cartera a 31-dic-2024 (255.603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https://dart.fss.or.kr/dsaf001/main.do?rcpNo=20250317000538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2023 (informe anual): estados de 2023, 2022 y 2021, notas (amortización,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https://dart.fss.or.kr/dsaf001/main.do?rcpNo=20240318000327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사업보고서 2021 (informe anual): estados de 2021, 2020 y 2019, notas (amortización)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https://dart.fss.or.kr/dsaf001/main.do?rcpNo=20220316001029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1T26 (1T26 y 1T25; cartera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https://dart.fss.or.kr/dsaf001/main.do?rcpNo=20260513000274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3T25 (3T25, 9M25 y 3T24; cartera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https://dart.fss.or.kr/dsaf001/main.do?rcpNo=20251112000086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2025 (2T25 y 1S25; cartera a 30-jun-2025)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https://dart.fss.or.kr/dsaf001/main.do?rcpNo=20250813000398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1T25 (cartera a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https://dart.fss.or.kr/dsaf001/main.do?rcpNo=20250513000541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분기보고서 3T24 (3T24, 9M24 y 3T23; cartera a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https://dart.fss.or.kr/dsaf001/main.do?rcpNo=20241111000144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매출액또는손익구조30%이상변동 (variación de resultados de 2025: ventas −14,7 %, beneficio operativo −31,4 %; causa: competencia en distribución en Norteamérica y aranceles de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https://dart.fss.or.kr/dsaf001/main.do?rcpNo=20260209900965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현금ㆍ현물배당결정 (dividendo de 2025: 1.100 KRW por acción, 17.669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https://dart.fss.or.kr/dsaf001/main.do?rcpNo=20260209900972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주요사항보고서(유형자산양수결정): terreno y edificios de Bosch Korea en Daejeon por 40.000 M KRW (16,5 % del activo) para transformadores de media y gran potencia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https://dart.fss.or.kr/dsaf001/main.do?rcpNo=20260204000215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반기보고서 2024 y 분기보고서 1T24 (cartera a 31-mar-2024: 305.567 M; a 30-jun-2024: 292.992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https://dart.fss.or.kr/dsaf001/main.do?rcpNo=20240809000501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특수 누렸던 변압기 ‘휘청’…M&amp;A 스텝 꼬인다 (el sector de transformadores entra en ajuste; Cheryong −36 % de ventas en el 1S26; Dongmi Electric valorado a ≈ 10 veces el EBITDA de 2025, ≈ 20 veces el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https://www.sedaily.com/article/20090702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corta: transformadores y equipos de red (GlobalData: 53.510 M USD de transformadores de distribución en 2030; Wood Mackenzie: déficit del 10 % en distribución en EE. UU., demanda +41 % desde 2019, 50 % importado; márgenes de ciclo normal y de pico)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(sectores/transformadores-2026-10-16.md)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https://www.woodmac.com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Power Transformer Market Size Projected to Grow $41.62 billion by 2030 (30.380 M USD en 2025; +6,5 %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https://www.globenewswire.com/news-release/2025/09/29/3157392/0/en/Power-Transformer-Market-Size-Projected-to-Grow-41-62-billion-by-2030-MarketsandMarkets.html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Section 232: desde el 6-abr-2026 el arancel sobre derivados de acero, aluminio y cobre se cobra sobre el valor en aduana del producto acabado (15, 25 o 50 %); los transformadores de muy alta tensión, al 15 % hasta fin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Financial News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https://en.fnnews.com/news/202604061143170211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After an Unprecedented Boom: Korean High-Voltage Transformer Firms on Alert Over Multibillion-Won Tariff Shock (arancel del 50 % sobre el acero de los transformadores desde el 18-ago-2025)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Asia Economy (edición inglesa)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https://view.asiae.co.kr/en/article/2025081911440803842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변압기·케이블 수출 첫 분기 1조…낙수는 단절 (exportaciones coreanas de transformadores y cables récord en el 1T26; Cheryong, la excepción a la baja por aranceles y competencia)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SME Daily (중소기업신문)</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http://www.smedaily.co.kr/news/articleView.html?idxno=358676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“전력 아쉬워도 중국 장비는 쓰지마”...트럼프 명령에 K전력株 급등 (emergencia nacional de EE. UU. que limita la compra de equipos eléctricos de origen extranjero adversario)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Maeil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https://www.mk.co.kr/news/stock/12138294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HD Hyundai Electric, Hyosung Heavy, LS Electric, Iljin Electric, Sanil Electric, Hammond Power, Fortune Electric, Shihlin, Allis y Powell (ventas y márgenes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https://finance.yahoo.com/quote/062040.KS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'3대 메가프로젝트' 수혜 기대…'배전·초고압' 전력주 빅사이클 가속 (30-jun-2026: inversión en la red coreana)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 Infomax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https://news.einfomax.co.kr/news/articleView.html?idxno=4422520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기업가치제고계획 (plan de valor 2026: rentabilidad, dividendo sostenible, nuevos productos; reparto del 30,1 %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https://dart.fss.or.kr/dsaf001/main.do?rcpNo=20260317900500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GIS 입찰담합 '391억 과징금' 줄소송 결과는…공정위 속속 승소 (Cheryong pierde en el Tribunal Supremo: multa de 1.165 M KRW firme)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https://www.edaily.co.kr/News/Read?newsId=04057366645614560&amp;mediaCodeNo=257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[기재정정] 소송등의제기ㆍ신청 (경영권분쟁소송): petición de un accionista (Park Hyung-ryul) para ver el libro de accionistas y las actas, retirada en abril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https://dart.fss.or.kr/dsaf001/main.do?rcpNo=20240412900203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de empresa: accionistas principales a 19-oct-2026 (familia Park 33,13 %, Samsung Asset Management 7,62 %, Norges Bank 5,66 %, KB Asset Management 5,26 %), capital flotante del 66,87 %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FnGuide (Naver WiseReport)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https://navercomp.wisereport.co.kr/v2/company/c1010001.aspx?cmp_cd=033100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Lista de avisos de DART de 제룡전기 (oct-2025 a oct-2026): participaciones significativas de Samsung AM (feb, mar y jun de 2026) y KB AM (jul-2026); ninguna declaración de directivos o accionistas principales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DART (FSS)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https://dart.fss.or.kr/dsab007/main.do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정기주주총회결과 (junta del 24-mar-2026: reelección de Park Jong-tae, Kim Hyun-soon y Kim Hee-jun)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Cheryong Electric / KRX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https://dart.fss.or.kr/dsaf001/main.do?rcpNo=20260324900844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033100.KQ, ^KQ11 y 267260.KS hasta el 20-oct-2026 (precio, rango, volumen, rentabilidades, beta, volatilidad, caída máxima y cierres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https://finance.yahoo.com/quote/033100.KQ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Fichas de comparables (precio, capitalización, valor empresa, EV/ventas, EV/EBITDA, márgenes, BPA y ventas estimados de 2026 y 2027) y tipos de cambio KRW=X, CADKRW=X y TWDKRW=X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https://finance.yahoo.com/quote/267260.KS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Government Bond Yields: 10-year for Korea (IRLTLT01KRM156N), septiembre de 2026: 4,454 %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OECD vía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https://fred.stlouisfed.org/series/IRLTLT01KRM156N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 Vernova to acquire remaining 50% stake of Prolec GE (5.275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T&amp;D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https://www.tdworld.com/utility-business/news/55325306/ge-vernova-to-acquire-remaining-50-stake-of-prolec-ge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acquires Fibrebond Corporation for 1.400 M USD (ventas de 378 M, EBITDA de 110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DatacenterDynamics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https://datacenterdynamics.com/en/news/eaton-acquires-fibrebond-corporation-for-14bn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to acquire DMC Power for 825 M USD (ventas de 130 M; EBITDA de 2026e de 60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https://www.nasdaq.com/articles/hubbell-acquire-dmc-power-825-mln-all-cash-deal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completes divestment of Power Grids to Hitachi (valor empresa de 11.000 M USD por el 100 %)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https://new.abb.com/news/detail/64657/abb-completes-divestment-of-power-grids-to-hitachi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SKS PE, ‘변압기 제조사’ 성진종합전기 550억 프리IPO 투자 (las cotizadas de transformadores, Cheryong incluida, a ≈ 17 veces el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Seoul Economic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https://www.sedaily.com/article/20084036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movimiento.mjs 033100.KQ: variación a 1, 3, 6 y 12 meses, máximos y mínimos, media de 200 sesiones, volatilidad de 60 sesiones (P5)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Cálculo con históricos de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https://finance.yahoo.com/quote/033100.KQ/history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[공매도 브리핑] 20일 … 제룡전기 26,43 % (peso de las ventas en corto en la negociación del 20-oct)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Topstar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https://www.topstarnews.net/news/articleView.html?idxno=16252563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NH증권 "코스닥 1,500까지 상승 여지…공매도 비율 높은 종목 선호" (Cheryong, primera del KOSDAQ 150 por posición corta sobre el capital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Yonhap Infomax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https://news.einfomax.co.kr/news/articleView.html?idxno=4395793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제룡전기 주가, 10월 20일 장중 40,950원 4.43% 하락</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Joongang Economy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https://www.joongangenews.com/news/articleView.html?idxno=556685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Naver (종목토론실) de 033100: 100 mensajes distintos del 3-sep al 20-oct-2026 (hora de Corea)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Naver Pay Securities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https://m.stock.naver.com/domestic/stock/033100/discussion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Paxnet (종목토론) de 033100: pocos mensajes y publicidad (sin debate real en tres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Paxnet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https://www.paxnet.co.kr/tbbs/list?tbbsType=L&amp;id=033100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"상한가, 상한가" 반도체처럼 '초호황 사이클'...이 업종은? (el sector de equipos eléctricos en límite al alza el 8-may-2026: tema de la infraestructura eléctrica)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Money Today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https://www.mt.co.kr/stock/2026/05/08/2026050811395512023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중동 리스크 걷히자 '바이 코리아'…코스피 8500선 돌파 (Cheryong +9,27 % con la bajada del riesgo en Oriente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Ezy Economy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https://www.ezyeconomy.com/news/articleView.html?idxno=236384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[코스닥 기관] AI 반도체에 꽂혔다… (compras de institucionales en Cheryong por la inversión en infraestructura eléctrica para centros de datos de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Pinpoint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https://www.pinpointnews.co.kr/news/articleView.html?idxno=451401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[52주] 신저가만 517개 ... 지수 하락 반전 (517 mínimos de 52 semanas en la bolsa coreana)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itooza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https://www.itooza.com/common/iview.php?no=2026073009340105663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제룡전기 주가, 10월 15일 40,400원 8.49% 하락</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Joongang Economy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https://www.joongangenews.com/news/articleView.html?idxno=555404</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83,2 %</w:t>
      </w:r>
      <w:r>
        <w:t xml:space="preserve"> · Secciones con menos del 60 % de campos cubiertos: </w:t>
      </w:r>
      <w:r>
        <w:rPr>
          <w:b/>
          <w:bCs/>
        </w:rPr>
        <w:t xml:space="preserve">directivos, multiplos_historicos</w:t>
      </w:r>
      <w:r>
        <w:t xml:space="preserve"> · Generado el 20 oct 2026.</w:t>
      </w:r>
    </w:p>
    <w:p>
      <w:pPr>
        <w:pStyle w:val="Nota"/>
        <w:spacing w:after="100"/>
      </w:pPr>
      <w:r>
        <w:t xml:space="preserve">Cuentas individuales K-IFRS en millones de KRW (Cheryong no tiene filiales: las individuales son las del grupo). Fuente primaria: DART (dart.fss.or.kr) por su visor de secciones: informes anuales de 2025 (corregido el 2-jun-2026) [1], 2024 [3], 2023 [4] y 2021 [5], informe semestral de 2026 [2], trimestrales [6, 7, 8, 9, 10, 14] y avisos de la KRX. Corea no tiene XBRL en herramientas/cuentas.mjs. Ninguna casa de análisis cubre la empresa (FnGuide: ninguna estimación en tres meses) [27]: no hay consenso con el que contrastar y los comparables no dan valor en la síntesis (no hay BPA ni EBITDA de los próximos doce meses de la empresa). El EBITDA trimestral lleva la amortización repartida a partes iguales (estimación). Precio: cierre del 20-oct-2026 en el KOSDAQ (40.900 KRW, Yahoo; la bolsa de Seúl cierra a las 15:30 KST) [30]; bolsa, beta y movimiento con el mismo cierre.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Cheryong Electric Co., Ltd. (제룡전기주식회사) (033100)</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40.900,00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(32.950,00 – 93.800,00)</c:v>
                </c:pt>
                <c:pt idx="1">
                  <c:v>Transacciones precedentes (EV/EBITDA) (42.534,42 – 47.571,17)</c:v>
                </c:pt>
                <c:pt idx="2">
                  <c:v>DCF (WACC y g ± 0,5) (17.396,10 – 18.750,29)</c:v>
                </c:pt>
                <c:pt idx="3">
                  <c:v>Escenarios (bajista – alcista) (13.947,83 – 25.365,92)</c:v>
                </c:pt>
                <c:pt idx="4">
                  <c:v>DCF con la prima implícita del mercado (4,2 %)</c:v>
                </c:pt>
                <c:pt idx="5">
                  <c:v>Precio actual (40.900,00)</c:v>
                </c:pt>
              </c:strCache>
            </c:strRef>
          </c:cat>
          <c:val>
            <c:numRef>
              <c:f>Hoja1!$B$2:$B$7</c:f>
              <c:numCache>
                <c:formatCode>#,##0</c:formatCode>
                <c:ptCount val="6"/>
                <c:pt idx="0">
                  <c:v>32950</c:v>
                </c:pt>
                <c:pt idx="1">
                  <c:v>42534.42</c:v>
                </c:pt>
                <c:pt idx="2">
                  <c:v>17396.1</c:v>
                </c:pt>
                <c:pt idx="3">
                  <c:v>13947.83</c:v>
                </c:pt>
                <c:pt idx="4">
                  <c:v>18885.04</c:v>
                </c:pt>
                <c:pt idx="5">
                  <c:v>40695.5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(32.950,00 – 93.800,00)</c:v>
                </c:pt>
                <c:pt idx="1">
                  <c:v>Transacciones precedentes (EV/EBITDA) (42.534,42 – 47.571,17)</c:v>
                </c:pt>
                <c:pt idx="2">
                  <c:v>DCF (WACC y g ± 0,5) (17.396,10 – 18.750,29)</c:v>
                </c:pt>
                <c:pt idx="3">
                  <c:v>Escenarios (bajista – alcista) (13.947,83 – 25.365,92)</c:v>
                </c:pt>
                <c:pt idx="4">
                  <c:v>DCF con la prima implícita del mercado (4,2 %)</c:v>
                </c:pt>
                <c:pt idx="5">
                  <c:v>Precio actual (40.900,00)</c:v>
                </c:pt>
              </c:strCache>
            </c:strRef>
          </c:cat>
          <c:val>
            <c:numRef>
              <c:f>Hoja1!$C$2:$C$7</c:f>
              <c:numCache>
                <c:formatCode>#,##0</c:formatCode>
                <c:ptCount val="6"/>
                <c:pt idx="0">
                  <c:v>60850</c:v>
                </c:pt>
                <c:pt idx="1">
                  <c:v>5036.75</c:v>
                </c:pt>
                <c:pt idx="2">
                  <c:v>1354.1900000000023</c:v>
                </c:pt>
                <c:pt idx="3">
                  <c:v>11418.089999999998</c:v>
                </c:pt>
                <c:pt idx="4">
                  <c:v>1170.5099999999984</c:v>
                </c:pt>
                <c:pt idx="5">
                  <c:v>409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(KRW, millones)</a:t>
            </a:r>
          </a:p>
        </c:rich>
      </c:tx>
      <c:overlay val="0"/>
    </c:title>
    <c:autoTitleDeleted val="0"/>
    <c:plotArea>
      <c:layout/>
      <c:barChart>
        <c:barDir val="col"/>
        <c:grouping val="stacked"/>
        <c:varyColors val="0"/>
        <c:ser>
          <c:idx val="0"/>
          <c:order val="0"/>
          <c:tx>
            <c:strRef>
              <c:f>Hoja1!$B$1</c:f>
              <c:strCache>
                <c:ptCount val="1"/>
                <c:pt idx="0">
                  <c:v>Transformadores: exportación (sobre todo EE. UU.)</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150197</c:v>
                </c:pt>
                <c:pt idx="1">
                  <c:v>234490</c:v>
                </c:pt>
                <c:pt idx="2">
                  <c:v>198920</c:v>
                </c:pt>
              </c:numCache>
            </c:numRef>
          </c:val>
        </c:ser>
        <c:ser>
          <c:idx val="1"/>
          <c:order val="1"/>
          <c:tx>
            <c:strRef>
              <c:f>Hoja1!$C$1</c:f>
              <c:strCache>
                <c:ptCount val="1"/>
                <c:pt idx="0">
                  <c:v>Transformadores y otros: Corea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33744</c:v>
                </c:pt>
                <c:pt idx="1">
                  <c:v>28246</c:v>
                </c:pt>
                <c:pt idx="2">
                  <c:v>25097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Transformadores: exportación (sobre todo EE. UU.)</c:v>
                </c:pt>
                <c:pt idx="1">
                  <c:v>Transformadores y otros: Corea</c:v>
                </c:pt>
              </c:strCache>
            </c:strRef>
          </c:cat>
          <c:val>
            <c:numRef>
              <c:f>Hoja1!$B$2:$B$3</c:f>
              <c:numCache>
                <c:formatCode>General</c:formatCode>
                <c:ptCount val="2"/>
                <c:pt idx="0">
                  <c:v>88.8</c:v>
                </c:pt>
                <c:pt idx="1">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EE. UU. (exportación)</c:v>
                </c:pt>
                <c:pt idx="1">
                  <c:v>Corea</c:v>
                </c:pt>
              </c:strCache>
            </c:strRef>
          </c:cat>
          <c:val>
            <c:numRef>
              <c:f>Hoja1!$B$2:$B$3</c:f>
              <c:numCache>
                <c:formatCode>0"%"</c:formatCode>
                <c:ptCount val="2"/>
                <c:pt idx="0">
                  <c:v>88.8</c:v>
                </c:pt>
                <c:pt idx="1">
                  <c:v>11.2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(transformadores de distribución, mundo))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34800</c:v>
                </c:pt>
                <c:pt idx="1">
                  <c:v>53510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Cheryong Electric</c:v>
                </c:pt>
                <c:pt idx="1">
                  <c:v>HD Hyundai Electric</c:v>
                </c:pt>
                <c:pt idx="2">
                  <c:v>Hyosung Heavy Industries</c:v>
                </c:pt>
                <c:pt idx="3">
                  <c:v>LS Electric</c:v>
                </c:pt>
                <c:pt idx="4">
                  <c:v>Iljin Electric</c:v>
                </c:pt>
                <c:pt idx="5">
                  <c:v>Sanil Electric</c:v>
                </c:pt>
                <c:pt idx="6">
                  <c:v>Hammond Power Solutions</c:v>
                </c:pt>
              </c:strCache>
            </c:strRef>
          </c:cat>
          <c:val>
            <c:numRef>
              <c:f>Hoja1!$B$2:$B$8</c:f>
              <c:numCache>
                <c:formatCode>0.0"%"</c:formatCode>
                <c:ptCount val="7"/>
                <c:pt idx="0">
                  <c:v>29.9</c:v>
                </c:pt>
                <c:pt idx="1">
                  <c:v>25.1</c:v>
                </c:pt>
                <c:pt idx="2">
                  <c:v>14.5</c:v>
                </c:pt>
                <c:pt idx="3">
                  <c:v>11.3</c:v>
                </c:pt>
                <c:pt idx="4">
                  <c:v>11.3</c:v>
                </c:pt>
                <c:pt idx="5">
                  <c:v>37.8</c:v>
                </c:pt>
                <c:pt idx="6">
                  <c:v>7.1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1</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(KRW,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Hoja1!$B$2:$B$15</c:f>
              <c:numCache>
                <c:formatCode>#,##0</c:formatCode>
                <c:ptCount val="14"/>
                <c:pt idx="0">
                  <c:v>44196</c:v>
                </c:pt>
                <c:pt idx="1">
                  <c:v>48783</c:v>
                </c:pt>
                <c:pt idx="2">
                  <c:v>86061</c:v>
                </c:pt>
                <c:pt idx="3">
                  <c:v>183941</c:v>
                </c:pt>
                <c:pt idx="4">
                  <c:v>262736</c:v>
                </c:pt>
                <c:pt idx="5">
                  <c:v>224017</c:v>
                </c:pt>
                <c:pt idx="6">
                  <c:v>145387</c:v>
                </c:pt>
                <c:pt idx="7">
                  <c:v>157018</c:v>
                </c:pt>
                <c:pt idx="8">
                  <c:v>175860</c:v>
                </c:pt>
                <c:pt idx="9">
                  <c:v>189929</c:v>
                </c:pt>
                <c:pt idx="10">
                  <c:v>201325</c:v>
                </c:pt>
                <c:pt idx="11">
                  <c:v>211391</c:v>
                </c:pt>
                <c:pt idx="12">
                  <c:v>219847</c:v>
                </c:pt>
                <c:pt idx="13">
                  <c:v>227541</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strCache>
            </c:strRef>
          </c:cat>
          <c:val>
            <c:numRef>
              <c:f>Hoja1!$C$2:$C$15</c:f>
              <c:numCache>
                <c:formatCode>#,##0</c:formatCode>
                <c:ptCount val="14"/>
                <c:pt idx="0">
                  <c:v>6155</c:v>
                </c:pt>
                <c:pt idx="1">
                  <c:v>2315</c:v>
                </c:pt>
                <c:pt idx="2">
                  <c:v>17432</c:v>
                </c:pt>
                <c:pt idx="3">
                  <c:v>71525</c:v>
                </c:pt>
                <c:pt idx="4">
                  <c:v>99374</c:v>
                </c:pt>
                <c:pt idx="5">
                  <c:v>68929</c:v>
                </c:pt>
                <c:pt idx="6">
                  <c:v>23989</c:v>
                </c:pt>
                <c:pt idx="7">
                  <c:v>24338</c:v>
                </c:pt>
                <c:pt idx="8">
                  <c:v>26379</c:v>
                </c:pt>
                <c:pt idx="9">
                  <c:v>27540</c:v>
                </c:pt>
                <c:pt idx="10">
                  <c:v>28185</c:v>
                </c:pt>
                <c:pt idx="11">
                  <c:v>28538</c:v>
                </c:pt>
                <c:pt idx="12">
                  <c:v>28580</c:v>
                </c:pt>
                <c:pt idx="13">
                  <c:v>29580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19.8</c:v>
                </c:pt>
                <c:pt idx="1">
                  <c:v>15.6</c:v>
                </c:pt>
                <c:pt idx="2">
                  <c:v>37.6</c:v>
                </c:pt>
                <c:pt idx="3">
                  <c:v>49.6</c:v>
                </c:pt>
                <c:pt idx="4">
                  <c:v>51.7</c:v>
                </c:pt>
                <c:pt idx="5">
                  <c:v>51.1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13.9</c:v>
                </c:pt>
                <c:pt idx="1">
                  <c:v>4.7</c:v>
                </c:pt>
                <c:pt idx="2">
                  <c:v>20.3</c:v>
                </c:pt>
                <c:pt idx="3">
                  <c:v>38.9</c:v>
                </c:pt>
                <c:pt idx="4">
                  <c:v>37.8</c:v>
                </c:pt>
                <c:pt idx="5">
                  <c:v>30.8</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8.6</c:v>
                </c:pt>
                <c:pt idx="1">
                  <c:v>0.2</c:v>
                </c:pt>
                <c:pt idx="2">
                  <c:v>18.6</c:v>
                </c:pt>
                <c:pt idx="3">
                  <c:v>38.1</c:v>
                </c:pt>
                <c:pt idx="4">
                  <c:v>37.2</c:v>
                </c:pt>
                <c:pt idx="5">
                  <c:v>29.9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8</c:v>
                </c:pt>
                <c:pt idx="1">
                  <c:v>2.4</c:v>
                </c:pt>
                <c:pt idx="2">
                  <c:v>14.5</c:v>
                </c:pt>
                <c:pt idx="3">
                  <c:v>30.7</c:v>
                </c:pt>
                <c:pt idx="4">
                  <c:v>30.4</c:v>
                </c:pt>
                <c:pt idx="5">
                  <c:v>26.2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66.1</c:v>
                </c:pt>
                <c:pt idx="1">
                  <c:v>-22.8</c:v>
                </c:pt>
                <c:pt idx="2">
                  <c:v>-22.7</c:v>
                </c:pt>
                <c:pt idx="3">
                  <c:v>-22.2</c:v>
                </c:pt>
                <c:pt idx="4">
                  <c:v>0.5</c:v>
                </c:pt>
                <c:pt idx="5">
                  <c:v>-13.9</c:v>
                </c:pt>
                <c:pt idx="6">
                  <c:v>-30.9</c:v>
                </c:pt>
                <c:pt idx="7">
                  <c:v>-40.9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66.1</c:v>
                </c:pt>
                <c:pt idx="1">
                  <c:v>-22.8</c:v>
                </c:pt>
                <c:pt idx="2">
                  <c:v>-22.7</c:v>
                </c:pt>
                <c:pt idx="3">
                  <c:v>-22.2</c:v>
                </c:pt>
                <c:pt idx="4">
                  <c:v>0.5</c:v>
                </c:pt>
                <c:pt idx="5">
                  <c:v>-13.9</c:v>
                </c:pt>
                <c:pt idx="6">
                  <c:v>-30.9</c:v>
                </c:pt>
                <c:pt idx="7">
                  <c:v>-40.9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86</c:v>
                </c:pt>
                <c:pt idx="1">
                  <c:v>63</c:v>
                </c:pt>
                <c:pt idx="2">
                  <c:v>103</c:v>
                </c:pt>
                <c:pt idx="3">
                  <c:v>82</c:v>
                </c:pt>
                <c:pt idx="4">
                  <c:v>50</c:v>
                </c:pt>
                <c:pt idx="5">
                  <c:v>35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77</c:v>
                </c:pt>
                <c:pt idx="1">
                  <c:v>96</c:v>
                </c:pt>
                <c:pt idx="2">
                  <c:v>175</c:v>
                </c:pt>
                <c:pt idx="3">
                  <c:v>169</c:v>
                </c:pt>
                <c:pt idx="4">
                  <c:v>127</c:v>
                </c:pt>
                <c:pt idx="5">
                  <c:v>108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123</c:v>
                </c:pt>
                <c:pt idx="1">
                  <c:v>158</c:v>
                </c:pt>
                <c:pt idx="2">
                  <c:v>96</c:v>
                </c:pt>
                <c:pt idx="3">
                  <c:v>75</c:v>
                </c:pt>
                <c:pt idx="4">
                  <c:v>78</c:v>
                </c:pt>
                <c:pt idx="5">
                  <c:v>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(KRW,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6105</c:v>
                </c:pt>
                <c:pt idx="1">
                  <c:v>7004</c:v>
                </c:pt>
                <c:pt idx="2">
                  <c:v>-17888</c:v>
                </c:pt>
                <c:pt idx="3">
                  <c:v>37141</c:v>
                </c:pt>
                <c:pt idx="4">
                  <c:v>93146</c:v>
                </c:pt>
                <c:pt idx="5">
                  <c:v>64506</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3525</c:v>
                </c:pt>
                <c:pt idx="1">
                  <c:v>1173</c:v>
                </c:pt>
                <c:pt idx="2">
                  <c:v>12480</c:v>
                </c:pt>
                <c:pt idx="3">
                  <c:v>56384</c:v>
                </c:pt>
                <c:pt idx="4">
                  <c:v>79921</c:v>
                </c:pt>
                <c:pt idx="5">
                  <c:v>58712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11.4</c:v>
                </c:pt>
                <c:pt idx="1">
                  <c:v>0.4</c:v>
                </c:pt>
                <c:pt idx="2">
                  <c:v>32.8</c:v>
                </c:pt>
                <c:pt idx="3">
                  <c:v>85</c:v>
                </c:pt>
                <c:pt idx="4">
                  <c:v>111</c:v>
                </c:pt>
                <c:pt idx="5">
                  <c:v>90.5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12.5</c:v>
                </c:pt>
                <c:pt idx="1">
                  <c:v>12.5</c:v>
                </c:pt>
                <c:pt idx="2">
                  <c:v>12.5</c:v>
                </c:pt>
                <c:pt idx="3">
                  <c:v>12.5</c:v>
                </c:pt>
                <c:pt idx="4">
                  <c:v>12.5</c:v>
                </c:pt>
                <c:pt idx="5">
                  <c:v>12.5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c:v>
                </c:pt>
                <c:pt idx="1">
                  <c:v>2</c:v>
                </c:pt>
                <c:pt idx="2">
                  <c:v>19.2</c:v>
                </c:pt>
                <c:pt idx="3">
                  <c:v>57.6</c:v>
                </c:pt>
                <c:pt idx="4">
                  <c:v>49.7</c:v>
                </c:pt>
                <c:pt idx="5">
                  <c:v>26.9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-4.72</c:v>
                </c:pt>
                <c:pt idx="1">
                  <c:v>-15.29</c:v>
                </c:pt>
                <c:pt idx="2">
                  <c:v>-0.94</c:v>
                </c:pt>
                <c:pt idx="3">
                  <c:v>-0.7</c:v>
                </c:pt>
                <c:pt idx="4">
                  <c:v>-1.36</c:v>
                </c:pt>
                <c:pt idx="5">
                  <c:v>-2.68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(KRW,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0</c:v>
                </c:pt>
                <c:pt idx="5">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803</c:v>
                </c:pt>
                <c:pt idx="1">
                  <c:v>803</c:v>
                </c:pt>
                <c:pt idx="2">
                  <c:v>803</c:v>
                </c:pt>
                <c:pt idx="3">
                  <c:v>2409</c:v>
                </c:pt>
                <c:pt idx="4">
                  <c:v>8031</c:v>
                </c:pt>
                <c:pt idx="5">
                  <c:v>16062</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3</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Park Jong-tae</c:v>
                </c:pt>
                <c:pt idx="1">
                  <c:v>Fundación social Cheryong (제룡사회복지법인)</c:v>
                </c:pt>
                <c:pt idx="2">
                  <c:v>Kim Hyun-soon</c:v>
                </c:pt>
                <c:pt idx="3">
                  <c:v>Park In-jun</c:v>
                </c:pt>
                <c:pt idx="4">
                  <c:v>Park In-won</c:v>
                </c:pt>
                <c:pt idx="5">
                  <c:v>Park Jin-su</c:v>
                </c:pt>
                <c:pt idx="6">
                  <c:v>Samsung Asset Management</c:v>
                </c:pt>
                <c:pt idx="7">
                  <c:v>Norges Bank</c:v>
                </c:pt>
                <c:pt idx="8">
                  <c:v>KB Asset Management</c:v>
                </c:pt>
              </c:strCache>
            </c:strRef>
          </c:cat>
          <c:val>
            <c:numRef>
              <c:f>Hoja1!$B$2:$B$10</c:f>
              <c:numCache>
                <c:formatCode>0.0"%"</c:formatCode>
                <c:ptCount val="9"/>
                <c:pt idx="0">
                  <c:v>17.93</c:v>
                </c:pt>
                <c:pt idx="1">
                  <c:v>4.98</c:v>
                </c:pt>
                <c:pt idx="2">
                  <c:v>3.8</c:v>
                </c:pt>
                <c:pt idx="3">
                  <c:v>3</c:v>
                </c:pt>
                <c:pt idx="4">
                  <c:v>2.34</c:v>
                </c:pt>
                <c:pt idx="5">
                  <c:v>1.08</c:v>
                </c:pt>
                <c:pt idx="6">
                  <c:v>7.62</c:v>
                </c:pt>
                <c:pt idx="7">
                  <c:v>5.66</c:v>
                </c:pt>
                <c:pt idx="8">
                  <c:v>5.26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90</c:v>
                </c:pt>
                <c:pt idx="1">
                  <c:v>3.5</c:v>
                </c:pt>
                <c:pt idx="2">
                  <c:v>40.7</c:v>
                </c:pt>
                <c:pt idx="3">
                  <c:v>-19.2</c:v>
                </c:pt>
                <c:pt idx="4">
                  <c:v>-21.4</c:v>
                </c:pt>
                <c:pt idx="5">
                  <c:v>-1.3</c:v>
                </c:pt>
                <c:pt idx="6">
                  <c:v>115.5</c:v>
                </c:pt>
                <c:pt idx="7">
                  <c:v>78.2</c:v>
                </c:pt>
                <c:pt idx="8">
                  <c:v>129.2</c:v>
                </c:pt>
                <c:pt idx="9">
                  <c:v>-23.6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-7.5</c:v>
                </c:pt>
                <c:pt idx="1">
                  <c:v>26.4</c:v>
                </c:pt>
                <c:pt idx="2">
                  <c:v>-15.4</c:v>
                </c:pt>
                <c:pt idx="3">
                  <c:v>-0.9</c:v>
                </c:pt>
                <c:pt idx="4">
                  <c:v>44.6</c:v>
                </c:pt>
                <c:pt idx="5">
                  <c:v>6.8</c:v>
                </c:pt>
                <c:pt idx="6">
                  <c:v>-34.3</c:v>
                </c:pt>
                <c:pt idx="7">
                  <c:v>27.6</c:v>
                </c:pt>
                <c:pt idx="8">
                  <c:v>-21.7</c:v>
                </c:pt>
                <c:pt idx="9">
                  <c:v>36.5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9.1</c:v>
                </c:pt>
                <c:pt idx="1">
                  <c:v>20.9</c:v>
                </c:pt>
                <c:pt idx="2">
                  <c:v>9.4</c:v>
                </c:pt>
                <c:pt idx="3">
                  <c:v>3.8</c:v>
                </c:pt>
                <c:pt idx="4">
                  <c:v>6.1</c:v>
                </c:pt>
                <c:pt idx="5">
                  <c:v>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6.1</c:v>
                </c:pt>
                <c:pt idx="1">
                  <c:v>6.1</c:v>
                </c:pt>
                <c:pt idx="2">
                  <c:v>6.1</c:v>
                </c:pt>
                <c:pt idx="3">
                  <c:v>6.1</c:v>
                </c:pt>
                <c:pt idx="4">
                  <c:v>6.1</c:v>
                </c:pt>
                <c:pt idx="5">
                  <c:v>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Prolec GE (50 % restante; transformadores de distribución y potencia en México y EE. UU.)</c:v>
                </c:pt>
                <c:pt idx="1">
                  <c:v>Fibrebond (salas eléctricas modulares)</c:v>
                </c:pt>
                <c:pt idx="2">
                  <c:v>DMC Power (conectores de alta tensión)</c:v>
                </c:pt>
                <c:pt idx="3">
                  <c:v>ABB Power Grids (100 %)</c:v>
                </c:pt>
                <c:pt idx="4">
                  <c:v>Dongmi Electric (동미전기공업; transformadores, Corea)</c:v>
                </c:pt>
              </c:strCache>
            </c:strRef>
          </c:cat>
          <c:val>
            <c:numRef>
              <c:f>Hoja1!$B$2:$B$6</c:f>
              <c:numCache>
                <c:formatCode>0.0"x"</c:formatCode>
                <c:ptCount val="5"/>
                <c:pt idx="0">
                  <c:v>14.1</c:v>
                </c:pt>
                <c:pt idx="1">
                  <c:v>12.7</c:v>
                </c:pt>
                <c:pt idx="2">
                  <c:v>13.8</c:v>
                </c:pt>
                <c:pt idx="4">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(KRW,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-27241</c:v>
                </c:pt>
                <c:pt idx="1">
                  <c:v>8780</c:v>
                </c:pt>
                <c:pt idx="2">
                  <c:v>13915</c:v>
                </c:pt>
                <c:pt idx="3">
                  <c:v>15868</c:v>
                </c:pt>
                <c:pt idx="4">
                  <c:v>16918</c:v>
                </c:pt>
                <c:pt idx="5">
                  <c:v>15320</c:v>
                </c:pt>
                <c:pt idx="6">
                  <c:v>15472</c:v>
                </c:pt>
                <c:pt idx="7">
                  <c:v>16225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(KRW,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60716</c:v>
                </c:pt>
                <c:pt idx="1">
                  <c:v>71194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(KRW) · precio actual 40.900,00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13947.83</c:v>
                </c:pt>
                <c:pt idx="1">
                  <c:v>18007.86</c:v>
                </c:pt>
                <c:pt idx="2">
                  <c:v>25365.92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(KRW) · precio actual 40.900,00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(32.950,00 – 93.800,00)</c:v>
                </c:pt>
                <c:pt idx="1">
                  <c:v>Transacciones precedentes (EV/EBITDA) (42.534,42 – 47.571,17)</c:v>
                </c:pt>
                <c:pt idx="2">
                  <c:v>DCF (WACC y g ± 0,5) (17.396,10 – 18.750,29)</c:v>
                </c:pt>
                <c:pt idx="3">
                  <c:v>Escenarios (bajista – alcista) (13.947,83 – 25.365,92)</c:v>
                </c:pt>
                <c:pt idx="4">
                  <c:v>DCF con la prima implícita del mercado (4,2 %)</c:v>
                </c:pt>
                <c:pt idx="5">
                  <c:v>Precio actual (40.900,00)</c:v>
                </c:pt>
              </c:strCache>
            </c:strRef>
          </c:cat>
          <c:val>
            <c:numRef>
              <c:f>Hoja1!$B$2:$B$7</c:f>
              <c:numCache>
                <c:formatCode>#,##0</c:formatCode>
                <c:ptCount val="6"/>
                <c:pt idx="0">
                  <c:v>32950</c:v>
                </c:pt>
                <c:pt idx="1">
                  <c:v>42534.42</c:v>
                </c:pt>
                <c:pt idx="2">
                  <c:v>17396.1</c:v>
                </c:pt>
                <c:pt idx="3">
                  <c:v>13947.83</c:v>
                </c:pt>
                <c:pt idx="4">
                  <c:v>18885.04</c:v>
                </c:pt>
                <c:pt idx="5">
                  <c:v>40695.5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(32.950,00 – 93.800,00)</c:v>
                </c:pt>
                <c:pt idx="1">
                  <c:v>Transacciones precedentes (EV/EBITDA) (42.534,42 – 47.571,17)</c:v>
                </c:pt>
                <c:pt idx="2">
                  <c:v>DCF (WACC y g ± 0,5) (17.396,10 – 18.750,29)</c:v>
                </c:pt>
                <c:pt idx="3">
                  <c:v>Escenarios (bajista – alcista) (13.947,83 – 25.365,92)</c:v>
                </c:pt>
                <c:pt idx="4">
                  <c:v>DCF con la prima implícita del mercado (4,2 %)</c:v>
                </c:pt>
                <c:pt idx="5">
                  <c:v>Precio actual (40.900,00)</c:v>
                </c:pt>
              </c:strCache>
            </c:strRef>
          </c:cat>
          <c:val>
            <c:numRef>
              <c:f>Hoja1!$C$2:$C$7</c:f>
              <c:numCache>
                <c:formatCode>#,##0</c:formatCode>
                <c:ptCount val="6"/>
                <c:pt idx="0">
                  <c:v>60850</c:v>
                </c:pt>
                <c:pt idx="1">
                  <c:v>5036.75</c:v>
                </c:pt>
                <c:pt idx="2">
                  <c:v>1354.1900000000023</c:v>
                </c:pt>
                <c:pt idx="3">
                  <c:v>11418.089999999998</c:v>
                </c:pt>
                <c:pt idx="4">
                  <c:v>1170.5099999999984</c:v>
                </c:pt>
                <c:pt idx="5">
                  <c:v>409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