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Arabian Internet and Communications Services Co. (solutions by stc)</w:t>
      </w:r>
    </w:p>
    <w:p>
      <w:pPr>
        <w:spacing w:after="60"/>
        <w:rPr>
          <w:color w:val="52514E"/>
          <w:sz w:val="22"/>
          <w:szCs w:val="22"/>
        </w:rPr>
      </w:pPr>
      <w:r>
        <w:rPr>
          <w:color w:val="52514E"/>
          <w:sz w:val="22"/>
          <w:szCs w:val="22"/>
        </w:rPr>
        <w:t xml:space="preserve">7202.SR · Saudi Exchange (Tadawul) · ISIN SA15CIBJGH12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SAR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92,55 SAR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111,53 SAR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+24,8 % (base +20,7 %)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79,58 SAR · mercado 90,52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22.212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Arabian Internet and Communications Services Co. (solutions by stc)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7202.SR / SA15CIBJGH12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Saudi Exchange (Tadawul)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TASI (MSCI Saudi Arabia como aproximación)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Servicios de TI</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Riad · 2002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https://solutions.com.sa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92,55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85,05 – 131,50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22.212 M SAR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22.297 M SAR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38,3 M SAR/día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111,53 SAR</w:t>
      </w:r>
      <w:r>
        <w:t xml:space="preserve"> frente a 92,55 · Rentabilidad a 12 meses </w:t>
      </w:r>
      <w:r>
        <w:rPr>
          <w:b/>
          <w:bCs/>
        </w:rPr>
        <w:t xml:space="preserve">+24,8 % (base +20,7 %)</w:t>
      </w:r>
      <w:r>
        <w:t xml:space="preserve"> · Valor intrínseco 79,58 SAR · con la prima implícita del mercado: 90,52 (-2,2 %) · Alcista / bajista +4,1 % / -36,8 %</w:t>
      </w:r>
    </w:p>
    <w:p>
      <w:pPr>
        <w:spacing w:after="100"/>
      </w:pPr>
      <w:r>
        <w:rPr>
          <w:b/>
        </w:rPr>
        <w:t xml:space="preserve">La recomendación y por qué.</w:t>
      </w:r>
      <w:r>
        <w:t xml:space="preserve"> Mantener, con convicción media. La rentabilidad a 12 meses con la regla común es de +24,8 % ponderada y +20,7 % en el base (objetivo de 111,53 SAR frente a 92,55), porque el PER ha caído a 13,4 veces nuestro BPA de 2027e desde 17-26 veces en 2021-2025. Pero el valor intrínseco es de 79,58 SAR (-14,0 %): sin valor real por encima del precio no hay compra, aunque la rentabilidad a 12 meses pase los umbrales (15 % ponderada y 12 % en el base). La v2 de control da +10,4 % en el base, por debajo del 12 %. La convicción es media: el precio ya recoge mucho miedo (IA, gasto público, márgenes), pero la conversión de beneficio en caja se rompió en 2025 y el margen depende de stc. La subiría un flujo operativo de vuelta al 90-100 % del beneficio; la bajaría otro trimestre con digital y upsource a la baja. Compraríamos por debajo de 79,58 SAR.</w:t>
      </w:r>
    </w:p>
    <w:p>
      <w:pPr>
        <w:spacing w:after="100"/>
      </w:pPr>
      <w:r>
        <w:rPr>
          <w:b/>
        </w:rPr>
        <w:t xml:space="preserve">El negocio.</w:t>
      </w:r>
      <w:r>
        <w:t xml:space="preserve"> solutions es la mayor integradora de TI de Arabia Saudí (22,7 % de cuota según IDC): monta y opera centros de datos, redes, nube, ciberseguridad, centros de contacto y aplicaciones para la Administración (41 % de las ventas), su matriz stc (32 %) y empresas privadas (26 %) [8, 15]. ROIC del 66,1 % frente a un WACC del 11,87 %, por la poca inversión que necesita. Sostenibilidad del crecimiento: «Sí», por debajo del mercado; el riesgo es de margen.</w:t>
      </w:r>
    </w:p>
    <w:p>
      <w:pPr>
        <w:spacing w:after="100"/>
      </w:pPr>
      <w:r>
        <w:rPr>
          <w:b/>
        </w:rPr>
        <w:t xml:space="preserve">Sector y ciclo.</w:t>
      </w:r>
      <w:r>
        <w:t xml:space="preserve"> Expansión madura: el gasto público baja (del 29,2 % al 25,7 % del PIB en 2027e) y frena las adjudicaciones, mientras la inversión en centros de datos e IA y el sector privado crecen [8, 16]. La IA es mixta y con exposición alta: amenaza digital (−23 % en el 2T26) y upsource (estancada) y alimenta la infraestructura, de menos margen [8].</w:t>
      </w:r>
    </w:p>
    <w:p>
      <w:pPr>
        <w:spacing w:after="100"/>
      </w:pPr>
      <w:r>
        <w:rPr>
          <w:b/>
        </w:rPr>
        <w:t xml:space="preserve">Finanzas.</w:t>
      </w:r>
      <w:r>
        <w:t xml:space="preserve"> Ventas de 7.208 a 12.730 M SAR en 2021-2025 y beneficio de 833 a 1.503 M, con el crecimiento frenando (+5,5 % en 2025) y el margen bruto del 23,5 % al 21,0 % [2]. Alerta: flujo operativo negativo en 2025 (−100,7 M) por los cobros públicos; recuperado en el 1S26 (flujo libre de 315 M) [2, 3]. Caja neta de 693 M sin arrendamientos [3].</w:t>
      </w:r>
    </w:p>
    <w:p>
      <w:pPr>
        <w:spacing w:after="100"/>
      </w:pPr>
      <w:r>
        <w:rPr>
          <w:b/>
        </w:rPr>
        <w:t xml:space="preserve">Equipo y gobierno.</w:t>
      </w:r>
      <w:r>
        <w:t xml:space="preserve"> stc controla el 79 %, es el primer cliente y cobra regalías de marca redefinidas en 2026; 801,6 M de la caja están en stc Bank [1, 3, 4, 12]. Equipo de stc con la guía cumplida en 2023-2024 y a medias en 2025.</w:t>
      </w:r>
    </w:p>
    <w:p>
      <w:pPr>
        <w:spacing w:after="100"/>
      </w:pPr>
      <w:r>
        <w:rPr>
          <w:b/>
        </w:rPr>
        <w:t xml:space="preserve">Valoración.</w:t>
      </w:r>
      <w:r>
        <w:t xml:space="preserve"> DCF de 82,38 SAR con WACC del 11,87 %; el precio descuenta un crecimiento del 8,9 % anual. Cotiza a 12,7 veces el beneficio de los próximos doce meses, sobre la mediana de los comparables (≈ 10). Nuestro BPA de 2028e (7,33) queda un 8 % por debajo del consenso (7,95) por margen; su objetivo medio (127,30 SAR) queda por encima de nuestro rango intrínseco (58,50-96,31 SAR) y dentro del de 12 meses (67,86-162,76 SAR) [23].</w:t>
      </w:r>
    </w:p>
    <w:p>
      <w:pPr>
        <w:spacing w:after="100"/>
      </w:pPr>
      <w:r>
        <w:rPr>
          <w:b/>
        </w:rPr>
        <w:t xml:space="preserve">Riesgos y catalizadores.</w:t>
      </w:r>
      <w:r>
        <w:t xml:space="preserve"> Dominantes: la IA sobre digital y centros de contacto y la dependencia de stc y de la Administración (bajista de 58,50 SAR). Catalizador: resultados del 3T26 hacia el 28-oct. La caída del último mes (−17,7 %) es del mercado saudí y del sector, sin noticia propia (regla 13: no cambia).</w:t>
      </w:r>
    </w:p>
    <w:p>
      <w:pPr>
        <w:spacing w:after="100"/>
      </w:pPr>
      <w:r>
        <w:rPr>
          <w:b/>
        </w:rPr>
        <w:t xml:space="preserve">Qué cambiaría la decisión.</w:t>
      </w:r>
      <w:r>
        <w:t xml:space="preserve"> Por debajo de 79,58 SAR pasaría a Comprar; por encima de 128,37 SAR, a Vender. Subiríamos el base con el flujo operativo de vuelta al 90-100 % del beneficio y el margen bruto estable; lo bajaríamos con stc apretando precios o regalías.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111,53 SAR</w:t>
      </w:r>
      <w:r>
        <w:t xml:space="preserve"> (rentabilidad +24,8 % (base +20,7 %)) · Valor intrínseco: 79,58 SAR (-14,0 % sobre 92,55) · con la prima implícita del mercado: 90,52 (-2,2 %)</w:t>
      </w:r>
    </w:p>
    <w:p>
      <w:pPr>
        <w:spacing w:after="100"/>
      </w:pPr>
      <w:r>
        <w:t xml:space="preserve">solutions by stc es la mayor integradora de TI de Arabia Saudí: centros de datos, redes, nube, ciberseguridad, centros de contacto y aplicaciones para la Administración, su matriz stc (79 % del capital) y empresas privadas, con un margen EBITDA del 15-16 %, poco capital y caja neta [2, 12].</w:t>
      </w:r>
    </w:p>
    <w:p>
      <w:pPr>
        <w:spacing w:after="100"/>
      </w:pPr>
      <w:r>
        <w:t xml:space="preserve">El precio (92,55 SAR) ha caído un 29 % en un año y el PER a 13,4 veces el BPA de 2027e, frente a 17-26 veces en 2021-2025: la regla común da +24,8 % a 12 meses. El DCF (82,38 SAR) pesa la ruptura de la caja de 2025, la IA sobre las horas que vende y la dependencia de stc y del gasto público.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111,53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5,80 = 67,86 · 14,7x × 7,33 = 107,75 · 19,8x × 8,22 = 162,76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 / 20,7 %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127,30 (nuestro base -15,4 %)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79,58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 / -36,8 %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frente a 11,9 % y 10,6 %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90,52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79,58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79,58 y 128,37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128,37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79,58 SAR: pasaría a Comprar.</w:t>
      </w:r>
    </w:p>
    <w:p>
      <w:pPr>
        <w:pStyle w:val="ListParagraph"/>
        <w:numPr>
          <w:ilvl w:val="0"/>
          <w:numId w:val="2"/>
        </w:numPr>
        <w:spacing w:after="60"/>
      </w:pPr>
      <w:r>
        <w:t xml:space="preserve">Precio por encima de 128,37 SAR: pasaría a Vender.</w:t>
      </w:r>
    </w:p>
    <w:p>
      <w:pPr>
        <w:pStyle w:val="ListParagraph"/>
        <w:numPr>
          <w:ilvl w:val="0"/>
          <w:numId w:val="2"/>
        </w:numPr>
        <w:spacing w:after="60"/>
      </w:pPr>
      <w:r>
        <w:t xml:space="preserve">Flujo operativo de 2026 por encima del 90 % del beneficio: subiríamos el base.</w:t>
      </w:r>
    </w:p>
    <w:p>
      <w:pPr>
        <w:pStyle w:val="ListParagraph"/>
        <w:numPr>
          <w:ilvl w:val="0"/>
          <w:numId w:val="2"/>
        </w:numPr>
        <w:spacing w:after="60"/>
      </w:pPr>
      <w:r>
        <w:t xml:space="preserve">Servicios digitales y upsource a la baja otros dos trimestres: bajaríamos el margen.</w:t>
      </w:r>
    </w:p>
    <w:p>
      <w:pPr>
        <w:pStyle w:val="ListParagraph"/>
        <w:numPr>
          <w:ilvl w:val="0"/>
          <w:numId w:val="2"/>
        </w:numPr>
        <w:spacing w:after="60"/>
      </w:pPr>
      <w:r>
        <w:t xml:space="preserve">Cambios en regalías o precios con stc en contra de solutions: bajaríamos la nota de gobierno.</w:t>
      </w:r>
    </w:p>
    <w:p>
      <w:pPr>
        <w:pStyle w:val="Heading2"/>
      </w:pPr>
      <w:r>
        <w:t xml:space="preserve">Dónde discrepamos del mercado</w:t>
      </w:r>
    </w:p>
    <w:p>
      <w:pPr>
        <w:keepNext/>
        <w:spacing w:after="100"/>
      </w:pPr>
      <w:r>
        <w:rPr>
          <w:b/>
          <w:bCs/>
        </w:rPr>
        <w:t xml:space="preserve">Lo que descuenta el precio.</w:t>
      </w:r>
    </w:p>
    <w:p>
      <w:pPr>
        <w:spacing w:after="100"/>
      </w:pPr>
      <w:r>
        <w:t xml:space="preserve">Los analistas esperan un BPA de 7,95 SAR en 2028e (+10 % anual) y un objetivo de 127,30 SAR; el precio, en cambio, descuenta un crecimiento del 8,9 % anual con nuestro WACC [23].</w:t>
      </w:r>
    </w:p>
    <w:p>
      <w:pPr>
        <w:keepNext/>
        <w:spacing w:after="100"/>
      </w:pPr>
      <w:r>
        <w:rPr>
          <w:b/>
          <w:bCs/>
        </w:rPr>
        <w:t xml:space="preserve">Lo que creemos nosotros.</w:t>
      </w:r>
    </w:p>
    <w:p>
      <w:pPr>
        <w:spacing w:after="100"/>
      </w:pPr>
      <w:r>
        <w:t xml:space="preserve">Las ventas crecen con la infraestructura de IA y el sector privado, pero el margen baja algo por la mezcla y la IA, y el circulante no vuelve a ser negativo: un BPA un 8 % por debajo del consenso.</w:t>
      </w:r>
    </w:p>
    <w:p>
      <w:pPr>
        <w:keepNext/>
        <w:spacing w:after="100"/>
      </w:pPr>
      <w:r>
        <w:rPr>
          <w:b/>
          <w:bCs/>
        </w:rPr>
        <w:t xml:space="preserve">Por qué podemos tener razón.</w:t>
      </w:r>
    </w:p>
    <w:p>
      <w:pPr>
        <w:spacing w:after="100"/>
      </w:pPr>
      <w:r>
        <w:t xml:space="preserve">Servicios digitales −23 % en el 2T26, upsource estancada, margen bruto del 23,5 % al 21 % en dos años y flujo operativo negativo en 2025 [2, 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AR) · precio actual 92,5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Número 1 de la TI saudí</w:t>
      </w:r>
      <w:r>
        <w:t xml:space="preserve"> (22,7 % de cuota) con el canal de stc y homologaciones de ciberseguridad [15].</w:t>
      </w:r>
    </w:p>
    <w:p>
      <w:pPr>
        <w:pStyle w:val="ListParagraph"/>
        <w:numPr>
          <w:ilvl w:val="0"/>
          <w:numId w:val="2"/>
        </w:numPr>
        <w:spacing w:after="60"/>
      </w:pPr>
      <w:r>
        <w:rPr>
          <w:b/>
        </w:rPr>
        <w:t xml:space="preserve">Infraestructura de IA</w:t>
      </w:r>
      <w:r>
        <w:t xml:space="preserve">: contrato de supercomputación con Aramco (1.400 M SAR) y centro de datos de Center3 [8, 18].</w:t>
      </w:r>
    </w:p>
    <w:p>
      <w:pPr>
        <w:pStyle w:val="ListParagraph"/>
        <w:numPr>
          <w:ilvl w:val="0"/>
          <w:numId w:val="2"/>
        </w:numPr>
        <w:spacing w:after="60"/>
      </w:pPr>
      <w:r>
        <w:rPr>
          <w:b/>
        </w:rPr>
        <w:t xml:space="preserve">Poco capital</w:t>
      </w:r>
      <w:r>
        <w:t xml:space="preserve"> y caja neta de 693 M SAR [2, 3].</w:t>
      </w:r>
    </w:p>
    <w:p>
      <w:pPr>
        <w:pStyle w:val="ListParagraph"/>
        <w:numPr>
          <w:ilvl w:val="0"/>
          <w:numId w:val="2"/>
        </w:numPr>
        <w:spacing w:after="60"/>
      </w:pPr>
      <w:r>
        <w:rPr>
          <w:b/>
        </w:rPr>
        <w:t xml:space="preserve">PER de 13,4 veces</w:t>
      </w:r>
      <w:r>
        <w:t xml:space="preserve"> nuestro BPA de 2027e, el más bajo desde la salida a bolsa [17].</w:t>
      </w:r>
    </w:p>
    <w:p>
      <w:pPr>
        <w:pStyle w:val="ListParagraph"/>
        <w:numPr>
          <w:ilvl w:val="0"/>
          <w:numId w:val="2"/>
        </w:numPr>
        <w:spacing w:after="60"/>
      </w:pPr>
      <w:r>
        <w:rPr>
          <w:b/>
        </w:rPr>
        <w:t xml:space="preserve">2026 por encima del consenso</w:t>
      </w:r>
      <w:r>
        <w:t xml:space="preserve"> en los dos trimestres y guía reiterada [8, 9].</w:t>
      </w:r>
    </w:p>
    <w:p>
      <w:pPr>
        <w:pStyle w:val="Heading2"/>
      </w:pPr>
      <w:r>
        <w:t xml:space="preserve">En contra</w:t>
      </w:r>
    </w:p>
    <w:p>
      <w:pPr>
        <w:pStyle w:val="ListParagraph"/>
        <w:numPr>
          <w:ilvl w:val="0"/>
          <w:numId w:val="2"/>
        </w:numPr>
        <w:spacing w:after="60"/>
      </w:pPr>
      <w:r>
        <w:rPr>
          <w:b/>
        </w:rPr>
        <w:t xml:space="preserve">IA</w:t>
      </w:r>
      <w:r>
        <w:t xml:space="preserve">: servicios digitales −23 % en el 2T26 y centros de contacto estancados [8].</w:t>
      </w:r>
    </w:p>
    <w:p>
      <w:pPr>
        <w:pStyle w:val="ListParagraph"/>
        <w:numPr>
          <w:ilvl w:val="0"/>
          <w:numId w:val="2"/>
        </w:numPr>
        <w:spacing w:after="60"/>
      </w:pPr>
      <w:r>
        <w:rPr>
          <w:b/>
        </w:rPr>
        <w:t xml:space="preserve">stc</w:t>
      </w:r>
      <w:r>
        <w:t xml:space="preserve">: accionista, primer cliente y dueño de la marca; precios de transferencia y caja en stc Bank [1, 3].</w:t>
      </w:r>
    </w:p>
    <w:p>
      <w:pPr>
        <w:pStyle w:val="ListParagraph"/>
        <w:numPr>
          <w:ilvl w:val="0"/>
          <w:numId w:val="2"/>
        </w:numPr>
        <w:spacing w:after="60"/>
      </w:pPr>
      <w:r>
        <w:rPr>
          <w:b/>
        </w:rPr>
        <w:t xml:space="preserve">Gasto público a la baja</w:t>
      </w:r>
      <w:r>
        <w:t xml:space="preserve"> y cobros más lentos: flujo operativo negativo en 2025 [2, 16].</w:t>
      </w:r>
    </w:p>
    <w:p>
      <w:pPr>
        <w:pStyle w:val="ListParagraph"/>
        <w:numPr>
          <w:ilvl w:val="0"/>
          <w:numId w:val="2"/>
        </w:numPr>
        <w:spacing w:after="60"/>
      </w:pPr>
      <w:r>
        <w:rPr>
          <w:b/>
        </w:rPr>
        <w:t xml:space="preserve">Margen bruto a la baja</w:t>
      </w:r>
      <w:r>
        <w:t xml:space="preserve">: del 23,5 % (2023) al 21,0 % (2025) [2].</w:t>
      </w:r>
    </w:p>
    <w:p>
      <w:pPr>
        <w:pStyle w:val="ListParagraph"/>
        <w:numPr>
          <w:ilvl w:val="0"/>
          <w:numId w:val="2"/>
        </w:numPr>
        <w:spacing w:after="60"/>
      </w:pPr>
      <w:r>
        <w:rPr>
          <w:b/>
        </w:rPr>
        <w:t xml:space="preserve">Flotante del 20 %</w:t>
      </w:r>
      <w:r>
        <w:t xml:space="preserve"> y sin opa posible sin stc [12].</w:t>
      </w:r>
    </w:p>
    <w:p>
      <w:pPr>
        <w:pStyle w:val="Heading2"/>
      </w:pPr>
      <w:r>
        <w:t xml:space="preserve">Qué tiene que pasar para que la tesis funcione</w:t>
      </w:r>
    </w:p>
    <w:p>
      <w:pPr>
        <w:spacing w:after="100"/>
      </w:pPr>
      <w:r>
        <w:t xml:space="preserve">La tesis depende del margen y de la caja. La señal está en el margen bruto del grupo (21 % en 2025), en las ventas de servicios digitales y de upsource (las más expuestas a la IA) y en el flujo operativo frente al beneficio: si el margen bruto baja del 20 % con la caja atascada, el bajista gana peso; si el flujo vuelve al 90-100 % del beneficio, el DCF se queda corto.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e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servicios digitales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síntoma de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 beneficio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 61 %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público.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Deudas públicas de más de un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M SAR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cobro.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stc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sin sustituto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Dependencia de la matriz.</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 / 9,7x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 / 12,7x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solutions nace en 2002 en Riad como filial de stc (la antigua operadora pública de telecomunicaciones) para servicios de internet y datos a empresas [20]. Con los años absorbe el negocio de empresas de stc en TI: centros de datos, redes, nube, ciberseguridad y servicios gestionados. stc la sacó a bolsa en septiembre de 2021 vendiendo el 20 % (a 151 SAR por acción, 75,5 SAR en la base actual) y mantiene el 79 % [12, 20]. Después compró Giza Systems en Egipto (2022, hoy «pulse»), Contact Center Company (2023, hoy «upsource») y el 40 % de Devoteam Middle East (2024) [1, 6, 7]. En 2026 firmó con Aramco un contrato de supercomputación de 1.400 M SAR y aprobó una ampliación gratuita 1×1 [8,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Fundada como sociedad limitada en Riad (registro de enero de 2003), filial de stc para servicios de internet y datos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sociedad anónima con un capital de 1.200 M SAR [A1 en 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del 20 % a 151 SAR por acción (sep-2021); stc mantiene el 79 %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Giza Systems (Egipto), primer paso fuera del país [A7 en 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Contact Center Company (hoy upsource) por 513,7 M [A6 en 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40 % de Devoteam Middle East y venta del canal AVL (plusvalía de 68,3 M) [A1, A5 en 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 de 1.400 M con Aramco en supercomputación; Giza pasa a llamarse pulse; ampliación gratuita 1×1 aprobada el 6-oct [8, A13 en A].</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solutions es la mayor integradora de servicios informáticos de Arabia Saudí: diseña, instala y opera la infraestructura tecnológica de la Administración, de las grandes empresas y de su propia matriz, stc [12, 15]. En 2025 facturó 12.730 M SAR en tres líneas: infraestructura TIC (centros de datos, redes, nube y ciberseguridad, con mucho hardware y software de terceros) 6.389 M (50 %), servicios gestionados y operativos (externalización de TI y centros de contacto de upsource) 4.359 M (34 %) y servicios digitales (desarrollo de aplicaciones y plataformas) 1.983 M (16 %) [2]. Vende el 94 % en Arabia Saudí; el resto, sobre todo en Egipto y el norte de África por pulse (antigua Giza) [1].</w:t>
      </w:r>
    </w:p>
    <w:p>
      <w:pPr>
        <w:pStyle w:val="Heading2"/>
      </w:pPr>
      <w:r>
        <w:t xml:space="preserve">Cómo gana dinero</w:t>
      </w:r>
    </w:p>
    <w:p>
      <w:pPr>
        <w:spacing w:after="100"/>
      </w:pPr>
      <w:r>
        <w:t xml:space="preserve">Gana un margen sobre proyectos y contratos de servicio. En infraestructura revende equipos y licencias de terceros (Cisco, Microsoft, Oracle, NVIDIA) con su trabajo de diseño e instalación, de margen bajo; en servicios gestionados cobra cuotas plurianuales por operar sistemas y centros de contacto; en digital vende horas de desarrollo [8, 12]. El margen bruto del grupo bajó del 23,5 % en 2023 al 21,0 % en 2025 por la mezcla (más reventa y proyectos grandes) y la competencia; el margen EBITDA fue del 15,1 % en 2023, 16,1 % en 2024 y 15,6 % en 2025 [2]. Paga a stc regalías por usar su marca; en el 1T26 se cambió su definición con efecto retroactivo desde 2022 y se revirtieron 63 M a favor de solutions [4]. La cartera de pedidos es de 14.500 M (≈ 1,1 años de ventas) [11].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 ICT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 Managed &amp; Operational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Digital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 ICT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 Managed &amp; Operational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Digital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Tres clientes tipo en el 1S26: la Administración y entidades públicas (41 % de las ventas, +6 %), stc como cliente final (32 %) y el sector privado (26 %, +21 %, el que más crece) [8]. Contando lo que factura a través de stc, las ventas a stc y sus filiales fueron de 6.673 M y 423,6 M en 2025 (el 56 % de las ventas), de las que ≈ 3.000 M son de clientes finales de stc (stc actúa de canal) [1]. Hay grandes contratos individuales: Aramco (1.400 M en supercomputación), Center3 (centro de datos de Dammam, 364 M) y STC Bank (190 M) [8, 18, 22]. Poder de negociación: alto del lado de la Administración, que licita, y de stc, que fija precios de transferencia y regalías como accionista de control.</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consolidada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 M SAR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 veces las ventas de los últimos doce meses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stc en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stc como cliente final; además ≈ 3.000 M al año se facturan a través de stc sin que sea el cliente final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sector público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6 % en el 1S26, más lento en el 2T26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sector privado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que más crece: +21 % en el 1S26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cobro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días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120,7 días al cierre de 2025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de la matriz</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1.463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3.126 personas; el grueso del coste directo es de proveedores y subcontratas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servicios de TI de Arabia Saudí: 12.090 M USD (≈ 45.300 M SAR) en 2025 y un 6,91 % anual hasta 2034 según IMARC [14]. IDC, que usa la empresa, mide un gasto en TI mayor y prevé un 9,1-10,1 % anual en 2025-2028, y le da a solutions el 22,7 % de cuota, el primer puesto [12, 15]. Con IMARC, las ventas de solutions serían el 28 % del mercado: el perímetro de IMARC no recoge todo el hardware y las licencias que solutions revende, así que es una medida aproximada.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45.300 M SAR (12.090 M USD) en servicios de TI de Arabia Saudí en 2025 según IMARC [14]; IDC prevé un crecimiento del gasto en TI del 9,1-10,1 % anual en 2025-2028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 madura</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SAR (servicios de TI, IMARC; 1 USD = 3,75 SA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Ciclo</w:t>
      </w:r>
    </w:p>
    <w:p>
      <w:pPr>
        <w:spacing w:after="100"/>
      </w:pPr>
      <w:r>
        <w:t xml:space="preserve">La inversión tecnológica saudí lleva una década en expansión con la Visión 2030, y ahora vive dos fuerzas opuestas. Frena el gasto público: el Estado tiene déficit y su gasto baja del 29,2 % del PIB al 25,7 % en 2027e, con prioridades nuevas; la línea digital de solutions cayó un 23 % en el 2T26 y las ventas a la Administración solo crecieron un 6 % en el 1S26 [8, 16]. Empuja la inversión en centros de datos e IA (Aramco, Humain, Center3) y el sector privado (+21 %) [8, 18]. Señales: adjudicaciones públicas, ventas al sector privado y días de cobro.</w:t>
      </w:r>
    </w:p>
    <w:p>
      <w:pPr>
        <w:pStyle w:val="Heading2"/>
      </w:pPr>
      <w:r>
        <w:t xml:space="preserve">Regulación</w:t>
      </w:r>
    </w:p>
    <w:p>
      <w:pPr>
        <w:spacing w:after="100"/>
      </w:pPr>
      <w:r>
        <w:t xml:space="preserve">La Comisión de Comunicaciones, Espacio y Tecnología (CST) licencia los servicios de TI y comunicaciones; la Autoridad Nacional de Ciberseguridad fija controles obligatorios que exigen proveedores locales homologados, una barrera de entrada a favor de solutions [1, 12]. La ley de protección de datos personales y las reglas de residencia de datos empujan a alojar la nube en el país (centros de datos locales) [12]. Las operaciones con stc son vinculadas: las aprueba la junta, donde stc no vota, salvo los contratos de la actividad ordinaria [1, 12]. La saudización del empleo encarece la plantilla.</w:t>
      </w:r>
    </w:p>
    <w:p>
      <w:pPr>
        <w:pStyle w:val="Heading2"/>
      </w:pPr>
      <w:r>
        <w:t xml:space="preserve">Tendencias y disrupción</w:t>
      </w:r>
    </w:p>
    <w:p>
      <w:pPr>
        <w:spacing w:after="100"/>
      </w:pPr>
      <w:r>
        <w:t xml:space="preserve">A favor: inversión en centros de datos, nube soberana e IA (contrato de supercomputación con Aramco, centro de datos de Center3), ciberseguridad obligatoria y sector privado en crecimiento [8, 18]. En contra: menos gasto público y la IA generativa, que abarata el desarrollo de software y la atención al cliente (centros de contacto de upsource) y empuja a los clientes a pedir más por menos [8, 16]. La nube pública de los hiperescaladores (Microsoft, Google, Oracle con regiones en el país) desplaza parte de la infraestructura propia de los clientes.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servicios de TI de Arabia Saudí según IDC (22,7 % de cuota) [15,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7203.SR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de la Administración (PIF, 67 %); compró Thiqah en 2025 y compite en proyectos y externalización.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 Moammar Information Systems (MIS)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7200.SR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Integrador local de redes y centros de datos; ventas casi duplicadas en un año.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Perfect Presentation (2P)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7204.SR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Externalización, centros de contacto y desarrollo; rival directo de upsource.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Cognizant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CTSH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TI globales con presencia en el Golfo.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Integrador y consultor global; compite en grandes proyectos públicos y de energía.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Infosys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Servicios de TI con oficinas en Riad; referencia de margen del modelo offshore.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proyectos: más clientes no abaratan ni mejoran el servicio a los demás.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gestionados y externalización plurianuales (33 % de las ventas) y una cartera de 14.500 M ≈ 1,1 años de ventas [A11 en A]; los proyectos se vuelven a licitar.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stc (con regalías a la matriz), licencia de gobierno digital GB24121502 y homologaciones de ciberseguridad; &gt; 75 % de éxito en concursos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15,6 % frente al 23 % de Elm y al 13 % de Capgemini; el margen bruto bajó del 23,5 % (2023) al 21,0 % (2025): sin ventaja clara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integrador del país (22,7 % de cuota) con la red y los clientes de stc: canal cautivo de ≈ 7.100 M al año [3, A1 en A].</w:t>
            </w:r>
          </w:p>
        </w:tc>
      </w:tr>
    </w:tbl>
    <w:p>
      <w:pPr>
        <w:spacing w:after="160" w:before="0"/>
      </w:pPr>
    </w:p>
    <w:p>
      <w:pPr>
        <w:pStyle w:val="Heading2"/>
      </w:pPr>
      <w:r>
        <w:t xml:space="preserve">Amenazas</w:t>
      </w:r>
    </w:p>
    <w:p>
      <w:pPr>
        <w:spacing w:after="100"/>
      </w:pPr>
      <w:r>
        <w:t xml:space="preserve">La primera amenaza es la IA: agentes que atienden clientes y escriben código reducen las horas que vende solutions en centros de contacto (upsource, 2.757 M SAR en 2025 antes de eliminaciones) y desarrollo (servicios digitales, 1.983 M), y la presión de precios llega antes que la sustitución; la veo probable en tres años (60 %) con efecto gradual [2, 8]. La segunda, el cliente: stc puede apretar precios de transferencia y regalías, y la Administración recorta y licita a la baja [1, 16]. La tercera, los rivales: Elm (con Thiqah) en proyectos públicos, Perfect Presentation en externalización, Al Moammar en redes y los integradores globales (Capgemini, Accenture, IBM) y los hiperescaladores en nube [17].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r>
    </w:tbl>
    <w:p>
      <w:pPr>
        <w:spacing w:after="160" w:before="0"/>
      </w:pPr>
    </w:p>
    <w:p>
      <w:pPr>
        <w:spacing w:after="100"/>
      </w:pPr>
      <w:r>
        <w:t xml:space="preserve">Crecimiento anual compuesto 2021-2025: ingresos </w:t>
      </w:r>
      <w:r>
        <w:rPr>
          <w:b/>
          <w:bCs/>
        </w:rPr>
        <w:t xml:space="preserve">15,3 %</w:t>
      </w:r>
      <w:r>
        <w:t xml:space="preserve">, EBITDA </w:t>
      </w:r>
      <w:r>
        <w:rPr>
          <w:b/>
          <w:bCs/>
        </w:rPr>
        <w:t xml:space="preserve">15,8 %</w:t>
      </w:r>
      <w:r>
        <w:t xml:space="preserve">, BPA </w:t>
      </w:r>
      <w:r>
        <w:rPr>
          <w:b/>
          <w:bCs/>
        </w:rPr>
        <w:t xml:space="preserve">15,9 %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SA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7.208 M SAR en 2021 a 12.730 M en 2025 (+15 % anual, con Giza desde el 4T22 y Contact Center desde el 2T23), pero el crecimiento frena: +25 % en 2023, +9,3 % en 2024 y +5,5 % en 2025 [2]. El margen EBITDA subió del 15,4 % en 2021 al 16,1 % en 2024 y bajó al 15,6 % en 2025; el margen bruto, del 23,5 % (2023) al 21,0 % (2025) [2]. El beneficio pasó de 833 a 1.597 M en 2021-2024 y cayó al 1.503 M en 2025 (−5,9 %) [2]. En 2026 hay recuperación: ventas del 1S26 de 6.243 M (+9 %) y EBITDA de 1.089 M (17,4 %), con el 2T26 por encima del consenso (beneficio de 453 M frente a 418 M) [3, 8].</w:t>
      </w:r>
    </w:p>
    <w:p>
      <w:pPr>
        <w:pStyle w:val="Heading2"/>
      </w:pPr>
      <w:r>
        <w:t xml:space="preserve">Ajustes y partidas no recurrentes</w:t>
      </w:r>
    </w:p>
    <w:p>
      <w:pPr>
        <w:spacing w:after="100"/>
      </w:pPr>
      <w:r>
        <w:t xml:space="preserve">Uso cifras publicadas, con tres partidas atípicas: en 2024, la reversión de 104 M SAR de provisiones de zakat y la plusvalía de 68,3 M por la venta del negocio AVL, frente a 73,6 M de gasto por prejubilaciones (el beneficio de 2024 está algo inflado, ≈ +100 M) [5]; en el 1T26, la reversión de 63 M de regalías de marca a stc por el cambio retroactivo del contrato, que sube el EBITDA del 1S26 (sin ella, 16,4 %) y que el motor devuelve en los últimos doce meses [4]. Desde 2026 la nueva definición de regalías ahorra cada año una cantidad no publicada [9].</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los resultados del 1S26 (29-jul-2026) la empresa reiteró la guía de 2026: ventas +6-8 %, margen EBITDA del 14-16 % y capex del 2-3 % de las ventas [11, 15]. Destacó la cartera de pedidos (14.500 M SAR), el contrato de supercomputación con Aramco (1.400 M), el crecimiento de pulse (+58 % en el 2T26) y del sector privado (+21 % en el semestre) [8, 11]. Lo que no se aclaró: por qué los servicios digitales cayeron un 23 % en el 2T26 y por qué upsource no crece (+0 % en el semestre), las dos líneas más expuestas a la IA [8]. Para el 3T26 (hacia el 28-oct), Ubhar espera un beneficio de 431,5 M (+4 %), Riyad Capital 419 M (+1 %) y ANB Capital 468,7 M (+12 %) [29, 30, 31].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Giza Systems (Egipto y Arabia Saudí) consolidada desde octubre de 2022 (491,9 M de precio): 2022 lleva un trimestre y 2023 el año entero.; 2023: Contact Center Company (hoy upsource) consolidada desde el 3-abr-2023 (513,7 M): nueve meses en 2023.).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Balance con caja neta: a 30-jun-2026, 1.566 M SAR de caja y murabahas frente a 873 M de préstamos bancarios (vencen 263 M en 2026 y 500 M en 2027) y ≈ 347 M de arrendamientos [2, 3]. La caja bajó de 3.702 M a fin de 2024 a 2.119 M a fin de 2025 por el circulante y el dividendo (1.190 M pagados) [2]. Además, 801,6 M de la caja están depositados en stc Bank, sociedad del grupo [3]. El punto delicado es el cobro: clientes de 4.660 M y activos de contrato de 2.970 M a fin de 2025 (el 60 % de las ventas); las deudas de la Administración con más de un año de antigüedad subieron a 380,4 M (289,5 M en 2024) y la provisión total por insolvencias es de 381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5.362</w:t>
      </w:r>
      <w:r>
        <w:t xml:space="preserve">, conversión </w:t>
      </w:r>
      <w:r>
        <w:rPr>
          <w:b/>
          <w:bCs/>
        </w:rPr>
        <w:t xml:space="preserve">87 %</w:t>
      </w:r>
      <w:r>
        <w:t xml:space="preserve"> del beneficio neto; adquisiciones 1.100, dividendos 3.375, recompras 181.</w:t>
      </w:r>
    </w:p>
    <w:p>
      <w:pPr>
        <w:spacing w:after="100"/>
      </w:pPr>
      <w:r>
        <w:t xml:space="preserve">La conversión de beneficio en caja se ha roto: el flujo operativo fue del 168 % del beneficio en 2021, 202 % en 2022, 144 % en 2023, 95 % en 2024 y −7 % en 2025 (−100,7 M SAR), porque clientes y activos de contrato subieron 1.622 M en el año y los cobros por adelantado bajaron [2]. El flujo libre de 2025 fue de −364 M; en los últimos doce meses, con el 1S26 (flujo libre de 315 M), es de 833 M [2, 3]. El capex es bajo (1,5-2,1 % de las ventas en 2024-2025; guía del 2-3 %) [2, 11]. Usos: 1.190 M de dividendos en 2025 (con 2 SAR extraordinarios en la base antigua) y compras por ≈ 1.100 M en 2022-2024 [1,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and Touche &amp; Co. (2025, primer año; antes Ernst &amp; Young)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−1,78: perfil compatible con manipulación de beneficios; revisar a fondo.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sin salvedades: Ernst &amp; Young auditó hasta 2024 y Deloitte desde 2025 (primer año) [1]. Las partidas que más cuidado piden son el reconocimiento de ingresos de proyectos (activos de contrato de 2.970 M SAR, +32 % en 2025) y el cobro de la Administración, para la que la empresa estima la pérdida caso a caso y no con una matriz [1]. Los cambios contables a favor de la matriz o de la filial merecen atención: el cambio retroactivo del contrato de regalías con stc (63 M) lo decidieron las dos partes del mismo grupo [4]. Indicadores del motor en la tabla: Altman Z, Piotroski F y Beneish M.</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 de la Administración cada vez más lentos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negativo en 2025 (−100,7 M SAR); deudas públicas de más de un año de 380,4 M (289,5 M en 2024); días de cobro de 120,7 a fin de 2025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con la matriz</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56 % de las ventas pasa por stc y sus filiales; regalías de marca redefinidas con efecto retroactivo; 801,6 M de la caja en stc Bank [1,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en 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Reversión de zakat de 104 M y plusvalía AVL de 68,3 M en 2024; reversión de regalías de 63 M en el 1T26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Deloitte sustituye a Ernst &amp; Young en 2025 por rotación; opinión sin salvedades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293 M en 2025 (el 13 % del capital invertido medio); ha subido más de un 5 % en 1 de 4 años: compra única grande. ROIC publicado 66,1 %; sin fondo de comercio, 75,7 %.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43,6 % · </w:t>
      </w:r>
      <w:r>
        <w:rPr>
          <w:b/>
          <w:bCs/>
        </w:rPr>
        <w:t xml:space="preserve">WACC</w:t>
      </w:r>
      <w:r>
        <w:t xml:space="preserve">: 11,9 %.</w:t>
      </w:r>
    </w:p>
    <w:p>
      <w:pPr>
        <w:spacing w:after="100"/>
      </w:pPr>
      <w:r>
        <w:t xml:space="preserve">El ROIC es alto porque el negocio necesita poco capital: capex del 1,5-2 % de las ventas y, hasta 2024, un circulante negativo (los clientes pagaban por adelantado y los proveedores cobraban a plazo) [2]. En 2025 el circulante pasó a ser positivo (≈ 12 % de las ventas) y el ROIC bajó, aunque sigue muy por encima del WACC del motor (11,9 %). El ROE fue del 36 % en 2025 [2]. La rentabilidad no viene de un margen alto (15,6 % de EBITDA, menos que Elm o Infosys) sino de la rotación: cada riyal de capital mueve muchas ventas, buena parte de reventa [17]. El riesgo para el ROIC es el circulante: si la Administración sigue pagando tarde, el capital crece más que el beneficio.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1.496,5 M + murabahas 70 M a 30-jun-2026 (801,6 M de la caja en stc Bank, vinculada); líneas islámicas de 2.000 M con bancos locales, de las que 1.500 M son para avales y circulante, y 500 M de Contact Centre Company sin disponer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Indemnizaciones por cese de los empleados (obligación legal saudí) de 734,2 M SAR a 30-jun-2026, que trato como deuda en el puente [3]. Pasivos de contrato (cobros por adelantado) de 2.199 M a fin de 2025, frente a 3.754 M en 2022: los clientes adelantan cada vez menos [2]. Proveedores de 4.331 M (la reventa de hardware se paga a plazo) [2]. Sin dividendo pendiente a la fecha del puente: el de 2025 se pagó en junio de 2026 [21].</w:t>
      </w:r>
    </w:p>
    <w:p>
      <w:pPr>
        <w:pStyle w:val="Heading1"/>
      </w:pPr>
      <w:r>
        <w:t xml:space="preserve">12. Asignación de capital</w:t>
      </w:r>
    </w:p>
    <w:p>
      <w:pPr>
        <w:pStyle w:val="Confianza"/>
        <w:spacing w:after="100"/>
      </w:pPr>
      <w:r>
        <w:t xml:space="preserve">Confianza: Alta</w:t>
      </w:r>
    </w:p>
    <w:p>
      <w:pPr>
        <w:spacing w:after="100"/>
      </w:pPr>
      <w:r>
        <w:t xml:space="preserve">La política de dividendos de la empresa no compromete un porcentaje fijo; en la práctica ha repartido entre el 50 % y el 75 % del beneficio: en la base nueva de acciones, 3 SAR con cargo a 2023, 5 SAR con cargo a 2024 (4 ordinarios y 1 extraordinario; 10 en la base antigua) y 4 SAR con cargo a 2025 (8 en la base antigua, 952,6 M, el 63 % del beneficio), pagado en junio de 2026 [12, 21]. Sin recompras salvo las del plan de acciones de empleados (181 M en 2021) [2]. La estrategia prioriza crecer en infraestructura digital e IA, el sector privado y la región del Golfo; pulse estudia salir a bolsa hacia 2028 [12,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Giza Systems (Egipto; integración de sistemas) y Giza Arabia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préstamo de 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Rebautizada «pulse by solutions» en 2026; ventas de 2.639 M y beneficio de 112 M en 2025; sin deterioros; la devaluación de la libra egipcia restó fondo de comercio y genera pérdidas de cambio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Contact Center Company (hoy upsource; centros de contacto y BPO)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2.757 M en 2025 (con 1.455 M de eliminaciones de grupo); estancada en el 1S26 (+0 %)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40 % de Devoteam Middle East (consultoría TI, Emiratos)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Participada: 11,7 M de resultado en 2025 y 346,1 M de valor en libros; pago contingente revaluado (3,3 M de gasto)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LABS (por Giza Arabia)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12,4 M [1].</w:t>
            </w:r>
          </w:p>
        </w:tc>
      </w:tr>
    </w:tbl>
    <w:p>
      <w:pPr>
        <w:spacing w:after="160" w:before="0"/>
      </w:pPr>
    </w:p>
    <w:p>
      <w:pPr>
        <w:spacing w:after="100"/>
      </w:pPr>
      <w:r>
        <w:t xml:space="preserve">La asignación de capital es razonable pero no brillante. Las compras de Giza (491,9 M SAR) y Contact Center (513,7 M) añadieron ventas, pero Giza trajo el riesgo de la libra egipcia y Contact Center es hoy el negocio más expuesto a la IA y está estancado (+0 % en el 1S26) [1, 8]. La caja se ha usado en dividendos crecientes, no en recompras. La caja depositada en stc Bank (801,6 M) es una decisión de grupo más que del minoritario [3]. La ampliación gratuita de octubre de 2026 no crea valor: solo aumenta el número de acciones y la liquidez [13].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Omer Abdullah Alnomany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 TI de stc de 2010 a 2018 y 23 años en el grupo stc [20]. Con él las ventas pasaron de 5.257 M (2019) a 12.730 M (2025) y la empresa salió a bolsa; poseía 17.294 acciones a fin de 2025 (9.809 un año antes)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Abdulrahman Hamad Alrubaia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vicepresidente del área financiera de stc y consejero de stc Kuwait y stc bank; 5.344 acciones a fin de 2025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Riyadh Saeed Muawad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propuesto por stc)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además la comisión ejecutiva y la de inversiones [13].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Saleh Abdullah Alzahrani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vicepresidente de entrega de soluciones en la propia empresa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Yousef Abdulrahman AlMarshad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director general de ventas a la Administración; consejero de Devoteam Middle East [12].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+19-22 %; margen EBITDA 13-15 %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+25 %; margen 15,1 %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+8-11 %; margen EBITDA 13-15 %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+9,3 %; margen 16,1 %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+8-10 %; margen EBITDA 14-16 %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+5,5 %; margen 15,6 %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+6-8 %; margen EBITDA 14-16 %; capex 2-3 % (reiterada el 29-jul)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+9 %; margen 17,4 % (con 63 M de regalías revertidas)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de stc: el consejero delegado, Omer Alnomany, dirige la empresa desde 2017 y antes fue vicepresidente de TI de stc; con él las ventas pasaron de 5.257 M SAR (2019) a 12.730 M (2025) y la empresa salió a bolsa [12, 20]. El director financiero, Abdulrahman Alrubaia, también viene de stc [12]. Cumplimiento de la guía: en 2023 y 2024 se cumplió con holgura; en 2025 las ventas crecieron un 5,5 %, por debajo de la guía (8-10 %), con el margen dentro; en 2026 el 1S26 va por encima en ventas (+9 %) y margen [8, 15]. Los directivos tienen participaciones simbólicas (el consejero delegado, 17.294 acciones de la base antigua a fin de 2025, del plan de incentivos) [12].</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Riyadh Saeed Muawad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 inversiones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Mohammed Abdullah AlAbbadi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Motaz Ali Alangari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Mathad Faisal AlAjmi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 Abdullah Alharbi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Tariq Saud Al-Huzaimi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Abdullatif Ali Al-Seif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Fahad Suliman Abalkhail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Fahad Adnan Al Mansour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Saudi Telecom Company (stc)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(sociedad cotizada participada por el PIF)</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la salida a bolsa de 2021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 (plan de incentivos de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959.148 acciones antes de la gratuita (1.000.415 un año antes)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Flotante (instituciones locales y extranjeras, particulares)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Instituciones 12,6 %, particulares 7,6 %; extranjeros 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cinco primeros directivos (consejero delegado y director financiero incluidos) cobraron 33,5 M SAR en 2025; la empresa no desglosa la del consejero delegado, y la norma saudí no lo exige [12]. El variable se liga a objetivos anuales y a un plan de acciones, sin métricas de rentabilidad sobre el capital publicadas [12]. El 6-oct-2026 la junta aprobó una nueva política de remuneración del consejo y la alta dirección, al alza por estar «por debajo de la media del mercado», con el 99,94 % a favor (asistencia del 83,85 %, casi todo stc) [13].</w:t>
      </w:r>
    </w:p>
    <w:p>
      <w:pPr>
        <w:pStyle w:val="Heading2"/>
      </w:pPr>
      <w:r>
        <w:t xml:space="preserve">Operaciones vinculadas, estructura de control y defensas</w:t>
      </w:r>
    </w:p>
    <w:p>
      <w:pPr>
        <w:spacing w:after="100"/>
      </w:pPr>
      <w:r>
        <w:t xml:space="preserve">stc controla el 79 % y decide: propone a seis de los nueve consejeros y al presidente, Riyadh Muawad [12]. Hay tres independientes; uno preside la comisión de auditoría [12]. El flotante es del 20,2 % y la autocartera del 0,8 % [12]. Una acción, un voto, sin blindajes; pero no habrá opa sin stc, a su vez controlada por el PIF. Las operaciones con stc, Center3, STC Bank y otras filiales del grupo son continuas: la junta las aprueba sin el voto de stc salvo las ordinarias [1, 22].</w:t>
      </w:r>
    </w:p>
    <w:p>
      <w:pPr>
        <w:pStyle w:val="Heading2"/>
      </w:pPr>
      <w:r>
        <w:t xml:space="preserve">Señales de alerta</w:t>
      </w:r>
    </w:p>
    <w:p>
      <w:pPr>
        <w:pStyle w:val="ListParagraph"/>
        <w:numPr>
          <w:ilvl w:val="0"/>
          <w:numId w:val="2"/>
        </w:numPr>
        <w:spacing w:after="60"/>
      </w:pPr>
      <w:r>
        <w:t xml:space="preserve">Accionista de control (stc, 79 %) que es además el primer cliente (32 % de las ventas como cliente final; 56 % con lo que factura a través de stc) y cobra regalías de marca [1, 8].</w:t>
      </w:r>
    </w:p>
    <w:p>
      <w:pPr>
        <w:pStyle w:val="ListParagraph"/>
        <w:numPr>
          <w:ilvl w:val="0"/>
          <w:numId w:val="2"/>
        </w:numPr>
        <w:spacing w:after="60"/>
      </w:pPr>
      <w:r>
        <w:t xml:space="preserve">Regalías de marca redefinidas con efecto retroactivo y 801,6 M de la caja en stc Bank: decisiones entre partes vinculadas [3, 4].</w:t>
      </w:r>
    </w:p>
    <w:p>
      <w:pPr>
        <w:pStyle w:val="ListParagraph"/>
        <w:numPr>
          <w:ilvl w:val="0"/>
          <w:numId w:val="2"/>
        </w:numPr>
        <w:spacing w:after="60"/>
      </w:pPr>
      <w:r>
        <w:t xml:space="preserve">No se desglosa la remuneración del consejero delegado y la nueva política sube la del consejo y la dirección [12, 13].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(dada con los resultados de 2025 y reiterada el 29-jul): ventas +6-8 %, margen EBITDA del 14-16 % y capex del 2-3 % de las ventas [11, 15]. Con el 1S26 (ventas +9 %, margen del 17,4 % con la reversión de regalías) va por encima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15.656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104,60 – 161,00</w:t>
            </w:r>
          </w:p>
        </w:tc>
      </w:tr>
    </w:tbl>
    <w:p>
      <w:pPr>
        <w:spacing w:after="160" w:before="0"/>
      </w:pPr>
    </w:p>
    <w:p>
      <w:pPr>
        <w:pStyle w:val="Heading2"/>
      </w:pPr>
      <w:r>
        <w:t xml:space="preserve">Revisiones de estimaciones</w:t>
      </w:r>
    </w:p>
    <w:p>
      <w:pPr>
        <w:spacing w:after="100"/>
      </w:pPr>
      <w:r>
        <w:t xml:space="preserve">Catorce analistas en MarketScreener, con objetivo medio de 127,30 SAR (104,60-161,00, ya en la base nueva) y recomendación media de «Comprar» [23]. Las cuatro últimas notas en Argaam son de compra [24]. Para el 3T26 las previsiones van de un beneficio plano (Riyad Capital, +1 %) a +12 % (ANB Capital) [29, 30, 31]. El consenso de BPA (6,68 / 7,45 / 7,95 SAR en 2026-2028e) supone un crecimiento del beneficio del 10 % anual, por encima de lo que ha hecho la empresa en 2024-2026 [23].</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cerró a 92,55 SAR el 20-oct-2026, un 25,3 % menos que hace un año con dividendos (el ETF del mercado saudí, −12,9 %; el de software de EE. UU., −6,8 %) y un 53 % menos que el máximo de marzo de 2024; en cinco años apenas ha ganado un 0,6 % anual [17]. Subió un 31 % en 2022 y un 47 % en 2023, y cayó un 21 % en 2024 y un 14 % en 2025 [17]. Volatilidad del 29 %, caída máxima del 53,7 % (mar-2024 a mar-2026) y beta mensual de cinco años de 1,12 frente al mercado saudí (semanal de dos años 1,04) [17]. Liquidez de ≈ 38 M SAR al día [17].</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 / -9,3 % / -17,4 % / -28,6 %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-29,4 % / +6,7 %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 a 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131,5 SAR (27-oct-2025) a 85,05 SAR (2-mar-2026): 3T25 por debajo del consenso (28-oct-2025) [10]; −8 % el 16-feb-2026 con unas ventas del 4T25 por debajo de lo esperado y un beneficio del 4T25 de 278 M (−15 %) [2, 33]; caída del software mundial por el miedo a la IA en febrero; −6,4 % el 1-mar con los ataques de EE. UU. e Israel contra Irán (mercado −2,2 %)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tesis</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Recogido en el caso base: crecimiento por debajo del mercado, margen a la baja y riesgo de IA en digital y upsource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con la propuesta de ampliación gratuita 1×1 (13-abr) y unos resultados del 1T26 por encima del consenso (27-abr), con la reversión de 63 M de regalías [4, 9,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112,5 SAR (17-sep) a 92,55 sin noticia propia: caída de todo el mercado saudí y del sector (ETF KSA −7,5 %, Elm −13,5 %, Perfect Presentation −21,6 %, stc −5,4 %; el TASI perdió un 1,7 % el 20-oct) [17, 24]. La gratuita (efectiva el 8-oct) no cambia el valor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Previsiones del 3T26: Ubhar 431,5 M SAR de beneficio (+4 %), Riyad Capital 419 M (+1 %) y ANB Capital 468,7 M (+12,3 %) [29, 30,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aprueba la ampliación gratuita 1×1 (de 120 a 240 M de acciones) y una nueva política de remuneración del consejo y la dirección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mensajería gestionada con STC Bank (190 M SAR), operación vinculada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reparto de ingresos para desarrollar la plataforma Madares del Ministerio de Educación (cinco años)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364 M SAR con Center3 (filial de stc) para construir el centro de datos de Dammam; impacto desde el 1T27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ventas +9 %, beneficio +2 %, 2T26 por encima del consenso; servicios digitales −23 % en el 2T26; guía reiterada [8,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(antigua Giza) estudia salir a bolsa en el Golfo hacia 2028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 un año (−28,6 %) tiene dos partes. La de oct-2025 a mar-2026 fue propia (dos trimestres por debajo del consenso, beneficio de 2025 −6 %, flujo operativo negativo) y de sector (el castigo a los servicios de TI por la IA): cambió la tesis y este informe ya la recoge con un crecimiento por debajo del mercado, márgenes a la baja y la IA en el bajista. La del último mes (−17,7 % desde el 17-sep) es del mercado saudí y del sector, sin noticia propia: los dos trimestres de 2026 han ido por encima del consenso. Por eso el veredicto de hoy es «no cambia». Los resultados del 3T26 (hacia el 28-oct) son el próximo hecho; no retrasan la decisión.</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 historia de múltiplos es de cinco años (cotiza desde diciembre de 2021). Con el beneficio del año siguiente, solutions cotizó entre 17 y 26 veces (mediana de ≈ 21,6), en años de crecimiento del 9-25 % [2, 17]. Hoy cotiza a ≈ 13 veces nuestro BPA de 2027e: el mercado ya no paga el crecimiento de 2022-2023 y descuenta márgenes a la baja, menos gasto público y el riesgo de la IA. Ningún año excluido: 2024 tiene un beneficio algo inflado (≈ +100 M por zakat y plusvalía) que deja el PER de 2023 en 26,3 veces en lugar de ≈ 28; no cambia la mediana. La mediana histórica no es una referencia de vuelta: la regla común solo deja subir el PER un 10 %.</w:t>
      </w:r>
    </w:p>
    <w:p>
      <w:pPr>
        <w:pStyle w:val="Heading1"/>
      </w:pPr>
      <w:r>
        <w:t xml:space="preserve">18. Comparables cotizados</w:t>
      </w:r>
    </w:p>
    <w:p>
      <w:pPr>
        <w:pStyle w:val="Confianza"/>
        <w:spacing w:after="100"/>
      </w:pPr>
      <w:r>
        <w:t xml:space="preserve">Confianza: Media</w:t>
      </w:r>
    </w:p>
    <w:p>
      <w:pPr>
        <w:spacing w:after="100"/>
      </w:pPr>
      <w:r>
        <w:t xml:space="preserve">Dos grupos con datos del mismo día: servicios de TI saudíes (Elm y Perfect Presentation; Al Moammar fuera, con un PER de 99 veces sin previsiones) y servicios de TI globales (Infosys, Cognizant, Capgemini y Sopra Steria) [25]. Fuera: Wipro, HCL y TCS, con divisas mezcladas en Yahoo. Elm es el más parecido en clientes (Estado saudí), pero tiene un modelo de tasas por trámite de mucho más margen; Capgemini y Sopra son los más parecidos en el negocio de integración y proyectos.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Perfect Presentation (2P)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Infosys (ADR)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Cognizant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Sopra Steria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10,3x / 15,6x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 / 10,1x / 14,1x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 / 1,6x / 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solutions tiene un margen EBITDA del 15,6 %, en la parte baja del grupo (Elm 23 %, Infosys 22 %, Cognizant 19 %; Capgemini 13 % y Sopra 10 %), y crece más que los globales (5-6 % frente a 4-5 %) [25]. Cotiza a 12,7 veces el beneficio de los próximos doce meses, por encima de la mediana del grupo (≈ 10 veces): los integradores europeos y Cognizant cotizan a 9-11 veces tras el castigo de 2025-2026 por la IA. La prima se explica por el crecimiento del mercado saudí y la caja neta; los comparables pesan un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Giza Systems (Egipto)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solutions by stc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pagado; sin EBITDA de la adquirida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Contact Center Company (upsource)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pagado (98,6 M de caja adquirida); sin EBITDA de la adquirida publicado.</w:t>
            </w:r>
          </w:p>
        </w:tc>
      </w:tr>
    </w:tbl>
    <w:p>
      <w:pPr>
        <w:spacing w:after="160" w:before="0"/>
      </w:pPr>
    </w:p>
    <w:p>
      <w:pPr>
        <w:spacing w:after="160" w:before="0"/>
      </w:pPr>
    </w:p>
    <w:p>
      <w:pPr>
        <w:spacing w:after="100"/>
      </w:pPr>
      <w:r>
        <w:t xml:space="preserve">Las únicas operaciones con precio son las propias compras de Giza (491,9 M SAR en 2022) y Contact Center (513,7 M en 2023), sin EBITDA de la adquirida publicado [6, 7]. No hay operaciones comparables en el Golfo con múltiplos públicos (la compra de Thiqah por Elm fue entre partes vinculadas del PIF). Sin peso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apoya en el 1S26 (ventas +9 %) y en la guía (+6-8 %): proyecto +7,5 %, en la parte alta, porque la cartera de pedidos (14.500 M SAR) y el contrato de Aramco cubren el segundo semestre, pero los servicios digitales caen y la Administración frena [3, 8, 11]. Después, +7 % en 2027e (Center3 y Madares desde el 1T27) y del 6,5 % al 4,5 % hasta 2032e [18, 19]. El crecimiento medio de 2027-2032e (5,75 %) queda por debajo del mercado de IMARC (6,91 %) y de IDC (9-10 %): solutions ya es el mayor y pierde peso en lo público [12, 14]. Queda por debajo del consenso (15.656 M de ventas en 2028e frente a 15.595 M; muy cerca) [23].</w:t>
      </w:r>
    </w:p>
    <w:p>
      <w:pPr>
        <w:keepNext/>
        <w:spacing w:after="100"/>
      </w:pPr>
      <w:r>
        <w:rPr>
          <w:b/>
          <w:bCs/>
        </w:rPr>
        <w:t xml:space="preserve">Márgenes.</w:t>
      </w:r>
    </w:p>
    <w:p>
      <w:pPr>
        <w:spacing w:after="100"/>
      </w:pPr>
      <w:r>
        <w:t xml:space="preserve">El margen EBITDA fue del 15,4 % en 2021, 15,8 % en 2022, 15,1 % en 2023, 16,1 % en 2024 y 15,6 % en 2025 [2]. Proyecto un 15,5 % en 2026e (17,4 % en el 1S26 con la reversión de regalías, y el 4T suele ser del 12-13 %) que baja al 15,0 % en 2032e: más reventa de hardware en proyectos de centros de datos y presión de precios por la IA en servicios digitales y centros de contacto [2, 8]. El ahorro estructural de regalías compensa en parte. El consenso espera un 15,6-15,8 % [23].</w:t>
      </w:r>
    </w:p>
    <w:p>
      <w:pPr>
        <w:keepNext/>
        <w:spacing w:after="100"/>
      </w:pPr>
      <w:r>
        <w:rPr>
          <w:b/>
          <w:bCs/>
        </w:rPr>
        <w:t xml:space="preserve">Inversión y circulante.</w:t>
      </w:r>
    </w:p>
    <w:p>
      <w:pPr>
        <w:spacing w:after="100"/>
      </w:pPr>
      <w:r>
        <w:t xml:space="preserve">Capex del 2,8 % de las ventas (guía del 2-3 %; 1,5 % en 2025 más altas de arrendamientos de centros de datos) y amortización del 2,9 % (2,7 % en 2025, al alza con los derechos de uso) [2, 11]. Circulante del 11 % de las ventas: el ≈ 12 % de 2025, frente a un circulante negativo hasta 2024; supongo que no vuelve a la situación anterior porque los clientes públicos pagan más tarde y adelantan menos [2]. Tipo impositivo del 8,5 % (zakat de la parte saudí y 20 % sobre la extranjera; 8,0 % en 2025) [1].</w:t>
      </w:r>
    </w:p>
    <w:p>
      <w:pPr>
        <w:keepNext/>
        <w:spacing w:after="100"/>
      </w:pPr>
      <w:r>
        <w:rPr>
          <w:b/>
          <w:bCs/>
        </w:rPr>
        <w:t xml:space="preserve">Coste del capital.</w:t>
      </w:r>
    </w:p>
    <w:p>
      <w:pPr>
        <w:spacing w:after="100"/>
      </w:pPr>
      <w:r>
        <w:t xml:space="preserve">Flujos en SAR, anclado al USD a 3,75: tasa libre del 5,60 %, el Treasury a 10 años (5,09 %, FRED, 16-oct-2026) más el diferencial soberano de Arabia Saudí (0,51 %, Damodaran) [26, 27]. Beta de 1,05: entre la mensual de cinco años (1,12) y la semanal de dos años (1,04) frente al mercado saudí [17]. Prima de mercado del 5,5 % y prima adicional del 0,78 % (prima de país de Damodaran) [27]. Coste de la deuda del 7 % (préstamos islámicos a SAIBOR más margen) y peso del 5 %. Con la prima implícita del mercado (4,2 %) baja ≈ 1,3 puntos [28].</w:t>
      </w:r>
    </w:p>
    <w:p>
      <w:pPr>
        <w:keepNext/>
        <w:spacing w:after="100"/>
      </w:pPr>
      <w:r>
        <w:rPr>
          <w:b/>
          <w:bCs/>
        </w:rPr>
        <w:t xml:space="preserve">Valor terminal.</w:t>
      </w:r>
    </w:p>
    <w:p>
      <w:pPr>
        <w:spacing w:after="100"/>
      </w:pPr>
      <w:r>
        <w:t xml:space="preserve">Crecimiento a perpetuidad del 3,0 % en SAR/USD: entre la inflación esperada del dólar (2-2,5 %) y la tasa libre menos medio punto. La digitalización del país sigue, pero desde un tamaño grande y con la IA abaratando el trabajo. Gordon con el WACC del motor implica 8,3 veces el EBITDA terminal, por debajo de lo que paga hoy el mercado (≈ 10 veces el EBITDA de los últimos doce meses) y en línea con los integradores europeos (8-9 veces) [25].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 (reinvierte el 29 %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 (histórico: 43,6 %)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 frente al 6,0 %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 (hoy: 22,7 %)</w:t>
            </w:r>
          </w:p>
        </w:tc>
      </w:tr>
    </w:tbl>
    <w:p>
      <w:pPr>
        <w:spacing w:after="160" w:before="0"/>
      </w:pPr>
    </w:p>
    <w:p>
      <w:pPr>
        <w:spacing w:after="100"/>
      </w:pPr>
      <w:r>
        <w:t xml:space="preserve">La proyección apenas necesita inversión neta de la amortización (reinversión acumulada de 484 M, el 4 % del NOPAT, con un capex bruto medio del 2,8 % de las ventas). En un negocio de activos ligeros, el crecimiento medio del 6,0 % tiene que salir de subir precios y de ganar volumen sin capital nuevo, y la prueba es el poder de precios y la cuota (26,5 % del mercado en 2032e, frente al 22,7 %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14.500 M SAR, Aramco (supercomputación) y pulse (+58 % en el 2T26); servicios digitales a la baja y Administración +6 % [8,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Center3 (364 M en el centro de datos de Dammam) y Madares (Educación, reparto de ingresos) desde el 1T27; algo de precio en servicios gestionados [18,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 privado y centros de datos; menos gasto público (25,7 % del PIB en 2027e)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servicios de TI al 6,9 % según IMARC; solutions crece algo menos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Madurez y presión de la IA sobre las horas de desarrollo y los centros de contacto [8].</w:t>
            </w:r>
          </w:p>
        </w:tc>
      </w:tr>
    </w:tbl>
    <w:p>
      <w:pPr>
        <w:spacing w:after="160" w:before="0"/>
      </w:pPr>
    </w:p>
    <w:p>
      <w:pPr>
        <w:spacing w:after="100"/>
      </w:pPr>
      <w:r>
        <w:t xml:space="preserve">Sí. El crecimiento proyectado (5,75 % anual en 2027-2032e) es menor que el del mercado (6,9 % según IMARC; 9-10 % según IDC) y que el de la propia empresa en 2024-2026 (5,5-9 %), y necesita poco capital: capex del 2,8 % de las ventas y un circulante estable en el 11 % [2, 12, 14]. Con el perímetro de IMARC la cuota bajaría del ≈ 28 % de 2025 al 26,5 % en 2032e; el motor parte del 22,7 % de IDC y la lleva al 26,5 % porque mide el final con IMARC, un mercado más estrecho [14, 15]. El ROIC lo financia con holgura. El riesgo no es de sostenibilidad sino de margen: la IA y la Administración pueden apretar el precio aunque el volumen crezca.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(base: 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 (base: 15,0 %)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(WACC: 11,9 %)</w:t>
            </w:r>
          </w:p>
        </w:tc>
      </w:tr>
    </w:tbl>
    <w:p>
      <w:pPr>
        <w:spacing w:after="160" w:before="0"/>
      </w:pPr>
    </w:p>
    <w:p>
      <w:pPr>
        <w:spacing w:after="100"/>
      </w:pPr>
      <w:r>
        <w:t xml:space="preserve">El DCF da 82,38 SAR por acción, un 11,0 % menos que el precio, con un WACC del 11,87 % y un crecimiento terminal del 3 %; el valor terminal pesa el 60 %. El DCF inverso dice que el precio de 92,55 SAR descuenta un crecimiento del 8,9 % anual en 2027-2032e (nuestro base: 5,8 %) o un margen EBITDA terminal del 16,5 % (base: 15,0 %; máximo histórico, 16,1 % en 2024), o una rentabilidad implícita del 10,9 %. Con la prima implícita del mercado (4,2 %) el DCF sube a 96,34 SAR. El circulante pesa: con el 11 % de las ventas (frente a un circulante negativo hasta 2024), cada año de crecimiento retiene caja; si los cobros volvieran a 2023-2024, el DCF subiría con fuerza.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abarata el desarrollo y los centros de contacto, la Administración recorta y paga tarde, y stc aprieta precios: el crecimiento baja 3 puntos cada año (≈ 4 % en 2027-2028e) y el margen EBITDA 2 puntos, hasta el 13,4 %, como Capgemini [8, 16, 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centros de datos, la IA de infraestructura y el sector privado compensan la caída de lo público y de los servicios digitales: ventas +7 % en 2027e y frenando al 4,5 %, margen del 15,5 % al 15,0 %.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inversión en centros de datos e IA (Aramco, Humain, Center3) acelera, el ahorro de regalías se queda y pulse crece en la región: 2 puntos más de crecimiento y 1 punto más de margen, cerca del consenso [8,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SAR) · precio actual 92,5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79,89 SAR (-13,7 %).</w:t>
      </w:r>
    </w:p>
    <w:p>
      <w:pPr>
        <w:spacing w:after="100"/>
      </w:pPr>
      <w:r>
        <w:t xml:space="preserve">Con probabilidades 25/50/25, el valor ponderado de los escenarios es de 79,89 SAR (-13,7 %). El bajista (58,50 SAR, -36,8 %) recoge la IA en digital y upsource, la Administración que recorta y stc que aprieta precios; el alcista (96,31 SAR, +4,1 %), la infraestructura de IA que acelera. El valor intrínseco de la síntesis, con los comparables, es de 79,58 SAR (-14,0 %).</w:t>
      </w:r>
    </w:p>
    <w:p>
      <w:pPr>
        <w:pStyle w:val="Heading1"/>
      </w:pPr>
      <w:r>
        <w:t xml:space="preserve">22. Suma de partes</w:t>
      </w:r>
    </w:p>
    <w:p>
      <w:pPr>
        <w:pStyle w:val="Confianza"/>
        <w:spacing w:after="100"/>
      </w:pPr>
      <w:r>
        <w:t xml:space="preserve">Confianza: Media</w:t>
      </w:r>
    </w:p>
    <w:p>
      <w:pPr>
        <w:spacing w:after="100"/>
      </w:pPr>
      <w:r>
        <w:t xml:space="preserve">No aplica: las tres líneas (infraestructura, servicios gestionados y digital) comparten clientes, contratos y plantilla, y la empresa no publica su resultado por separado; pulse y upsource no publican cuentas propias completas [1,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SAR) · precio actual 92,5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79,58 SAR (-14,0 % sobre 92,55).</w:t>
      </w:r>
    </w:p>
    <w:p>
      <w:pPr>
        <w:spacing w:after="100"/>
      </w:pPr>
      <w:r>
        <w:t xml:space="preserve">Pesos: DCF 40 %, escenarios 40 % y comparables 20 %; transacciones sin peso (solo las compras propias, sin múltiplo). Los comparables (mediana de PER de ≈ 10 veces) castigan a los integradores europeos y a Cognizant, con menos crecimiento. El puente parte del balance de junio de 2026: préstamos (873 M SAR), arrendamientos estimados (≈ 347 M) e indemnizaciones por cese (734 M) como deuda; caja y murabahas (1.566 M) y la participación en Devoteam Middle East (346 M, valor en libros) [1, 3].</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(13.4x) × 1.1 (tope: la mediana de 5 años, 21.6x,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+80,2 %</w:t>
            </w:r>
          </w:p>
        </w:tc>
      </w:tr>
    </w:tbl>
    <w:p>
      <w:pPr>
        <w:spacing w:after="160" w:before="0"/>
      </w:pPr>
    </w:p>
    <w:p>
      <w:pPr>
        <w:spacing w:after="100"/>
      </w:pPr>
      <w:r>
        <w:rPr>
          <w:b/>
          <w:bCs/>
        </w:rPr>
        <w:t xml:space="preserve">Objetivo a 12 meses (ponderado):</w:t>
      </w:r>
      <w:r>
        <w:t xml:space="preserve"> 111,53 SAR · rentabilidad +24,8 % (base +20,7 %) · señal Mantener.</w:t>
      </w:r>
    </w:p>
    <w:p>
      <w:pPr>
        <w:spacing w:after="100"/>
      </w:pPr>
      <w:r>
        <w:t xml:space="preserve">Para comparar, con la regla v2 (historia al cierre, mismo precio): 11,3x / 13,4x / 17,4x, 13,7 % Mantener; con el tope anterior del base (×1,3, 14-oct mediodía): 42,2 %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(6,93) queda un 7 % por debajo del consenso (7,45) y el de 2028e (7,33), un 8 % por debajo (7,95) [23]. La diferencia es de margen, no de ventas: el consenso espera ventas de 15.656 M SAR en 2028e (nosotros 15.595 M) con un margen EBITDA del 15,8 % y un margen neto del 12,2 %; nosotros, un 15,4 % y un 11,3 %, con más amortización (arrendamientos de centros de datos) y el zakat del 8,5 % [23]. Bajamos el margen porque la IA presiona los servicios digitales y los centros de contacto y la mezcla gira hacia la reventa de infraestructura. El objetivo medio (127,30 SAR) equivale a 17 veces el BPA de 2027e del consenso; la regla común parte del PER actual (13,4 veces) y solo lo deja subir un 10 %.</w:t>
      </w:r>
    </w:p>
    <w:p>
      <w:pPr>
        <w:keepNext/>
        <w:spacing w:after="100"/>
      </w:pPr>
      <w:r>
        <w:rPr>
          <w:b/>
          <w:bCs/>
        </w:rPr>
        <w:t xml:space="preserve">Del valor intrínseco al objetivo a 12 meses.</w:t>
      </w:r>
    </w:p>
    <w:p>
      <w:pPr>
        <w:spacing w:after="100"/>
      </w:pPr>
      <w:r>
        <w:t xml:space="preserve">El objetivo a 12 meses (ponderado 111,53 SAR, +24,8 % con el dividendo; base 107,75 SAR, +20,7 %) sale de aplicar al BPA de 2028e un PER que la regla deja subir un 10 % desde el actual (13,4 veces nuestro BPA de 2027e), muy por debajo de su mediana adelantada (21,6 veces, de los años de crecimiento del 9-25 %). El valor intrínseco es de 79,58 SAR, un 14,0 % por debajo del precio. El alcista (162,76 SAR) aplica 19,8 veces a un BPA cercano al del consenso; el bajista (67,86 SAR), 11,7 veces a un BPA con 2 puntos menos de margen. La v2 de control da +13,7 % ponderada y +10,4 % en el base. Lectura: el múltiplo ya es bajo frente a su historia, pero la historia viene de un régimen de crecimiento y de márgenes que la IA y el menor gasto público ponen en duda.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margen sin la reversión de regalías y flujo operativo; previsiones de beneficio de 419-469 M SAR [29, 30, 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en la base nueva de acciones; guía de margen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Center3 (364 M) y Madares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infraestructura y de plataforma con reparto de ingresos [18,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pulse en el Golfo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Pondría precio a la filial regional [35]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Presupuesto saudí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público del 25,7 % del PIB previsto: ritmo de adjudicaciones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que abarata el desarrollo de software y sustituye los centros de contacto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la mitad de las ventas es infraestructura (centros de datos, redes, nube), que la IA hace crecer; contrato de supercomputación con Aramco [2,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digitales y upsource a la baja dos trimestres seguidos (digital −23 % en el 2T26; upsource +0 % en 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y retraso del gasto público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Macroeconómico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 privado (+21 % en el 1S26) y cartera de pedidos de 14.500 M SAR [8,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 la Administración por debajo del 0 % o deudas públicas de más de un año por encima de 500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stc aprieta precios de transferencia, regalías o contratos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stc necesita a solutions como su brazo de TI; las regalías se redefinieron en 2026 a favor de solutions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las ventas a stc o nuevas condiciones del contrato de marca; caída del peso de stc sin sustituto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cobros públicos que no vuelven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693 M SAR a jun-26 y flujo libre del 1S26 de 315 M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anual por debajo del 60 % del beneficio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geopolítico del Golfo (Irán) y del petróleo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SAR y caja neta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Ataques en el Golfo; el 1-mar-2026 el mercado cayó un 2,2 % y la acción un 6,4 % [17, 34]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Devaluación en Egipto (pulse)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Fuera de Arabia Saudí solo se vende el 6,4 %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devaluación de la libra egipcia</w:t>
            </w:r>
          </w:p>
        </w:tc>
      </w:tr>
    </w:tbl>
    <w:p>
      <w:pPr>
        <w:spacing w:after="160" w:before="0"/>
      </w:pPr>
    </w:p>
    <w:p>
      <w:pPr>
        <w:pStyle w:val="Heading2"/>
      </w:pPr>
      <w:r>
        <w:t xml:space="preserve">Pre-mortem</w:t>
      </w:r>
    </w:p>
    <w:p>
      <w:pPr>
        <w:spacing w:after="100"/>
      </w:pPr>
      <w:r>
        <w:t xml:space="preserve">Octubre de 2029: solutions vale un tercio menos. Lo que pasó: el Estado, con el petróleo bajo, recortó proyectos y siguió pagando tarde; los agentes de IA vaciaron los centros de contacto de upsource y los clientes exigieron rebajas del 20-30 % en desarrollo. La infraestructura de IA siguió creciendo, pero con márgenes de reventa del 8-10 % y con los hiperescaladores llevándose la nube. stc, presionada en su propio negocio, recuperó margen subiendo regalías y apretando los precios de lo que compra a su filial. El margen EBITDA bajó al 13 % y el beneficio se estancó en 1.400 M SAR; el mercado, que ya pagaba 13 veces, pasó a pagar 10, como Capgemini. La señal que nadie quiso leer: el flujo operativo negativo de 2025 y la caída del 23 % de los servicios digitales en el 2T26.</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−10 % a −15 %</w:t>
      </w:r>
    </w:p>
    <w:p>
      <w:pPr>
        <w:spacing w:after="100"/>
      </w:pPr>
      <w:r>
        <w:t xml:space="preserve">La IA toca a solutions en tres partes. Amenaza directa: los centros de contacto de upsource (2.757 M SAR de ventas en 2025 antes de eliminaciones, ≈ 10 % del grupo neto) son el trabajo que mejor automatizan los agentes de IA, y ya están estancados (+0 % en el 1S26); los servicios digitales (1.983 M, 16 %) venden horas de desarrollo que los asistentes de código abaratan, y cayeron un 23 % en el 2T26 [2, 8]. Amenaza de precio: los servicios gestionados (34 %) se renegocian con la expectativa de que la IA reduzca personal. Oportunidad: la infraestructura (50 %) crece con la IA: centros de datos, supercomputación para Aramco (1.400 M), redes y ciberseguridad; pero es la parte de menos margen, con mucha reventa [2, 8]. Neto, una amenaza moderada sobre el margen y el múltiplo más que sobre las ventas (≈ −10-15 % del valor en 3-5 años, recogido en el bajista). Señal: ventas de digital y upsource y margen bruto del grupo.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ciberseguridad y la protección de los datos que gestiona para la Administración y las grandes empresas, la continuidad de los servicios críticos, el consumo eléctrico de los centros de datos y la saudización del empleo [12].</w:t>
      </w:r>
    </w:p>
    <w:p>
      <w:pPr>
        <w:pStyle w:val="Heading2"/>
      </w:pPr>
      <w:r>
        <w:t xml:space="preserve">Controversias</w:t>
      </w:r>
    </w:p>
    <w:p>
      <w:pPr>
        <w:spacing w:after="100"/>
      </w:pPr>
      <w:r>
        <w:t xml:space="preserve">No constan sanciones ni brechas de datos publicadas. La controversia de gobierno es la dependencia de stc: precios de transferencia, regalías redefinidas con efecto retroactivo y caja depositada en el banco del grupo [1, 3, 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cayeron las ventas y el margen de los servicios digitales y de upsource por la IA y qué plan hay para los centros de contacto?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las líneas más expuestas: −23 % y +0 %.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las ventas a stc frente a las de terceros y cuánto ahorra al año la nueva definición de regalías?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transferencia con el accionista de control.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organismos deben los 380 M SAR de más de un año y por qué los pasivos de contrato bajaron a la mitad desde 2022?</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operativo de 2025 fue negativo.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en stc Bank</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hay 801,6 M SAR de la caja en stc Bank y a qué tipo?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Uso de la caja del minoritario en 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bruto tiene el contrato de Aramco y los centros de datos frente al del grupo (21 %)?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mezcla gira hacia infraestructura de menos margen.</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21 de 24 controles correctos y 3 explicados. Fuentes: 35 (17 primarias); citas distintas en el texto: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 explica la causa (créditos fiscales, regularizaciones, mezcla de países) y no lo proyectes en el DCF. Explicación: En Arabia Saudí la parte saudí del capital paga zakat (2,5 % sobre una base patrimonial) y no impuesto de sociedades. El 2,4 % de 2024 recoge la reversión de 104 M SAR de provisiones de zakat de años anteriores; sin ella sería ≈ 8,7 %. El DCF usa un 8,5 % [5].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explica la causa (créditos fiscales, regularizaciones, mezcla de países) y no lo proyectes en el DCF. Explicación: Zakat de la parte saudí y 20 % sobre la de accionistas extranjeros y filiales de fuera (Egipto): 8,0 % en 2025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26,5 % en 2032e frente al 22,7 %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11,0 % frente a 11,8 %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1.628 M de flujo libre medio en sus tres primeros años, frente a 733 M de media real en los tres últimos: justifica el salto (circulante, inversión, márgenes) o ajusta los supuestos. Explicación: La media real de 2023-2025 (733 M SAR) lleva el año anómalo de 2025, con un flujo libre de −364 M porque clientes y activos de contrato subieron 1.622 M en un solo año por los cobros de la Administración [2]. Antes de 2025 el flujo libre después de arrendamientos fue de 1.212 M (2021), 1.966 M (2022), 1.565 M (2023) y 1.201 M (2024), y en los últimos doce meses a jun-26 vuelve a 833 M con el 1S26 (315 M) [2, 3]. El DCF no supone que ese circulante se recupere: lo mantiene en el 11 % de las ventas (negativo hasta 2024), de modo que cada año de crecimiento retiene caja; el capex del 2,8 % incluye las altas de arrendamientos. El flujo proyectado (≈ 1.600 M) es el de un negocio con poco capital y un EBITDA de 2.100-2.400 M, en línea con 2022-2023.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«Baja» (las reglas discrepan (absoluta Vender, relativa Mantener))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presentaciones: solo la cuota propia (22,7 %); 2) IMARC y Mordor (resúmenes públicos): sin cuotas de los cinco primeros; 3) suma de ventas de competidores cotizados: perímetros no comparables (Elm incluye plataformas públicas, MIS reventa)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IMARC: solo 2025 y la previsión; 2) informe anual (IDC): solo previsiones 2025-2028; 3) CST: mercado TIC total, no servicios de TI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(sostenibilidad): sin calificaciones de agencias; 2) MSCI y Sustainalytics (páginas públicas): no abren sin registro; 3) prensa saudí: sin calificaciones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el total de los cinco primeros directivos (33,5 M SAR, CEO y CFO incluidos); 2) actas de juntas: no se vota la del CEO; 3) prospecto y prensa: sin cifra individual (la norma saudí no la exige)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(registro de operaciones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Saudi Exchange (anuncios de directivos): 403; 2) Argaam (página de la empresa): sin anuncios de compraventa de directivos; 3) informe anual 2025: solo variación anual de acciones de directivos (planes de incentivos, no compras de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nombramiento de consejeros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composición sin fecha de primer nombramiento; 2) web de la empresa: biografías cargadas por JavaScript; 3) actas: solo el nombramiento de Al-Huzaimi (abril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salvo los conocidos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 3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2022-2025: precios de Giza, CCC y Devoteam ME sin EBITDA de la adquirida; 2) operaciones del Golfo (Thiqah-Elm, Devoteam ME): sin múltiplo publicado; 3) operaciones globales de servicios de TI: no se abrió la nota oficial con el EBITDA y las cifras de prensa no se usan sin comprobar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peso cero en la síntesis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recomendaciones (desglose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media «Comprar» y número (14); 2) Argaam: solo las cuatro últimas (todas «comprar») y la sección de pago; 3) informe anual: 18/3/1 a fin de 2025 (desfasado)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desglose actual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Saudi Exchange (403); 2) Argaam: sin dato de cortos; 3) Tadawul no tiene un régimen de publicación de posiciones cortas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de 7202.SR): 404; 2) Hawamer (foro saudí) e Investing (comentarios): 403; 3) TradingView (ideas de TADAWUL:7202): página cargada por JavaScript sin contenido legible; Argaam: comentarios vacíos en las noticias del 6 y 7-oct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for the year ended 31 December 2025 (Deloitte and Touche &amp; Co., primer año): ingresos por línea, por tipo de cliente y por geografía (nota 6), otros gastos (9), zakat (11), clientes y antigüedad (14), participadas (19), fondo de comercio (20), deuda (27), arrendamientos (29), capital y autocartera (31, 33), BPA (36), vinculadas (39), segmentos por entidad (40), avales (42)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https://solutions.com.sa/wp-content/uploads/2026/08/solutions-YE-2025-FS-ENG-Final-Signed-Version.pdf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Data Supplement 2T26 (Excel): cuenta, balance y flujos anuales 2019-2025 y trimestrales 1T24-2T26; ingresos por línea de negocio y por canal (venta a stc), composición de costes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https://solutions.com.sa/wp-content/uploads/2026/08/Data-Supplement-11.xlsx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consolidated financial statements, six months ended 30 June 2026 (revisión limitada de Deloitte): balance a 30-jun-2026, deuda (nota 12), vinculadas (13), cambio de las regalías de la marca stc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https://solutions.com.sa/wp-content/uploads/2026/08/Q2-2026-FS-Eng-Signed71.pdf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consolidated financial statements, three months ended 31 March 2026 (reversión de 63 M de regalías a stc devengadas desde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https://solutions.com.sa/wp-content/uploads/2026/08/Solutions-Q1-2026-FS-Eng-Final-Signed-Version.pdf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2024 (Ernst &amp; Young): reversión de zakat de 104 M y plusvalía por la venta del canal AVL de 68,3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https://solutions.com.sa/wp-content/uploads/2026/08/Solutions-YE-2024-ENG-Consolidated-Signed-FS.pdf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2023 (Ernst &amp; Young): compra de Contact Center Company por 513,7 M (abril de 2023) y asignación del precio de Giza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https://solutions.com.sa/wp-content/uploads/2026/08/Signed-Solutions-YE-2023-EN-Consolidated-FS.pdf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2022 (Ernst &amp; Young): compra de Giza Systems (octubre de 2022), arrendamientos de 2021 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https://solutions.com.sa/wp-content/uploads/2026/08/Solutions-YE-2022-FS-signed-English-report.pdf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1H 2026 (29-jul-2026): ingresos por línea, entidad y tipo de cliente; flujo libre del semestre; consenso del 2T26 frente al real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https://solutions.com.sa/wp-content/uploads/2026/08/Earnings-Release-8.pdf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1Q 2026 (27-abr-2026): consenso del 1T26 frente al real; ahorro estructural por las nuevas regalías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https://solutions.com.sa/wp-content/uploads/2026/08/Earnings-Release-7.pdf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9M 2025 (28-oct-2025): consenso del 3T25 frente al real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https://solutions.com.sa/wp-content/uploads/2026/08/Earnings-Release-5.pdf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1H 2026 Results Presentation: cartera de pedidos de 14.500 M SAR, guía de 2026 (ventas +6-8 %, margen EBITDA 14-16 %, capex 2-3 %)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https://solutions.com.sa/wp-content/uploads/2026/08/Earnings-Presentation-7.pdf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plantilla (3.126 en el grupo, 1.358 en la matriz, −7,2 %), cuota de mercado, revisión del director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https://solutions.com.sa/wp-content/uploads/2026/08/solutions-by-stc-AR25_English_Full_compressed-2.pdf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extraordinaria del 6-oct-2026: ampliación gratuita de 1 acción nueva por cada una (120 → 240 M) con cargo a 1.200 M de reservas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https://solutions.com.sa/wp-content/uploads/2026/10/Minutes-of-Meetings-06-10-2026.pdf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Arabia IT Services Market: 12.090 M USD en 2025, 22.066 M USD en 2034 (TCAC 6,91 %)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https://www.imarcgroup.com/saudi-arabia-it-services-market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 2025 Results Presentation: «líder indiscutible con una cuota del 22,7 %» (IDC), tasa de éxito en concursos &gt; 75 %, ROIC del 35,3 %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https://solutions.com.sa/wp-content/uploads/2026/08/Earnings-Presentation-6.pdf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Investor Presentation: n.º 1 en servicios de TI de Arabia Saudí según IDC; gasto público del 29,2 % del PIB en 2024 al 25,7 % en 2027e; petróleo Brent; ROIC medio de cinco años &gt; 30 %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https://solutions.com.sa/wp-content/uploads/2026/08/Investor-Presentation-13.pdf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20-oct-2026): ventas y márgenes de los últimos doce meses de Elm, Al Moammar (MIS), Perfect Presentation (2P), Infosys, Cognizant, Capgemini y Sopra Steria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https://finance.yahoo.com/quote/7202.SR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wins SAR 364M Center3 contract to build Dammam data center (vinculada; impacto desde el 1T27)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https://www.argaam.com/en/article/articledetail/id/1925729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signs revenue-sharing agreement to develop «Madares» platform (Ministerio de Educación; cinco años; puede superar el 10 % de las ventas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https://www.argaam.com/en/article/articledetail/id/1933140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Prospecto de la salida a bolsa (sep-2021): historia de la compañía desde 2002, capital y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https://solutions.com.sa/wp-content/uploads/2026/09/Project-Premier-Prospectus-Eng-V.13.pdf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del 19-may-2026: dividendo de 8 SAR (952,6 M), nombramiento de Tariq Al-Huzaimi (93,85 % a favor), remuneración del consejo de 3,90 M (99,92 % a favor, 0,029 % en contra), asistencia del 85,63 %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https://solutions.com.sa/wp-content/uploads/2026/08/Minutes-of-Meeting-19-05-2026.pdf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signs SAR 190M managed messaging contract with STC Bank (vinculada: stc posee el 79 % de solutions y el 92,3 % de STC 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https://www.argaam.com/en/article/articledetail/id/1941846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2026-2028 (ventas, EBITDA, EBIT, beneficio, BPA y dividendo en la base de 240 M de acciones, caja neta, FCF); 14 analistas, consenso «Comprar», objetivo medio 127,30 SAR (mín. 104,60, máx. 161,00); cambios de recomendación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https://uk.marketscreener.com/quote/stock/ARABIAN-INTERNET-AND-COMM-127280646/finances/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 ficha de SOLUTIONS (20-oct-2026): cierre de 92,55 SAR (−1,02 %), capitalización de 22.212 M, 240 M de acciones tras la gratuita, recomendaciones recientes (BofA, United Securities, SICO y HSBC: comprar)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https://www.argaam.com/en/tadawul/tasi/solutions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20-oct-2026): capitalización, valor empresa, múltiplos y estimaciones de BPA y ventas de solutions y de sus comparables; tipos de cambio USD/SAR 3,7508 y EUR/SAR 4,2136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https://finance.yahoo.com/quote/7202.SR/key-statistics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DGS10: bono del Tesoro de EE. UU. a 10 años (5,09 %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(Arabia Saudí: Aa3, diferencial soberano 0,51 %, prima de país 0,78 %)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en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Ubhar Capital issues Q3 2026 earnings forecasts (solutions: 431,5 M SAR, +4 %)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https://www.argaam.com/en/article/articledetail/id/1944124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2026 earnings forecasts: Riyad Capital (solutions: 419 M SAR, +1 %)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https://www.argaam.com/en/article/articledetail/id/1943230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ANB Capital issues Q3 2026 earnings forecasts (solutions: 468,7 M SAR, +12,3 %)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https://www.argaam.com/en/article/articledetail/id/1943042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OKs 100% capital hike via bonus issue (derecho: accionistas al cierre del 6-oct-2026, registrados dos sesiones después)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https://www.argaam.com/en/article/articledetail/id/1942028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by STC misses revenue targets in 4Q25 (titular; caída del 8 % el 16-feb-2026)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(vía noticias.mjs)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https://www.investing.com/equities/arabian-internet-and-communications-services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TASI falls 2.2% to 10,476 pts (primera sesión tras los ataques de EE. UU. e Israel contra Irán, 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https://www.argaam.com/en/market-daily-report/3/56397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Solutions’ Pulse eyes Gulf listing by 2028 (filial pulse, antigua Giza, estudia salir a bolsa en el Golfo)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EnterpriseAM (vía noticias.mjs)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https://enterpriseam.com/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81,3 %</w:t>
      </w:r>
      <w:r>
        <w:t xml:space="preserve"> · Secciones con menos del 60 % de campos cubiertos: </w:t>
      </w:r>
      <w:r>
        <w:rPr>
          <w:b/>
          <w:bCs/>
        </w:rPr>
        <w:t xml:space="preserve">sector, gobierno, sentimiento</w:t>
      </w:r>
      <w:r>
        <w:t xml:space="preserve"> · Generado el 20 oct 2026.</w:t>
      </w:r>
    </w:p>
    <w:p>
      <w:pPr>
        <w:pStyle w:val="Nota"/>
        <w:spacing w:after="100"/>
      </w:pPr>
      <w:r>
        <w:t xml:space="preserve">Cotiza solo en el mercado principal de Tadawul (7202), en SAR, de domingo a jueves; un inversor extranjero compra como inversor extranjero cualificado (QFI) o mediante swaps, y los extranjeros tienen el 5,4 % del capital [12]. Liquidez suficiente: ≈ 38 M SAR al día en tres meses [17]. Cuentas: sin XBRL; las cuentas anuales auditadas de 2022-2025 (Ernst &amp; Young hasta 2024, Deloitte en 2025) y los intermedios revisados del 1T26 y el 1S26 se descargaron de la web de inversores de la empresa (fuente primaria, no secundaria), junto con el Data Supplement en Excel, que cuadra con las cuentas [1, 2, 3, 4, 5, 6, 7]. Las cuentas de 2021 están escaneadas: sus cifras salen del Data Supplement [2]. Ampliación gratuita de 1 acción nueva por cada una aprobada el 6-oct-2026 (de 120 a 240 M de acciones): todos los BPA, DPA y precios por acción del informe están en la base nueva (los publicados, divididos entre dos; Yahoo ya ajusta los precios) [13, 32]. Los arrendamientos a 30-jun-2026 se estiman (≈ 347 M SAR) porque el intermedio solo da la parte no corriente (198,3 M) [3]. Índice: el TASI no tiene serie en Yahoo; rentabilidades y beta contra el ETF iShares MSCI Saudi Arabia (KSA, en USD; el SAR está anclado a 3,75) y el sector contra el ETF de software de EE. UU. (IGV) [17]. Precio: cierre del martes 20-oct-2026 (92,55 SAR, −1,02 %; Tadawul cierra a las 15:00 de Riad, 12:00 UTC) [24]. Sin foros ni redes con opiniones legibles: la sección de sentimiento no se imprime.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Arabian Internet and Communications Services Co. (solutions by stc) (7202.SR)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92,55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(85,05 – 131,50)</c:v>
                </c:pt>
                <c:pt idx="1">
                  <c:v>Precio objetivo de los analistas (104,60 – 161,00)</c:v>
                </c:pt>
                <c:pt idx="2">
                  <c:v>Comparables: PER NTM (66,41 – 102,72)</c:v>
                </c:pt>
                <c:pt idx="3">
                  <c:v>DCF (WACC y g ± 0,5) (75,52 – 90,95)</c:v>
                </c:pt>
                <c:pt idx="4">
                  <c:v>Escenarios (bajista – alcista) (58,50 – 96,31)</c:v>
                </c:pt>
                <c:pt idx="5">
                  <c:v>DCF con la prima implícita del mercado (4,2 %)</c:v>
                </c:pt>
                <c:pt idx="6">
                  <c:v>Precio actual (92,55)</c:v>
                </c:pt>
              </c:strCache>
            </c:strRef>
          </c:cat>
          <c:val>
            <c:numRef>
              <c:f>Hoja1!$B$2:$B$8</c:f>
              <c:numCache>
                <c:formatCode>#,##0</c:formatCode>
                <c:ptCount val="7"/>
                <c:pt idx="0">
                  <c:v>85.05</c:v>
                </c:pt>
                <c:pt idx="1">
                  <c:v>104.6</c:v>
                </c:pt>
                <c:pt idx="2">
                  <c:v>66.41</c:v>
                </c:pt>
                <c:pt idx="3">
                  <c:v>75.52</c:v>
                </c:pt>
                <c:pt idx="4">
                  <c:v>58.5</c:v>
                </c:pt>
                <c:pt idx="5">
                  <c:v>90.42</c:v>
                </c:pt>
                <c:pt idx="6">
                  <c:v>92.09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(85,05 – 131,50)</c:v>
                </c:pt>
                <c:pt idx="1">
                  <c:v>Precio objetivo de los analistas (104,60 – 161,00)</c:v>
                </c:pt>
                <c:pt idx="2">
                  <c:v>Comparables: PER NTM (66,41 – 102,72)</c:v>
                </c:pt>
                <c:pt idx="3">
                  <c:v>DCF (WACC y g ± 0,5) (75,52 – 90,95)</c:v>
                </c:pt>
                <c:pt idx="4">
                  <c:v>Escenarios (bajista – alcista) (58,50 – 96,31)</c:v>
                </c:pt>
                <c:pt idx="5">
                  <c:v>DCF con la prima implícita del mercado (4,2 %)</c:v>
                </c:pt>
                <c:pt idx="6">
                  <c:v>Precio actual (92,55)</c:v>
                </c:pt>
              </c:strCache>
            </c:strRef>
          </c:cat>
          <c:val>
            <c:numRef>
              <c:f>Hoja1!$C$2:$C$8</c:f>
              <c:numCache>
                <c:formatCode>#,##0</c:formatCode>
                <c:ptCount val="7"/>
                <c:pt idx="0">
                  <c:v>46.45</c:v>
                </c:pt>
                <c:pt idx="1">
                  <c:v>56.400000000000006</c:v>
                </c:pt>
                <c:pt idx="2">
                  <c:v>36.31</c:v>
                </c:pt>
                <c:pt idx="3">
                  <c:v>15.430000000000007</c:v>
                </c:pt>
                <c:pt idx="4">
                  <c:v>37.81</c:v>
                </c:pt>
                <c:pt idx="5">
                  <c:v>12.689999999999998</c:v>
                </c:pt>
                <c:pt idx="6">
                  <c:v>0.9200000000000017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(SAR, millones)</a:t>
            </a:r>
          </a:p>
        </c:rich>
      </c:tx>
      <c:overlay val="0"/>
    </c:title>
    <c:autoTitleDeleted val="0"/>
    <c:plotArea>
      <c:layout/>
      <c:barChart>
        <c:barDir val="col"/>
        <c:grouping val="stacked"/>
        <c:varyColors val="0"/>
        <c:ser>
          <c:idx val="0"/>
          <c:order val="0"/>
          <c:tx>
            <c:strRef>
              <c:f>Hoja1!$B$1</c:f>
              <c:strCache>
                <c:ptCount val="1"/>
                <c:pt idx="0">
                  <c:v>Core ICT Services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3670.2</c:v>
                </c:pt>
                <c:pt idx="1">
                  <c:v>4771.6</c:v>
                </c:pt>
                <c:pt idx="2">
                  <c:v>5994.2</c:v>
                </c:pt>
                <c:pt idx="3">
                  <c:v>6187.7</c:v>
                </c:pt>
                <c:pt idx="4">
                  <c:v>6388.7</c:v>
                </c:pt>
              </c:numCache>
            </c:numRef>
          </c:val>
        </c:ser>
        <c:ser>
          <c:idx val="1"/>
          <c:order val="1"/>
          <c:tx>
            <c:strRef>
              <c:f>Hoja1!$C$1</c:f>
              <c:strCache>
                <c:ptCount val="1"/>
                <c:pt idx="0">
                  <c:v>IT Managed &amp; Operational Services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1951.8</c:v>
                </c:pt>
                <c:pt idx="1">
                  <c:v>2329.7</c:v>
                </c:pt>
                <c:pt idx="2">
                  <c:v>3262.4</c:v>
                </c:pt>
                <c:pt idx="3">
                  <c:v>3947.6</c:v>
                </c:pt>
                <c:pt idx="4">
                  <c:v>4358.6</c:v>
                </c:pt>
              </c:numCache>
            </c:numRef>
          </c:val>
        </c:ser>
        <c:ser>
          <c:idx val="2"/>
          <c:order val="2"/>
          <c:tx>
            <c:strRef>
              <c:f>Hoja1!$D$1</c:f>
              <c:strCache>
                <c:ptCount val="1"/>
                <c:pt idx="0">
                  <c:v>Digital Services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1586.3</c:v>
                </c:pt>
                <c:pt idx="1">
                  <c:v>1703.8</c:v>
                </c:pt>
                <c:pt idx="2">
                  <c:v>1784</c:v>
                </c:pt>
                <c:pt idx="3">
                  <c:v>1928.6</c:v>
                </c:pt>
                <c:pt idx="4">
                  <c:v>1982.9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Core ICT Services</c:v>
                </c:pt>
                <c:pt idx="1">
                  <c:v>IT Managed &amp; Operational Services</c:v>
                </c:pt>
                <c:pt idx="2">
                  <c:v>Digital Services</c:v>
                </c:pt>
              </c:strCache>
            </c:strRef>
          </c:cat>
          <c:val>
            <c:numRef>
              <c:f>Hoja1!$B$2:$B$4</c:f>
              <c:numCache>
                <c:formatCode>General</c:formatCode>
                <c:ptCount val="3"/>
                <c:pt idx="0">
                  <c:v>50.2</c:v>
                </c:pt>
                <c:pt idx="1">
                  <c:v>34.2</c:v>
                </c:pt>
                <c:pt idx="2">
                  <c:v>15.6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Arabia Saudí</c:v>
                </c:pt>
                <c:pt idx="1">
                  <c:v>Fuera de Arabia Saudí (sobre todo Egipto y norte de África, Giza)</c:v>
                </c:pt>
              </c:strCache>
            </c:strRef>
          </c:cat>
          <c:val>
            <c:numRef>
              <c:f>Hoja1!$B$2:$B$3</c:f>
              <c:numCache>
                <c:formatCode>0"%"</c:formatCode>
                <c:ptCount val="2"/>
                <c:pt idx="0">
                  <c:v>93.6</c:v>
                </c:pt>
                <c:pt idx="1">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SAR (servicios de TI, IMARC; 1 USD = 3,75 SAR))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45338</c:v>
                </c:pt>
                <c:pt idx="1">
                  <c:v>48470</c:v>
                </c:pt>
                <c:pt idx="2">
                  <c:v>51820</c:v>
                </c:pt>
                <c:pt idx="3">
                  <c:v>55400</c:v>
                </c:pt>
                <c:pt idx="4">
                  <c:v>59229</c:v>
                </c:pt>
                <c:pt idx="5">
                  <c:v>63321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solutions</c:v>
                </c:pt>
                <c:pt idx="1">
                  <c:v>Elm</c:v>
                </c:pt>
                <c:pt idx="2">
                  <c:v>Al Moammar Information Systems (MIS)</c:v>
                </c:pt>
                <c:pt idx="3">
                  <c:v>Perfect Presentation (2P)</c:v>
                </c:pt>
                <c:pt idx="4">
                  <c:v>Cognizant</c:v>
                </c:pt>
                <c:pt idx="5">
                  <c:v>Capgemini</c:v>
                </c:pt>
                <c:pt idx="6">
                  <c:v>Infosys</c:v>
                </c:pt>
              </c:strCache>
            </c:strRef>
          </c:cat>
          <c:val>
            <c:numRef>
              <c:f>Hoja1!$B$2:$B$8</c:f>
              <c:numCache>
                <c:formatCode>0.0"%"</c:formatCode>
                <c:ptCount val="7"/>
                <c:pt idx="0">
                  <c:v>12.9</c:v>
                </c:pt>
                <c:pt idx="1">
                  <c:v>20.8</c:v>
                </c:pt>
                <c:pt idx="2">
                  <c:v>8.8</c:v>
                </c:pt>
                <c:pt idx="3">
                  <c:v>15.9</c:v>
                </c:pt>
                <c:pt idx="4">
                  <c:v>17.5</c:v>
                </c:pt>
                <c:pt idx="5">
                  <c:v>10.5</c:v>
                </c:pt>
                <c:pt idx="6">
                  <c:v>21.2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(SAR,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7208.3</c:v>
                </c:pt>
                <c:pt idx="1">
                  <c:v>8805.1</c:v>
                </c:pt>
                <c:pt idx="2">
                  <c:v>11040.5</c:v>
                </c:pt>
                <c:pt idx="3">
                  <c:v>12063.9</c:v>
                </c:pt>
                <c:pt idx="4">
                  <c:v>12730.2</c:v>
                </c:pt>
                <c:pt idx="5">
                  <c:v>13685</c:v>
                </c:pt>
                <c:pt idx="6">
                  <c:v>14643</c:v>
                </c:pt>
                <c:pt idx="7">
                  <c:v>15595</c:v>
                </c:pt>
                <c:pt idx="8">
                  <c:v>16530</c:v>
                </c:pt>
                <c:pt idx="9">
                  <c:v>17440</c:v>
                </c:pt>
                <c:pt idx="10">
                  <c:v>18312</c:v>
                </c:pt>
                <c:pt idx="11">
                  <c:v>19136</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1107</c:v>
                </c:pt>
                <c:pt idx="1">
                  <c:v>1392.3</c:v>
                </c:pt>
                <c:pt idx="2">
                  <c:v>1669.2</c:v>
                </c:pt>
                <c:pt idx="3">
                  <c:v>1947.6</c:v>
                </c:pt>
                <c:pt idx="4">
                  <c:v>1987.4</c:v>
                </c:pt>
                <c:pt idx="5">
                  <c:v>2121</c:v>
                </c:pt>
                <c:pt idx="6">
                  <c:v>2270</c:v>
                </c:pt>
                <c:pt idx="7">
                  <c:v>2402</c:v>
                </c:pt>
                <c:pt idx="8">
                  <c:v>2529</c:v>
                </c:pt>
                <c:pt idx="9">
                  <c:v>2651</c:v>
                </c:pt>
                <c:pt idx="10">
                  <c:v>2765</c:v>
                </c:pt>
                <c:pt idx="11">
                  <c:v>2870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23.7</c:v>
                </c:pt>
                <c:pt idx="1">
                  <c:v>22.8</c:v>
                </c:pt>
                <c:pt idx="2">
                  <c:v>23.5</c:v>
                </c:pt>
                <c:pt idx="3">
                  <c:v>23.1</c:v>
                </c:pt>
                <c:pt idx="4">
                  <c:v>21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15.4</c:v>
                </c:pt>
                <c:pt idx="1">
                  <c:v>15.8</c:v>
                </c:pt>
                <c:pt idx="2">
                  <c:v>15.1</c:v>
                </c:pt>
                <c:pt idx="3">
                  <c:v>16.1</c:v>
                </c:pt>
                <c:pt idx="4">
                  <c:v>15.6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12.5</c:v>
                </c:pt>
                <c:pt idx="1">
                  <c:v>13.2</c:v>
                </c:pt>
                <c:pt idx="2">
                  <c:v>12.6</c:v>
                </c:pt>
                <c:pt idx="3">
                  <c:v>13.8</c:v>
                </c:pt>
                <c:pt idx="4">
                  <c:v>12.9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11.6</c:v>
                </c:pt>
                <c:pt idx="1">
                  <c:v>12</c:v>
                </c:pt>
                <c:pt idx="2">
                  <c:v>10.8</c:v>
                </c:pt>
                <c:pt idx="3">
                  <c:v>13.2</c:v>
                </c:pt>
                <c:pt idx="4">
                  <c:v>11.8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0.5</c:v>
                </c:pt>
                <c:pt idx="3">
                  <c:v>4.7</c:v>
                </c:pt>
                <c:pt idx="4">
                  <c:v>12.5</c:v>
                </c:pt>
                <c:pt idx="5">
                  <c:v>4.7</c:v>
                </c:pt>
                <c:pt idx="6">
                  <c:v>6.3</c:v>
                </c:pt>
                <c:pt idx="7">
                  <c:v>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153</c:v>
                </c:pt>
                <c:pt idx="1">
                  <c:v>180</c:v>
                </c:pt>
                <c:pt idx="2">
                  <c:v>144</c:v>
                </c:pt>
                <c:pt idx="3">
                  <c:v>114</c:v>
                </c:pt>
                <c:pt idx="4">
                  <c:v>134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18</c:v>
                </c:pt>
                <c:pt idx="1">
                  <c:v>17</c:v>
                </c:pt>
                <c:pt idx="2">
                  <c:v>11</c:v>
                </c:pt>
                <c:pt idx="3">
                  <c:v>8</c:v>
                </c:pt>
                <c:pt idx="4">
                  <c:v>15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126</c:v>
                </c:pt>
                <c:pt idx="1">
                  <c:v>139</c:v>
                </c:pt>
                <c:pt idx="2">
                  <c:v>141</c:v>
                </c:pt>
                <c:pt idx="3">
                  <c:v>151</c:v>
                </c:pt>
                <c:pt idx="4">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(SAR,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1211.6</c:v>
                </c:pt>
                <c:pt idx="1">
                  <c:v>1950.8</c:v>
                </c:pt>
                <c:pt idx="2">
                  <c:v>1495.2</c:v>
                </c:pt>
                <c:pt idx="3">
                  <c:v>1135.3</c:v>
                </c:pt>
                <c:pt idx="4">
                  <c:v>-431.1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832.9</c:v>
                </c:pt>
                <c:pt idx="1">
                  <c:v>1052.9</c:v>
                </c:pt>
                <c:pt idx="2">
                  <c:v>1192.1</c:v>
                </c:pt>
                <c:pt idx="3">
                  <c:v>1596.6</c:v>
                </c:pt>
                <c:pt idx="4">
                  <c:v>1502.5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114.5</c:v>
                </c:pt>
                <c:pt idx="1">
                  <c:v>197.2</c:v>
                </c:pt>
                <c:pt idx="2">
                  <c:v>231.2</c:v>
                </c:pt>
                <c:pt idx="3">
                  <c:v>175.4</c:v>
                </c:pt>
                <c:pt idx="4">
                  <c:v>66.1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11.9</c:v>
                </c:pt>
                <c:pt idx="1">
                  <c:v>11.9</c:v>
                </c:pt>
                <c:pt idx="2">
                  <c:v>11.9</c:v>
                </c:pt>
                <c:pt idx="3">
                  <c:v>11.9</c:v>
                </c:pt>
                <c:pt idx="4">
                  <c:v>11.9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36.7</c:v>
                </c:pt>
                <c:pt idx="1">
                  <c:v>41.4</c:v>
                </c:pt>
                <c:pt idx="2">
                  <c:v>38.9</c:v>
                </c:pt>
                <c:pt idx="3">
                  <c:v>43.6</c:v>
                </c:pt>
                <c:pt idx="4">
                  <c:v>36.2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-1.4</c:v>
                </c:pt>
                <c:pt idx="1">
                  <c:v>-1.8</c:v>
                </c:pt>
                <c:pt idx="2">
                  <c:v>-1.6</c:v>
                </c:pt>
                <c:pt idx="3">
                  <c:v>-1.47</c:v>
                </c:pt>
                <c:pt idx="4">
                  <c:v>-0.46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(SAR,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c:v>
                </c:pt>
                <c:pt idx="2">
                  <c:v>2028+</c:v>
                </c:pt>
              </c:strCache>
            </c:strRef>
          </c:cat>
          <c:val>
            <c:numRef>
              <c:f>Hoja1!$B$2:$B$4</c:f>
              <c:numCache>
                <c:formatCode>#,##0</c:formatCode>
                <c:ptCount val="3"/>
                <c:pt idx="0">
                  <c:v>262.8</c:v>
                </c:pt>
                <c:pt idx="1">
                  <c:v>499.8</c:v>
                </c:pt>
                <c:pt idx="2">
                  <c:v>110.6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(SAR,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371.8</c:v>
                </c:pt>
                <c:pt idx="2">
                  <c:v>415.1</c:v>
                </c:pt>
                <c:pt idx="3">
                  <c:v>312.6</c:v>
                </c:pt>
                <c:pt idx="4">
                  <c:v>0.4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400</c:v>
                </c:pt>
                <c:pt idx="1">
                  <c:v>475.2</c:v>
                </c:pt>
                <c:pt idx="2">
                  <c:v>594.9</c:v>
                </c:pt>
                <c:pt idx="3">
                  <c:v>714</c:v>
                </c:pt>
                <c:pt idx="4">
                  <c:v>1190.4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181.2</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Independiente</c:v>
                </c:pt>
              </c:strCache>
            </c:strRef>
          </c:cat>
          <c:val>
            <c:numRef>
              <c:f>Hoja1!$B$2:$B$3</c:f>
              <c:numCache>
                <c:formatCode>0</c:formatCode>
                <c:ptCount val="2"/>
                <c:pt idx="0">
                  <c:v>6</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Saudi Telecom Company (stc)</c:v>
                </c:pt>
                <c:pt idx="1">
                  <c:v>Autocartera (plan de incentivos de empleados)</c:v>
                </c:pt>
                <c:pt idx="2">
                  <c:v>Flotante (instituciones locales y extranjeras, particulares)</c:v>
                </c:pt>
              </c:strCache>
            </c:strRef>
          </c:cat>
          <c:val>
            <c:numRef>
              <c:f>Hoja1!$B$2:$B$4</c:f>
              <c:numCache>
                <c:formatCode>0.0"%"</c:formatCode>
                <c:ptCount val="3"/>
                <c:pt idx="0">
                  <c:v>79</c:v>
                </c:pt>
                <c:pt idx="1">
                  <c:v>0.8</c:v>
                </c:pt>
                <c:pt idx="2">
                  <c:v>20.2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31.4</c:v>
                </c:pt>
                <c:pt idx="1">
                  <c:v>46.7</c:v>
                </c:pt>
                <c:pt idx="2">
                  <c:v>-21.1</c:v>
                </c:pt>
                <c:pt idx="3">
                  <c:v>-13.6</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-6.1</c:v>
                </c:pt>
                <c:pt idx="1">
                  <c:v>15</c:v>
                </c:pt>
                <c:pt idx="2">
                  <c:v>-0.2</c:v>
                </c:pt>
                <c:pt idx="3">
                  <c:v>-8.2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19</c:v>
                </c:pt>
                <c:pt idx="1">
                  <c:v>19.1</c:v>
                </c:pt>
                <c:pt idx="2">
                  <c:v>23.6</c:v>
                </c:pt>
                <c:pt idx="3">
                  <c:v>15.2</c:v>
                </c:pt>
                <c:pt idx="4">
                  <c:v>13.1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19</c:v>
                </c:pt>
                <c:pt idx="1">
                  <c:v>19</c:v>
                </c:pt>
                <c:pt idx="2">
                  <c:v>19</c:v>
                </c:pt>
                <c:pt idx="3">
                  <c:v>19</c:v>
                </c:pt>
                <c:pt idx="4">
                  <c:v>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solutions</c:v>
                </c:pt>
                <c:pt idx="1">
                  <c:v>Elm</c:v>
                </c:pt>
                <c:pt idx="2">
                  <c:v>Perfect Presentation (2P)</c:v>
                </c:pt>
                <c:pt idx="3">
                  <c:v>Infosys (ADR)</c:v>
                </c:pt>
                <c:pt idx="4">
                  <c:v>Cognizant</c:v>
                </c:pt>
                <c:pt idx="5">
                  <c:v>Capgemini</c:v>
                </c:pt>
                <c:pt idx="6">
                  <c:v>Sopra Steria</c:v>
                </c:pt>
              </c:strCache>
            </c:strRef>
          </c:cat>
          <c:val>
            <c:numRef>
              <c:f>Hoja1!$B$2:$B$8</c:f>
              <c:numCache>
                <c:formatCode>0.0"x"</c:formatCode>
                <c:ptCount val="7"/>
                <c:pt idx="0">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(SAR,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1592</c:v>
                </c:pt>
                <c:pt idx="1">
                  <c:v>1597</c:v>
                </c:pt>
                <c:pt idx="2">
                  <c:v>1695</c:v>
                </c:pt>
                <c:pt idx="3">
                  <c:v>1789</c:v>
                </c:pt>
                <c:pt idx="4">
                  <c:v>1880</c:v>
                </c:pt>
                <c:pt idx="5">
                  <c:v>1967</c:v>
                </c:pt>
                <c:pt idx="6">
                  <c:v>2047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(SAR,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7991</c:v>
                </c:pt>
                <c:pt idx="1">
                  <c:v>11865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(SAR) · precio actual 92,55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58.5</c:v>
                </c:pt>
                <c:pt idx="1">
                  <c:v>82.38</c:v>
                </c:pt>
                <c:pt idx="2">
                  <c:v>96.31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92,55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(85,05 – 131,50)</c:v>
                </c:pt>
                <c:pt idx="1">
                  <c:v>Precio objetivo de los analistas (104,60 – 161,00)</c:v>
                </c:pt>
                <c:pt idx="2">
                  <c:v>Comparables: PER NTM (66,41 – 102,72)</c:v>
                </c:pt>
                <c:pt idx="3">
                  <c:v>DCF (WACC y g ± 0,5) (75,52 – 90,95)</c:v>
                </c:pt>
                <c:pt idx="4">
                  <c:v>Escenarios (bajista – alcista) (58,50 – 96,31)</c:v>
                </c:pt>
                <c:pt idx="5">
                  <c:v>DCF con la prima implícita del mercado (4,2 %)</c:v>
                </c:pt>
                <c:pt idx="6">
                  <c:v>Precio actual (92,55)</c:v>
                </c:pt>
              </c:strCache>
            </c:strRef>
          </c:cat>
          <c:val>
            <c:numRef>
              <c:f>Hoja1!$B$2:$B$8</c:f>
              <c:numCache>
                <c:formatCode>#,##0</c:formatCode>
                <c:ptCount val="7"/>
                <c:pt idx="0">
                  <c:v>85.05</c:v>
                </c:pt>
                <c:pt idx="1">
                  <c:v>104.6</c:v>
                </c:pt>
                <c:pt idx="2">
                  <c:v>66.41</c:v>
                </c:pt>
                <c:pt idx="3">
                  <c:v>75.52</c:v>
                </c:pt>
                <c:pt idx="4">
                  <c:v>58.5</c:v>
                </c:pt>
                <c:pt idx="5">
                  <c:v>90.42</c:v>
                </c:pt>
                <c:pt idx="6">
                  <c:v>92.09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(85,05 – 131,50)</c:v>
                </c:pt>
                <c:pt idx="1">
                  <c:v>Precio objetivo de los analistas (104,60 – 161,00)</c:v>
                </c:pt>
                <c:pt idx="2">
                  <c:v>Comparables: PER NTM (66,41 – 102,72)</c:v>
                </c:pt>
                <c:pt idx="3">
                  <c:v>DCF (WACC y g ± 0,5) (75,52 – 90,95)</c:v>
                </c:pt>
                <c:pt idx="4">
                  <c:v>Escenarios (bajista – alcista) (58,50 – 96,31)</c:v>
                </c:pt>
                <c:pt idx="5">
                  <c:v>DCF con la prima implícita del mercado (4,2 %)</c:v>
                </c:pt>
                <c:pt idx="6">
                  <c:v>Precio actual (92,55)</c:v>
                </c:pt>
              </c:strCache>
            </c:strRef>
          </c:cat>
          <c:val>
            <c:numRef>
              <c:f>Hoja1!$C$2:$C$8</c:f>
              <c:numCache>
                <c:formatCode>#,##0</c:formatCode>
                <c:ptCount val="7"/>
                <c:pt idx="0">
                  <c:v>46.45</c:v>
                </c:pt>
                <c:pt idx="1">
                  <c:v>56.400000000000006</c:v>
                </c:pt>
                <c:pt idx="2">
                  <c:v>36.31</c:v>
                </c:pt>
                <c:pt idx="3">
                  <c:v>15.430000000000007</c:v>
                </c:pt>
                <c:pt idx="4">
                  <c:v>37.81</c:v>
                </c:pt>
                <c:pt idx="5">
                  <c:v>12.689999999999998</c:v>
                </c:pt>
                <c:pt idx="6">
                  <c:v>0.9200000000000017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