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Orion Oyj</w:t>
      </w:r>
    </w:p>
    <w:p>
      <w:pPr>
        <w:spacing w:after="60"/>
        <w:rPr>
          <w:color w:val="52514E"/>
          <w:sz w:val="22"/>
          <w:szCs w:val="22"/>
        </w:rPr>
      </w:pPr>
      <w:r>
        <w:rPr>
          <w:color w:val="52514E"/>
          <w:sz w:val="22"/>
          <w:szCs w:val="22"/>
        </w:rPr>
        <w:t xml:space="preserve">ORNBV · Nasdaq Helsinki (acción B) · ISIN FI0009014377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106,50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+22,6 % (base +19,5 %)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44,36 EUR · mercado 49,71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12.395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Orion Oyj</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ORNBV / FI0009014377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Helsinki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Helsinki 25 / 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Espoo (Finlandia)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https://www.orionpharma.com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56,50 – 88,55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12.395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12.560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12,6 M EUR/día (3 meses, solo la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106,50 EUR</w:t>
      </w:r>
      <w:r>
        <w:t xml:space="preserve"> frente a 88,30 · Rentabilidad a 12 meses </w:t>
      </w:r>
      <w:r>
        <w:rPr>
          <w:b/>
          <w:bCs/>
        </w:rPr>
        <w:t xml:space="preserve">+22,6 % (base +19,5 %)</w:t>
      </w:r>
      <w:r>
        <w:t xml:space="preserve"> · Valor intrínseco 44,36 EUR · con la prima implícita del mercado: 49,71 (-43,7 %) · Alcista / bajista -24,7 % / -66,5 %</w:t>
      </w:r>
    </w:p>
    <w:p>
      <w:pPr>
        <w:spacing w:after="100"/>
      </w:pPr>
      <w:r>
        <w:rPr>
          <w:b/>
        </w:rPr>
        <w:t xml:space="preserve">La recomendación y por qué.</w:t>
      </w:r>
      <w:r>
        <w:t xml:space="preserve"> Mantener, con convicción media. La regla a 12 meses da subidas (objetivo de 106,50 EUR, +22,6 % ponderado con dividendo y +19,5 % en el base) porque mide el beneficio de 2028, el mejor año de Nubeqa, con un PER de ≈ 20 veces. Pero el valor intrínseco es de 44,36 EUR, un 50 % bajo el precio de 88,30 EUR (cierre del 20-oct-2026), y la regla no deja comprar si el valor intrínseco no cubre el precio. La convicción es media porque las dos lecturas chocan: el beneficio de los próximos dos años es sólido (nuestro BPA es el del consenso), pero su duración depende de patentes y de una cartera de I+D sin probar. Subiría la convicción una caída del precio hacia el valor intrínseco o un dato positivo de opevesostat; la bajaría la entrada de Nubeqa en la negociación de precios de Medicare.</w:t>
      </w:r>
    </w:p>
    <w:p>
      <w:pPr>
        <w:spacing w:after="100"/>
      </w:pPr>
      <w:r>
        <w:rPr>
          <w:b/>
        </w:rPr>
        <w:t xml:space="preserve">El negocio.</w:t>
      </w:r>
      <w:r>
        <w:t xml:space="preserve"> Orion es un laboratorio finlandés con dos negocios: las regalías y pastillas de Nubeqa, el fármaco para el cáncer de próstata que inventó y vende Bayer (610 M EUR en 2025, con margen muy alto) [2], y un laboratorio europeo de genéricos, marcas e inhaladores Easyhaler (≈ 1.100 M EUR) que, tras pagar todo el I+D, apenas gana dinero.</w:t>
      </w:r>
    </w:p>
    <w:p>
      <w:pPr>
        <w:spacing w:after="100"/>
      </w:pPr>
      <w:r>
        <w:rPr>
          <w:b/>
        </w:rPr>
        <w:t xml:space="preserve">Finanzas.</w:t>
      </w:r>
      <w:r>
        <w:t xml:space="preserve"> Ventas de 1.890 M EUR en 2025 (+10,3 % anual desde 2019) y BPA de 3,56 EUR, de los que ≈ 1,04 son hitos que no se repiten [2]. Guía de 2026: ventas de 2.000-2.100 M y resultado de explotación de 650-750 M [3]. Sin deuda neta, ROIC del 39 % y dividendo creciente (1,80 EUR).</w:t>
      </w:r>
    </w:p>
    <w:p>
      <w:pPr>
        <w:spacing w:after="100"/>
      </w:pPr>
      <w:r>
        <w:rPr>
          <w:b/>
        </w:rPr>
        <w:t xml:space="preserve">Equipo y gobierno.</w:t>
      </w:r>
      <w:r>
        <w:t xml:space="preserve"> Liisa Hurme, en Orion desde 1999 y consejera delegada desde 2022, ha cumplido o superado la guía inicial seis años seguidos [2]. Consejo de ocho independientes; doble clase de acciones (las A con 20 votos) que protege de una opa hostil [1].</w:t>
      </w:r>
    </w:p>
    <w:p>
      <w:pPr>
        <w:spacing w:after="100"/>
      </w:pPr>
      <w:r>
        <w:rPr>
          <w:b/>
        </w:rPr>
        <w:t xml:space="preserve">Valoración.</w:t>
      </w:r>
      <w:r>
        <w:t xml:space="preserve"> El DCF da 41,11 EUR: casi todo el valor son los flujos de Nubeqa hasta que venzan sus patentes (EE. UU. 2033, Europa y Japón 2035 [19]). El precio exige un crecimiento del 14,6 % anual hasta 2037 o una rentabilidad de solo el 3,9 % anual. Ni el alcista con opevesostat aprobado (66,49 EUR) llega al precio. Los analistas ponen un objetivo medio de 77,33 EUR [35].</w:t>
      </w:r>
    </w:p>
    <w:p>
      <w:pPr>
        <w:spacing w:after="100"/>
      </w:pPr>
      <w:r>
        <w:rPr>
          <w:b/>
        </w:rPr>
        <w:t xml:space="preserve">Riesgos y catalizadores.</w:t>
      </w:r>
      <w:r>
        <w:t xml:space="preserve"> Dependencia de Nubeqa, precio negociado de Medicare desde 2029 (supuesto propio), competencia de la enzalutamida genérica y una cartera de I+D con varios fracasos (ODM-111, ODM-105, LEVEL). El 3T26 sale el 28-oct; opevesostat (MSD) da datos de fase 3 hacia 2028.</w:t>
      </w:r>
    </w:p>
    <w:p>
      <w:pPr>
        <w:spacing w:after="100"/>
      </w:pPr>
      <w:r>
        <w:rPr>
          <w:b/>
        </w:rPr>
        <w:t xml:space="preserve">Qué cambiaría la decisión.</w:t>
      </w:r>
      <w:r>
        <w:t xml:space="preserve"> Comprar por debajo de 44,36 EUR (donde el valor intrínseco cubre el precio); vender por encima de 120,33. Opevesostat positivo en fase 3 o una sentencia que sostenga las patentes de formulación hasta 2036-2038 subirían el valor.</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106,50 EUR</w:t>
      </w:r>
      <w:r>
        <w:t xml:space="preserve"> (rentabilidad +22,6 % (base +19,5 %)) · Valor intrínseco: 44,36 EUR (-49,8 % sobre 88,30) · con la prima implícita del mercado: 49,71 (-43,7 %)</w:t>
      </w:r>
    </w:p>
    <w:p>
      <w:pPr>
        <w:spacing w:after="100"/>
      </w:pPr>
      <w:r>
        <w:t xml:space="preserve">Orion cobra regalías de uno de los antiandrógenos de mayor crecimiento del mundo (Nubeqa, 2.385 M EUR de ventas de Bayer en 2025, +62 %) sin pagar su comercialización, y lo combina con un laboratorio nórdico estable. El beneficio crecerá ≈ 12 % al año hasta 2028, pero el producto tiene patente hasta 2033-2035 y el resto del negocio gana poco tras el I+D: a 88 EUR el precio paga una duración del beneficio que las patentes no garantizan.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4,41 = 69,24 · 20,5x × 5,06 = 103,73 · 26,8x × 5,57 = 149,28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 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77,33 (nuestro base +34,1 %)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 / -66,5 %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(2027e-2037e)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44,36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44,36 y 120,33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120,33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44,36 EUR: Comprar (el valor intrínseco cubre el precio y la regla a 12 meses ya da más del 15 %).</w:t>
      </w:r>
    </w:p>
    <w:p>
      <w:pPr>
        <w:pStyle w:val="ListParagraph"/>
        <w:numPr>
          <w:ilvl w:val="0"/>
          <w:numId w:val="2"/>
        </w:numPr>
        <w:spacing w:after="60"/>
      </w:pPr>
      <w:r>
        <w:t xml:space="preserve">Precio por encima de 120,33 EUR: Vender.</w:t>
      </w:r>
    </w:p>
    <w:p>
      <w:pPr>
        <w:pStyle w:val="ListParagraph"/>
        <w:numPr>
          <w:ilvl w:val="0"/>
          <w:numId w:val="2"/>
        </w:numPr>
        <w:spacing w:after="60"/>
      </w:pPr>
      <w:r>
        <w:t xml:space="preserve">Opevesostat positivo en OMAHA-003/004 (2028): revisar al alza el valor intrínseco.</w:t>
      </w:r>
    </w:p>
    <w:p>
      <w:pPr>
        <w:pStyle w:val="ListParagraph"/>
        <w:numPr>
          <w:ilvl w:val="0"/>
          <w:numId w:val="2"/>
        </w:numPr>
        <w:spacing w:after="60"/>
      </w:pPr>
      <w:r>
        <w:t xml:space="preserve">Patentes de formulación de 2036-2038 confirmadas en EE. UU.: alargar Nubeqa en el DCF.</w:t>
      </w:r>
    </w:p>
    <w:p>
      <w:pPr>
        <w:pStyle w:val="ListParagraph"/>
        <w:numPr>
          <w:ilvl w:val="0"/>
          <w:numId w:val="2"/>
        </w:numPr>
        <w:spacing w:after="60"/>
      </w:pPr>
      <w:r>
        <w:t xml:space="preserve">Nubeqa en la lista de Medicare de 2027 con recorte fuerte: reforzar la prudencia.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Nubeqa seguirá creciendo y que Orion encontrará un sustituto (opevesostat, biológicos) antes de que venzan las patentes; paga ≈ 20 veces el BPA de 2027, como un laboratorio con beneficio duradero.</w:t>
      </w:r>
    </w:p>
    <w:p>
      <w:pPr>
        <w:keepNext/>
        <w:spacing w:after="100"/>
      </w:pPr>
      <w:r>
        <w:rPr>
          <w:b/>
          <w:bCs/>
        </w:rPr>
        <w:t xml:space="preserve">Lo que creemos nosotros.</w:t>
      </w:r>
    </w:p>
    <w:p>
      <w:pPr>
        <w:spacing w:after="100"/>
      </w:pPr>
      <w:r>
        <w:t xml:space="preserve">Coincidimos en el beneficio de 2026-2028 (nuestro BPA es el del consenso); discrepamos en la duración. Sin un sustituto probado, el beneficio de 2028 es un máximo, no una base: el DCF con las patentes da 41 EUR.</w:t>
      </w:r>
    </w:p>
    <w:p>
      <w:pPr>
        <w:keepNext/>
        <w:spacing w:after="100"/>
      </w:pPr>
      <w:r>
        <w:rPr>
          <w:b/>
          <w:bCs/>
        </w:rPr>
        <w:t xml:space="preserve">Por qué podemos tener razón.</w:t>
      </w:r>
    </w:p>
    <w:p>
      <w:pPr>
        <w:spacing w:after="100"/>
      </w:pPr>
      <w:r>
        <w:t xml:space="preserve">Bayer publica las fechas de patente del compuesto (EE. UU. 2033, Europa 2035) [19] y la cartera propia ha fallado tres veces en dos años [15, 23]; opevesostat es real pero está en fase 3 y en manos de MSD.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Nubeqa en máximos</w:t>
      </w:r>
      <w:r>
        <w:t xml:space="preserve">: +69 % en el 2T26, con el tramo alto de regalías alcanzado [3].</w:t>
      </w:r>
    </w:p>
    <w:p>
      <w:pPr>
        <w:pStyle w:val="ListParagraph"/>
        <w:numPr>
          <w:ilvl w:val="0"/>
          <w:numId w:val="2"/>
        </w:numPr>
        <w:spacing w:after="60"/>
      </w:pPr>
      <w:r>
        <w:rPr>
          <w:b/>
        </w:rPr>
        <w:t xml:space="preserve">Rentabilidad excepcional</w:t>
      </w:r>
      <w:r>
        <w:t xml:space="preserve">: ROIC del 39 % sin deuda neta.</w:t>
      </w:r>
    </w:p>
    <w:p>
      <w:pPr>
        <w:pStyle w:val="ListParagraph"/>
        <w:numPr>
          <w:ilvl w:val="0"/>
          <w:numId w:val="2"/>
        </w:numPr>
        <w:spacing w:after="60"/>
      </w:pPr>
      <w:r>
        <w:rPr>
          <w:b/>
        </w:rPr>
        <w:t xml:space="preserve">Guía cumplida</w:t>
      </w:r>
      <w:r>
        <w:t xml:space="preserve">: seis años igualando o superando la guía inicial; 2026 elevada dos veces [2].</w:t>
      </w:r>
    </w:p>
    <w:p>
      <w:pPr>
        <w:pStyle w:val="ListParagraph"/>
        <w:numPr>
          <w:ilvl w:val="0"/>
          <w:numId w:val="2"/>
        </w:numPr>
        <w:spacing w:after="60"/>
      </w:pPr>
      <w:r>
        <w:rPr>
          <w:b/>
        </w:rPr>
        <w:t xml:space="preserve">Opción opevesostat</w:t>
      </w:r>
      <w:r>
        <w:t xml:space="preserve">: hasta 1.630 M USD de hitos y regalías del 10-20 %, financiado por MSD [2].</w:t>
      </w:r>
    </w:p>
    <w:p>
      <w:pPr>
        <w:pStyle w:val="ListParagraph"/>
        <w:numPr>
          <w:ilvl w:val="0"/>
          <w:numId w:val="2"/>
        </w:numPr>
        <w:spacing w:after="60"/>
      </w:pPr>
      <w:r>
        <w:rPr>
          <w:b/>
        </w:rPr>
        <w:t xml:space="preserve">Dividendo creciente</w:t>
      </w:r>
      <w:r>
        <w:t xml:space="preserve">: 1,80 EUR (2,0 %) con política de subirlo cada año [1].</w:t>
      </w:r>
    </w:p>
    <w:p>
      <w:pPr>
        <w:pStyle w:val="Heading2"/>
      </w:pPr>
      <w:r>
        <w:t xml:space="preserve">En contra</w:t>
      </w:r>
    </w:p>
    <w:p>
      <w:pPr>
        <w:pStyle w:val="ListParagraph"/>
        <w:numPr>
          <w:ilvl w:val="0"/>
          <w:numId w:val="2"/>
        </w:numPr>
        <w:spacing w:after="60"/>
      </w:pPr>
      <w:r>
        <w:rPr>
          <w:b/>
        </w:rPr>
        <w:t xml:space="preserve">Patentes con fecha</w:t>
      </w:r>
      <w:r>
        <w:t xml:space="preserve">: compuesto de Nubeqa hasta 2033 en EE. UU. y 2035 en Europa [19].</w:t>
      </w:r>
    </w:p>
    <w:p>
      <w:pPr>
        <w:pStyle w:val="ListParagraph"/>
        <w:numPr>
          <w:ilvl w:val="0"/>
          <w:numId w:val="2"/>
        </w:numPr>
        <w:spacing w:after="60"/>
      </w:pPr>
      <w:r>
        <w:rPr>
          <w:b/>
        </w:rPr>
        <w:t xml:space="preserve">Valor intrínseco a la mitad</w:t>
      </w:r>
      <w:r>
        <w:t xml:space="preserve">: DCF de 41 EUR frente a 88 de precio.</w:t>
      </w:r>
    </w:p>
    <w:p>
      <w:pPr>
        <w:pStyle w:val="ListParagraph"/>
        <w:numPr>
          <w:ilvl w:val="0"/>
          <w:numId w:val="2"/>
        </w:numPr>
        <w:spacing w:after="60"/>
      </w:pPr>
      <w:r>
        <w:rPr>
          <w:b/>
        </w:rPr>
        <w:t xml:space="preserve">IRA y genéricos de la clase</w:t>
      </w:r>
      <w:r>
        <w:t xml:space="preserve">: Medicare puede negociar el precio de Nubeqa desde 2029.</w:t>
      </w:r>
    </w:p>
    <w:p>
      <w:pPr>
        <w:pStyle w:val="ListParagraph"/>
        <w:numPr>
          <w:ilvl w:val="0"/>
          <w:numId w:val="2"/>
        </w:numPr>
        <w:spacing w:after="60"/>
      </w:pPr>
      <w:r>
        <w:rPr>
          <w:b/>
        </w:rPr>
        <w:t xml:space="preserve">I+D con fracasos</w:t>
      </w:r>
      <w:r>
        <w:t xml:space="preserve">: ODM-111, ODM-105 y LEVEL en dos años [15, 23].</w:t>
      </w:r>
    </w:p>
    <w:p>
      <w:pPr>
        <w:pStyle w:val="ListParagraph"/>
        <w:numPr>
          <w:ilvl w:val="0"/>
          <w:numId w:val="2"/>
        </w:numPr>
        <w:spacing w:after="60"/>
      </w:pPr>
      <w:r>
        <w:rPr>
          <w:b/>
        </w:rPr>
        <w:t xml:space="preserve">En máximos históricos</w:t>
      </w:r>
      <w:r>
        <w:t xml:space="preserve">: +30 % en 12 meses y objetivo medio de los analistas un 12 % bajo el precio [35].</w:t>
      </w:r>
    </w:p>
    <w:p>
      <w:pPr>
        <w:pStyle w:val="Heading2"/>
      </w:pPr>
      <w:r>
        <w:t xml:space="preserve">Qué tiene que pasar para que la tesis funcione</w:t>
      </w:r>
    </w:p>
    <w:p>
      <w:pPr>
        <w:spacing w:after="100"/>
      </w:pPr>
      <w:r>
        <w:t xml:space="preserve">La tesis depende de cuánto dure el beneficio de Nubeqa. Las señales a favor serían opevesostat positivo en fase 3, una sentencia que sostenga las patentes de 2036-2038 o que Nubeqa quede fuera de la negociación de Medicare; en contra, la lista de Medicare de 2027 con Nubeqa o una desaceleración de las ventas de Bayer.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Nubeqa registradas por Orion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 EUR en el 1S26 (+64,9 %)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Nubeqa de Bayer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 M EUR en 2025 (+62 %)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regalía media.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explotación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650-750 M EUR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Easyhaler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 M EUR en el 1S26 (+7,2 %)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motor del negocio sin Nubeqa.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M EUR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280 M sin hitos nuevos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Define el margen del resto del negocio.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19,1x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Orion nace en 1917 en Helsinki y es durante un siglo el laboratorio de referencia de Finlandia. En 2006 se separa en dos sociedades cotizadas, Orion (laboratorio) y Oriola (distribución) [1]. En los años 2000 vive de sus fármacos para el párkinson (Stalevo, Comtess, entacapona), del levosimendán (Simdax) y de la dexmedetomidina (Dexdor, Precedex), que fueron perdiendo patentes. La gran apuesta fue la darolutamida (ODM-201), desarrollada con Bayer desde 2014 [19] y aprobada como Nubeqa en 2019: desde 2023 es su mayor producto y en 2025 aportó 610 M EUR [2]. En 2022 licenció a MSD el ODM-208 (hoy opevesostat) y con Liisa Hurme al frente invierte las regalías en I+D, biológicos y biosimilares.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Orion en Helsinki.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del grupo en Orion (laboratorio) y Oriola (distribución)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Bayer para la darolutamida (ODM-201); arranca el ensayo ARAMIS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Nubeqa en EE. UU. (cáncer de próstata no metastásico resistente a la castración).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ODM-208 (opevesostat) a MSD (208 M EUR netos de pago inicial); compra de Inovet; Liisa Hurme consejera delegada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Abandono de ODM-111 y deterioros de 41 M EUR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aprobada por la FDA en cáncer hormonosensible metastásico; ventas de Nubeqa de 610 M EUR e hito de 180 M de Bayer [2,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estima que Nubeqa puede superar 1.000 M EUR al año hacia el final de la década; primer paciente con ODM-216, su primer biológico [21, 22, 25].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Orion es un laboratorio finlandés fundado en 1917 que desarrolla, fabrica y vende medicamentos de receta, genéricos, productos sin receta y veterinarios, y principios activos (Fermion). Su producto más importante es Nubeqa (darolutamida), un fármaco para el cáncer de próstata que descubrió Orion y vende Bayer en todo el mundo: Orion fabrica las pastillas y cobra regalías escalonadas [1, 2].</w:t>
      </w:r>
    </w:p>
    <w:p>
      <w:pPr>
        <w:pStyle w:val="Heading2"/>
      </w:pPr>
      <w:r>
        <w:t xml:space="preserve">Cómo gana dinero</w:t>
      </w:r>
    </w:p>
    <w:p>
      <w:pPr>
        <w:spacing w:after="100"/>
      </w:pPr>
      <w:r>
        <w:t xml:space="preserve">Dos negocios distintos: (1) las regalías y pastillas de Nubeqa (610 M EUR en 2025, margen muy alto porque Bayer paga la comercialización) y (2) un laboratorio europeo de genéricos, marcas e inhaladores Easyhaler (≈ 1.100 M EUR, margen bajo una vez cargado todo el I+D) [2]. Además, cobra hitos irregulares por licencias (183 M en 2025).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innovadores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marca (Branded Products)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salud de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animal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Fermion (principios activos)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Medicamentos innovadores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marca (Branded Products)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salud de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animal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Fermion (principios activos)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Bayer es con diferencia el mayor cliente: paga las regalías de Nubeqa (432,5 M EUR en 2025) y compra las pastillas que fabrica Orion (177,3 M), ≈ 32 % de las ventas de 2025 sin contar el hito de 180 M [2]. El resto se vende a mayoristas, farmacias y hospitales de Europa, muy repartido.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Nubeqa registradas por Orion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381,8 (+64,9 %)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totales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Regalía media ≈ 25 % de las ventas de Bayer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Easyhaler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95,3 (+7,2 %)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Entacapona (Stalevo, Comtess)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44,4 (−4 %), genéricos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 de las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sin hitos relevantes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farmacéutico de receta europeo (marcas propias, genéricos e inhaladores, donde Orion vende con su red) más el mercado mundial de inhibidores del receptor de andrógenos para el cáncer de próstata, del que Orion cobra regalías a través de Bayer. Se excluyen los biológicos de gran tamaño, donde Orion apenas empieza (ODM-216, biosimilares con socios).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330.000 M EUR de ventas farmacéuticas a precio de fábrica en Europa en 2025 (estimación de EFPIA) y 1.475.815 M EUR en el mundo, de los que Norteamérica es el 54,7 % [18]. Nubeqa vendió 2.385 M EUR en 2025 (+62,4 %)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en Europa (cientos de laboratorios, ninguno con más del 5-6 %); concentrada en cada clase terapéutica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mercado farmacéutico europeo a precio de fábrica; EF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cáncer de próstata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crece en todas las regiones con nuevas indicaciones (mHSPC, ARANOTE, aprobación de la FDA en junio de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(IRA en EE. UU., referencias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dice que la IRA ya rebajó los precios de Nubeqa en EE. UU.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Principio activo de Nubeqa: EE. UU. 2033, Europa y Japón 2035, China y Brasil 2030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de referencia en los países nórdicos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Entacapona −4 % en el 1S26 por genéricos y bajadas de precio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 de la cartera de 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Opevesostat con MSD: hasta 1.630 M USD en hitos y regalías del 10-20 %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compite con enzalutamida (Xtandi) y apalutamida (Erleada) en el mismo paciente; en genéricos, competencia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nuevos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y ensayos de fase 3 protegen los productos propios hasta 2033-2035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fijan precios (subastas nórdicas, IRA); Bayer controla la comercialización de Nubeqa.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Fermion fabrica principios activos propios; dependencia baja.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Sustitutivos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mecanismos en próstata (radioligandos, opevesostat de MSD, que es de la propia Orion) [20].</w:t>
            </w:r>
          </w:p>
        </w:tc>
      </w:tr>
    </w:tbl>
    <w:p>
      <w:pPr>
        <w:spacing w:after="160" w:before="0"/>
      </w:pPr>
    </w:p>
    <w:p>
      <w:pPr>
        <w:pStyle w:val="Heading2"/>
      </w:pPr>
      <w:r>
        <w:t xml:space="preserve">Ciclo</w:t>
      </w:r>
    </w:p>
    <w:p>
      <w:pPr>
        <w:spacing w:after="100"/>
      </w:pPr>
      <w:r>
        <w:t xml:space="preserve">La demanda de medicamentos no depende del ciclo económico; el riesgo es regulatorio y de patentes, no de demanda.</w:t>
      </w:r>
    </w:p>
    <w:p>
      <w:pPr>
        <w:pStyle w:val="Heading2"/>
      </w:pPr>
      <w:r>
        <w:t xml:space="preserve">Regulación</w:t>
      </w:r>
    </w:p>
    <w:p>
      <w:pPr>
        <w:spacing w:after="100"/>
      </w:pPr>
      <w:r>
        <w:t xml:space="preserve">En EE. UU., la Ley de Reducción de la Inflación (IRA) permite a Medicare negociar el precio de los fármacos de molécula pequeña a partir de los 7 años de su aprobación y aplicarlo a los 9: Nubeqa se aprobó en julio de 2019, así que podría ser elegida en 2027 con precio negociado desde 2029 (estimación propia sobre las reglas de la ley; ni Orion ni Bayer lo han confirmado). En Europa, los precios se fijan por país y los genéricos entran al vencer las patentes. Hetero presentó en EE. UU. una solicitud de genérico (ANDA) contra patentes de 2036 y 2038 que no pide entrar antes del vencimiento de la patente del compuesto [7].</w:t>
      </w:r>
    </w:p>
    <w:p>
      <w:pPr>
        <w:pStyle w:val="Heading2"/>
      </w:pPr>
      <w:r>
        <w:t xml:space="preserve">Tendencias y disrupción</w:t>
      </w:r>
    </w:p>
    <w:p>
      <w:pPr>
        <w:spacing w:after="100"/>
      </w:pPr>
      <w:r>
        <w:t xml:space="preserve">La oncología crece más que el mercado; los genéricos de molécula pequeña presionan precios; los biosimilares se abren como nueva línea para laboratorios medianos europeos (Orion firmó nivolumab con Shilpa y pembrolizumab con Qilu) [24]. Orion pasa de laboratorio regional a uno con un gran producto global por regalías.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Laboratorio mediano europeo: líder en Finlandia (≈ 365 M EUR de ventas en 2025) y con ≈ 0,6 % del mercado europeo; su peso global viene de las regalías de Nubeqa, tercer antiandrógeno de nueva generación tras Xtandi y Erleada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UCB.BR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Biofarma belga; neurología e inmunología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y enfermedades raras; Somatuline ya con genéricos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Enfermedades raras y atención primaria en Europa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Hikma Pharmaceuticals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e inyectables (cifras en USD convertidas)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Easyhaler: los pacientes y médicos no cambian de inhalador con facilidad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del compuesto de darolutamida hasta 2033 en EE. UU. y 2035 en Europa y Japón [3]; know-how en inhaladores de polvo seco.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de principios activos (Fermion)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nórdica sin rival local de su tamaño [1].</w:t>
            </w:r>
          </w:p>
        </w:tc>
      </w:tr>
    </w:tbl>
    <w:p>
      <w:pPr>
        <w:spacing w:after="160" w:before="0"/>
      </w:pPr>
    </w:p>
    <w:p>
      <w:pPr>
        <w:pStyle w:val="Heading2"/>
      </w:pPr>
      <w:r>
        <w:t xml:space="preserve">Amenazas</w:t>
      </w:r>
    </w:p>
    <w:p>
      <w:pPr>
        <w:spacing w:after="100"/>
      </w:pPr>
      <w:r>
        <w:t xml:space="preserve">Lo que más erosiona el foso es el tiempo: la patente del compuesto de Nubeqa vence en EE. UU. en 2033 y en Europa en 2035 [19], y la IRA puede recortar el precio en EE. UU. desde 2029. Después, que la cartera propia no sustituya a Nubeqa: ODM-111 se abandonó en 2024 [15] y el levosimendán de Tenax falló en fase 3 [23]; la esperanza es opevesostat (MSD, fase 3 hasta 2028)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2019-2025: ingresos </w:t>
      </w:r>
      <w:r>
        <w:rPr>
          <w:b/>
          <w:bCs/>
        </w:rPr>
        <w:t xml:space="preserve">10,3 %</w:t>
      </w:r>
      <w:r>
        <w:t xml:space="preserve">, EBITDA </w:t>
      </w:r>
      <w:r>
        <w:rPr>
          <w:b/>
          <w:bCs/>
        </w:rPr>
        <w:t xml:space="preserve">14,3 %</w:t>
      </w:r>
      <w:r>
        <w:t xml:space="preserve">, BPA </w:t>
      </w:r>
      <w:r>
        <w:rPr>
          <w:b/>
          <w:bCs/>
        </w:rPr>
        <w:t xml:space="preserve">16,4 %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1.051 M EUR en 2019 a 1.890 M en 2025 (+10,3 % anual) y el beneficio neto de 200 a 500 M [12]. Casi todo el salto viene de Nubeqa (darolutamida, cáncer de próstata, vendida por Bayer): Orion registró 87 M en 2022 y 610 M en 2025 entre regalías (432,5) y venta de pastillas a Bayer (177,3) [2]. Los pagos por hitos distorsionan cada año: 233,7 M en 2022 (sobre todo el pago inicial de MSD por ODM-208, hoy opevesostat), 133,8 en 2024 y 183,4 en 2025 (180 de Bayer por las ventas de Nubeqa, cobrado en el 2T26) [2, 6, 8]; no se repiten y el BPA de 2025 (3,56 EUR) los lleva dentro (≈ 1,04 EUR por acción). 2023 lleva un ingreso de 30,7 M de pensiones, que se resta como no recurrente, y 2024 deterioros de 41 M (ODM-111 17,5 y ganaxolona 23,5) en las amortizaciones [6, 7]. El LTM a junio de 2026 incluye el hito de 180 M (registrado en el 4T25): se marca como no recurrente.</w:t>
      </w:r>
    </w:p>
    <w:p>
      <w:pPr>
        <w:pStyle w:val="Heading2"/>
      </w:pPr>
      <w:r>
        <w:t xml:space="preserve">Ajustes y partidas no recurrentes</w:t>
      </w:r>
    </w:p>
    <w:p>
      <w:pPr>
        <w:spacing w:after="100"/>
      </w:pPr>
      <w:r>
        <w:t xml:space="preserve">El EBITDA es el publicado por Orion (resultado de explotación + amortizaciones y deterioros) [2]. Los hitos van dentro de las ventas y del EBITDA publicados; para el PER histórico y el BPA comparable se restan después de impuestos (hitos × 0,8 ÷ acciones). Orion no publica un BPA ajustado.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2T26 (17-jul-2026) creció un 25,2 % con Nubeqa +69 % (236,8 M EUR) porque se alcanzó en el trimestre el tramo más alto de la escala anual de regalías; Orion subió la guía a ventas de 2.000-2.100 M y resultado de explotación de 650-750 M [3, 13]. El 3T24 llevaba 130 M de hitos y el 4T25 el de 180 M de Bayer: los trimestres no son comparables entre sí. El 3T26 se publica el 28-oct-2026.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 de Inovet (salud animal, Bélgica) por ≈ 82 M EUR: fondo de comercio de 13,5 a 87,2 M [8].; 2026: Rusia: actividad liquidada, −3,3 M EUR en el 2T26; sin efecto material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muy sólido: deuda neta casi nula, patrimonio de 1.268,9 M EUR y el circulante como principal uso de caja. Existencias (525 M) y clientes (318 M) crecen con Nubeqa: Orion fabrica las pastillas para Bayer y cobra las regalías trimestrales a crédito; a diciembre, «otras cuentas a cobrar» (374 M) incluían el hito de 180 M [1,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1.396</w:t>
      </w:r>
      <w:r>
        <w:t xml:space="preserve">, conversión </w:t>
      </w:r>
      <w:r>
        <w:rPr>
          <w:b/>
          <w:bCs/>
        </w:rPr>
        <w:t xml:space="preserve">69 %</w:t>
      </w:r>
      <w:r>
        <w:t xml:space="preserve"> del beneficio neto; adquisiciones 86, dividendos 1.529, recompras 25.</w:t>
      </w:r>
    </w:p>
    <w:p>
      <w:pPr>
        <w:spacing w:after="100"/>
      </w:pPr>
      <w:r>
        <w:t xml:space="preserve">El flujo operativo fue de 317 M EUR en 2025 (menos que el beneficio de 500 M porque el hito de 180 M se cobró en 2026) y de 311,8 M en el 1S26 (+98,7 %) [2, 3]. El dividendo (≈ 230 M al año) absorbe la mayor parte del flujo libre; la inversión subió a 85-117 M desde 2021 (capacidad para Nubeqa en Turku y Kuopio, Fermion) [1, 2]. Recompra de 500.000 acciones B por 40,5 M EUR entre el 28-ago y el 29-sep-2026 para los planes de incentivos [16,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Oy Ab (socio firmante Toni Aaltonen)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sencillas: sin minoritarios, sin deuda relevante ni ajustes «no GAAP». La calidad del beneficio depende de entender dos cosas: los hitos (ingresos reales pero irregulares) y la estacionalidad de las regalías de Nubeqa, que suben de tramo dentro de cada año y concentran el beneficio en la segunda mitad [2,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dentro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 M EUR en 2025 (10 % de las ventas y ≈ 29 % del beneficio): sin ellos el BPA de 2025 sería ≈ 2,52 EUR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frente a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317 frente a 500 M por el hito cobrado en 2026; en el LTM a junio, 472 frente a 587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ingresos en un socio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paga las regalías y compra las pastillas: ≈ 32 % de las ventas de 2025 y más de la mitad del resultado de explotación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M EUR en 2024 (ODM-111 y ganaxolona) [6, 15].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87 M en 2025 (el 7 % del capital invertido medio); ha subido más de un 5 % en 1 de 6 años: compra única grande. ROIC publicado 39,4 %; sin fondo de comercio, 42,3 %.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49,9 % · </w:t>
      </w:r>
      <w:r>
        <w:rPr>
          <w:b/>
          <w:bCs/>
        </w:rPr>
        <w:t xml:space="preserve">WACC</w:t>
      </w:r>
      <w:r>
        <w:t xml:space="preserve">: 7,8 %.</w:t>
      </w:r>
    </w:p>
    <w:p>
      <w:pPr>
        <w:spacing w:after="100"/>
      </w:pPr>
      <w:r>
        <w:t xml:space="preserve">Rentabilidad muy alta y en subida: el ROIC pasó del 22 % en 2023 al 39,4 % en 2025 y el ROE al 43,7 %, con un ROIC incremental del 49,9 % en los últimos años, todo por las regalías de Nubeqa, que no necesitan capital (Bayer paga la comercialización y Orion solo fabrica las pastillas). El hito de 180 M infla 2025: sin él el ROIC sería de ≈ 28 %, aún más de 20 puntos por encima del WACC (7,8 %). El reto es que esta rentabilidad tiene fecha de caducidad: el negocio sin Nubeqa gana poco (≈ 5 % de margen EBITDA tras todo el I+D, estimación propia [45]).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130,2 M EUR a 30-jun-2026 frente a 132,7 M de deuda con intereses (deuda neta de 2,5 M); ratio de solvencia (patrimonio sobre activo) del 67,9 % [3]. El préstamo que vencía en 2026 se devolvió en el primer semestre con el cobro del hito de Bayer (deuda con intereses de 305,4 a 132,7 M)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publicada.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activo neto de 12,8 M y pasivo de 2,6 M EUR (planes finlandeses casi cerrados) [1]. Pago aplazado de compras de 6,5 M [3]. Sin litigios materiales provisionados.</w:t>
      </w:r>
    </w:p>
    <w:p>
      <w:pPr>
        <w:pStyle w:val="Heading1"/>
      </w:pPr>
      <w:r>
        <w:t xml:space="preserve">12. Asignación de capital</w:t>
      </w:r>
    </w:p>
    <w:p>
      <w:pPr>
        <w:pStyle w:val="Confianza"/>
        <w:spacing w:after="100"/>
      </w:pPr>
      <w:r>
        <w:t xml:space="preserve">Confianza: Alta</w:t>
      </w:r>
    </w:p>
    <w:p>
      <w:pPr>
        <w:spacing w:after="100"/>
      </w:pPr>
      <w:r>
        <w:t xml:space="preserve">Dividendo creciente cada año que reparte entre el 50 % y el 100 % del beneficio del grupo, teniendo en cuenta la solidez financiera; objetivos de la estrategia 2024-2028: ventas +8 % anual desde 2023, resultado de explotación creciendo más que las ventas, ratio de solvencia ≥ 50 % y rentabilidad sobre fondos propios ≥ 25 % [1, 2]. Dividendo de 2025: 1,80 EUR en dos plazos de 0,90 (el segundo, con registro el 20-oct-2026 y pago el 27-oct)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Inovet (medicamentos veterinarios, Bélgica)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salud animal (141 M EUR de ventas en 2025) [2,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500.000 acciones B para incentivos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Terminada el 29-sep-2026 a ≈ 80,98 EUR de media [16].</w:t>
            </w:r>
          </w:p>
        </w:tc>
      </w:tr>
    </w:tbl>
    <w:p>
      <w:pPr>
        <w:spacing w:after="160" w:before="0"/>
      </w:pPr>
    </w:p>
    <w:p>
      <w:pPr>
        <w:spacing w:after="100"/>
      </w:pPr>
      <w:r>
        <w:t xml:space="preserve">Asignación prudente: dividendo como uso principal, compras pequeñas y licencias (biosimilares de nivolumab con Shilpa y de pembrolizumab con Qilu) en vez de grandes adquisiciones. Desde 2019 ha repartido ≈ 1.530 M EUR de dividendos y no ha emitido acciones [12].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Liisa Hurme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Doctora en bioquímica; en Orion desde 1999 (programas de terapias hormonales y urológicas, jefa del negocio de urología y oncología, productos propios, operaciones globales); consejera delegada desde el 1-nov-2022; 51.673 acciones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Lindell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1-may-2024; antes director financiero de Rovio Entertainment (2017-2024), Nokia y Boston Consulting Group; 4.608 acciones B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Outi Vaarala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I+D desde 2020 (vicepresidenta ejecutiva de medicamentos innovadores e I+D en 2023-2026); antes en AstraZeneca y la Agencia Europea del Medicamento; 22.380 acciones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Berkeley Vincent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medicamentos innovadores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8-abr-2026 para la división que incluye Nubeqa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Hao Pan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productos de marca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Orion desde 2002 (Reino Unido y jefe de región de Europa occidental); 14.913 acciones B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similares a 2019 (1.051 M); resultado de explotación menor que 253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1.078 / 280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algo menores que 1.078; resultado menor o claramente menor que 280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1.041 / 243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resultado similares a 2021 (1.041 / 243)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1.113 / 232 sin el pago de ODM-208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algo mayores que 1.113 y resultado algo mayor o mayor que 232 (sin ODM-208)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1.190 / 275 (245 sin pensiones)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1.340-1.410; resultado 270-310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1.542 / 417 (con 134 de hitos)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1.550-1.650; resultado 350-450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1.890 / 632 (con 183 de hitos)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prudente con las guías: en los seis últimos años el dato real ha igualado o superado la guía inicial, aunque en 2024 y 2025 parte de la diferencia fueron hitos no previstos [2]. En 2026 subió dos veces la guía (enero 1.900-2.100 / 550-750; abril 1.950-2.100 / 600-750; julio 2.000-2.100 / 650-750) [3]. Liisa Hurme no viene del sector farmacéutico; su apuesta es invertir las regalías en I+D y biológicos.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Veli-Matti Mattila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Hilpi Rautelin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(presidenta); comité de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Henrik Stenqvist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director financiero de Sobi</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 Lehtoranta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 Jussi Aho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Aho (Aho Group, 1,9 % de los votos)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Lykke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Minna Maasilta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Papa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del 17-jun-2026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Ilmarinen (mutua de pensiones)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 de los votos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Varma (mutua de pensiones)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acciones B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Erkki Etola y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de los votos, el primero por votos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Land and Water Technology Foundation y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5,6 % de los votos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Elo (mutua de pensiones)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de los votos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Veli-Matti Mattila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Hilpi Rautelin (vicepresidenta)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Stenqvist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Karen Lykke Sørensen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3,05 M EUR en 2025: 0,67 M de fijo, 0,47 M de variable anual, 1,76 M de planes en acciones y 0,15 M de pensión [27]. Los objetivos del variable excluyen Nubeqa (ventas sin hitos ni ingresos de Nubeqa), para premiar el negocio que depende de la dirección; hay cláusula de recuperación y se exige mantener acciones por el 200 % del sueldo [27]. El consejo cobra 120.000 EUR el presidente, 73.000 el vicepresidente y 60.000 los demás, el 40 % en acciones B [28].</w:t>
      </w:r>
    </w:p>
    <w:p>
      <w:pPr>
        <w:pStyle w:val="Heading2"/>
      </w:pPr>
      <w:r>
        <w:t xml:space="preserve">Operaciones vinculadas, estructura de control y defensas</w:t>
      </w:r>
    </w:p>
    <w:p>
      <w:pPr>
        <w:spacing w:after="100"/>
      </w:pPr>
      <w:r>
        <w:t xml:space="preserve">Sin accionista de control: el primero por votos (Erkki Etola) tiene el 6,8 % [1]. Dos clases: las A (31,4 M, 22 % del capital) tienen 20 votos y las B (109,7 M) uno, con los mismos derechos económicos; ningún accionista puede votar más de 1/20 de los votos presentes en la junta [1]. Las familias fundadoras y las mutuas finlandesas controlan los votos (los particulares tienen ≈ 61 % de los votos con ≈ 37 % de las acciones), lo que hace casi imposible una opa hostil. Las A se convierten en B a petición (125.000 el 7-oct-2026) [30].</w:t>
      </w:r>
    </w:p>
    <w:p>
      <w:pPr>
        <w:pStyle w:val="Heading2"/>
      </w:pPr>
      <w:r>
        <w:t xml:space="preserve">Señales de alerta</w:t>
      </w:r>
    </w:p>
    <w:p>
      <w:pPr>
        <w:pStyle w:val="ListParagraph"/>
        <w:numPr>
          <w:ilvl w:val="0"/>
          <w:numId w:val="2"/>
        </w:numPr>
        <w:spacing w:after="60"/>
      </w:pPr>
      <w:r>
        <w:t xml:space="preserve">Doble clase de acciones con 20 votos por acción A: protege de compras hostiles y reduce el poder de los institucionales.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(elevada el 17-jul-2026): ventas de 2.000-2.100 M EUR y resultado de explotación de 650-750 M, sin hitos relevantes; supone que las regalías y ventas de pastillas de Nubeqa crecen con fuerza [3]. La de enero era 1.900-2.100 / 550-750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6 analistas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6 analistas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PER 2028e de 17,4 veces al precio de 88,30 → BPA implícito ≈ 5,07 [36]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 – 88,00</w:t>
            </w:r>
          </w:p>
        </w:tc>
      </w:tr>
    </w:tbl>
    <w:p>
      <w:pPr>
        <w:spacing w:after="160" w:before="0"/>
      </w:pPr>
    </w:p>
    <w:p>
      <w:pPr>
        <w:pStyle w:val="Heading2"/>
      </w:pPr>
      <w:r>
        <w:t xml:space="preserve">Revisiones de estimaciones</w:t>
      </w:r>
    </w:p>
    <w:p>
      <w:pPr>
        <w:spacing w:after="100"/>
      </w:pPr>
      <w:r>
        <w:t xml:space="preserve">Al alza: el BPA de 2026 del consenso pasó de 3,91 EUR hace 90 días a 4,06 y el de 2027 de 4,61 a 4,75 [35]. El precio objetivo medio (77,33 EUR) queda un 12 % bajo el precio: los analistas no han seguido a la acción. Para el 3T26 (28-oct) el consenso espera ventas de 537 M y BPA de 1,10 EUR [35, 40].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42 % en 2026 con dividendos (índice europeo +10,6 %, salud europea +3,6 %) y está en máximos históricos [34]. Bate al índice a 1, 3, 5 y 10 años. Volatilidad alta para una farmacéutica (33 %) por los saltos de los días de resultados: −10,6 % el 28-oct-2025 y −9,9 % el 12-feb-2026 [34]. Beta ajustada semanal de 5 años de 0,71 (la mensual de 0,24 es poco fiable).</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 +11,6 % / +20,4 % / +30,2 %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+55,3 %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(octubre de 2025): ventas −10,2 % por menos hitos y regalías de Nubeqa por debajo de lo esperado; la acción cayó un 10,6 % ese día y hasta el mínimo de 56,50 EUR el 7-nov [5,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y estimación de que Nubeqa puede superar 1.000 M EUR al año para Orion hacia el final de la década (14-ene-2026)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(presentación del 12-feb-2026): caída del 9,9 % en el día; el 4T25 llevaba el hito de 180 M y la guía no cambió (causa exacta no confirmada) [2,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(23-abr): crecimiento del 17,8 % y guía elevada en la parte baja, pero el mercado esperaba más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Semestral (17-jul): Nubeqa +69 % en el 2T26 con el tramo alto de regalías y guía elevada a 2.000-2.100 / 650-750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levosimendán oral de Tenax (licencia de Orion) falla en la fase 3 LEVEL; sin efecto en la guía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500.000 acciones B terminada para los planes de incentivos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paciente con ODM-216, el primer biológico propio en ensayos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del biosimilar de pembrolizumab de Qilu para Europa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3T26: 28-oct-2026; no sale el 21 ni el 22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históricos (88,30 EUR) tras subir un 30 % en 12 meses y un 20 % sobre su media de 200 sesiones. El movimiento lo explican hechos de la empresa, no rumores: la estimación de Nubeqa de más de 1.000 M (enero), las dos subidas de la guía (abril y julio) y el +69 % de Nubeqa en el 2T26 [3, 21]. No hay noticias adversas pendientes: el fallo de LEVEL (agosto) es de un socio y no toca la guía [23]. El 3T26 sale el 28-oct (no el 21 ni el 22) [40] y los resultados cercanos no aplazan una decisión.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publicado, Orion cotiza a 21,1 veces el BPA de los últimos 12 meses, por debajo de su media de siete años (24,1), pero a 20,2 veces el EBITDA, el máximo de la serie (media 15,1). La diferencia la explican los hitos: el BPA de los últimos 12 meses lleva el de 180 M de Bayer. En BPA sin hitos y adelantado, el PER bajó de 27-31 veces (2018-2021, cuando Orion era un laboratorio de crecimiento lento con la esperanza de Nubeqa) a 16-17 veces en 2024-2025, y hoy es de 19,4. Lo que ha cambiado es estructural: el beneficio depende de un producto con patente hasta 2033-2035.</w:t>
      </w:r>
    </w:p>
    <w:p>
      <w:pPr>
        <w:pStyle w:val="Heading1"/>
      </w:pPr>
      <w:r>
        <w:t xml:space="preserve">18. Comparables cotizados</w:t>
      </w:r>
    </w:p>
    <w:p>
      <w:pPr>
        <w:pStyle w:val="Confianza"/>
        <w:spacing w:after="100"/>
      </w:pPr>
      <w:r>
        <w:t xml:space="preserve">Confianza: Media</w:t>
      </w:r>
    </w:p>
    <w:p>
      <w:pPr>
        <w:spacing w:after="100"/>
      </w:pPr>
      <w:r>
        <w:t xml:space="preserve">Laboratorios europeos medianos con marcas propias y genéricos (UCB, Ipsen, Recordati, Almirall, Lundbeck, Hikma), un veterinario (Virbac, por salud animal) y Royalty Pharma, que cobra regalías como Orion con Nubeqa. Se excluye Bayer (socio de Nubeqa, conglomerado con agricultura y litigios del glifosato: 9,1 veces) y Gedeon Richter (Yahoo sin datos). PER de los próximos 12 meses = 0,2 × BPA 2026e + 0,8 × 2027e del consenso de Yahoo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Hikma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Lundbeck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Royalty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10,3x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12,9x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2,6x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r>
    </w:tbl>
    <w:p>
      <w:pPr>
        <w:spacing w:after="160" w:before="0"/>
      </w:pPr>
    </w:p>
    <w:p>
      <w:pPr>
        <w:spacing w:after="100"/>
      </w:pPr>
      <w:r>
        <w:t xml:space="preserve">Orion cotiza a 19,2 veces el BPA de consenso de los próximos 12 meses frente a una mediana de 13 veces de los laboratorios europeos medianos, y a 20,2 veces el EBITDA de los últimos 12 meses sin el hito (mediana 10,3). Solo Almirall (20,5 veces, en plena recuperación de beneficio) cotiza más caro. La prima tiene parte de razón (más crecimiento a corto plazo, sin deuda, margen del 37 %), pero Lundbeck e Ipsen, que también se acercan a vencimientos de patentes, cotizan a 8-11 veces: el mercado no está tratando a Nubeqa como un activo con fecha de caducidad.</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Zentiva (genéricos, República Checa)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GTCR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europeos; venta de Advent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Stada (genéricos y salud de consumo,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CapVest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y consumo, como la división de Orion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Inovet (veterinaria, Bélgica)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múltiplo publicado [2].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recientes de genéricos europeos se hicieron a 10-11 veces el EBITDA, por debajo de los 15,6 veces de Orion hoy, pero no incluyen un activo como Nubeqa. Pocas operaciones con múltiplo: peso cero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suma dos piezas [45]. Nubeqa registrada por Orion: 960 M EUR en 2026 (el 1S26 fue de 381,8, +64,9 %, y el tramo alto de regalías ya se alcanzó en el 2T26 [3]), 1.100 en 2027 y 1.180 en 2028, por encima de los «más de 1.000 M hacia el final de la década» que estima Orion [21, 22]; se frena desde 2029 por el precio negociado de Medicare y cae al vencer la patente del compuesto: EE. UU. 2033, Europa y Japón 2035 [19] (900 M en 2033, 380 en 2035 y 90 en 2037). El resto del negocio (1.097 M en 2025) crece un 3,5 % al año, como en el 1S26 (+3,3 %). Sin hitos en el base. Resultado: +10,9 % en 2026 (dentro de la guía de 2.000-2.100 M), +8,6 % en 2027, plano en 2029-2032 y caída del 5-10 % anual en 2033-2036.</w:t>
      </w:r>
    </w:p>
    <w:p>
      <w:pPr>
        <w:keepNext/>
        <w:spacing w:after="100"/>
      </w:pPr>
      <w:r>
        <w:rPr>
          <w:b/>
          <w:bCs/>
        </w:rPr>
        <w:t xml:space="preserve">Márgenes.</w:t>
      </w:r>
    </w:p>
    <w:p>
      <w:pPr>
        <w:spacing w:after="100"/>
      </w:pPr>
      <w:r>
        <w:t xml:space="preserve">Margen EBITDA = 75 % de las ventas de Nubeqa (regalías casi sin coste; pastillas con margen de fabricación; menos la regalía a Endo) + el margen del resto tras todo el I+D: 5,5 % en 2026, calibrado con la guía de resultado de explotación (650-750 M) y el BPA de consenso (4,06 EUR) [3, 35], subiendo un punto al año hasta el 18 % en 2037 porque el I+D (210 M en 2025) no puede seguir al mismo nivel cuando caigan las regalías. El margen del grupo sube del 37,3 % en 2026 al 40,5 % en 2028 y baja al 20,9 % en 2037, por debajo del 28-31 % que tenía antes de Nubeqa con fármacos propios hoy genéricos [9, 10, 11].</w:t>
      </w:r>
    </w:p>
    <w:p>
      <w:pPr>
        <w:keepNext/>
        <w:spacing w:after="100"/>
      </w:pPr>
      <w:r>
        <w:rPr>
          <w:b/>
          <w:bCs/>
        </w:rPr>
        <w:t xml:space="preserve">Inversión y circulante.</w:t>
      </w:r>
    </w:p>
    <w:p>
      <w:pPr>
        <w:spacing w:after="100"/>
      </w:pPr>
      <w:r>
        <w:t xml:space="preserve">Inversión de 115 M EUR al año hasta 2028 y ≈ 100 M después (97,6 M en 2025 entre inmovilizado e intangibles [2]); amortización de 62 M en 2026 subiendo hasta 100 M. Circulante del 35 % de las ventas (36 % en 2025 y a junio de 2026 [1, 3]); al caer las ventas de Nubeqa se libera circulante. Impuesto del 20,5 % (tipo efectivo de 2025: 20,4 % [2]).</w:t>
      </w:r>
    </w:p>
    <w:p>
      <w:pPr>
        <w:keepNext/>
        <w:spacing w:after="100"/>
      </w:pPr>
      <w:r>
        <w:rPr>
          <w:b/>
          <w:bCs/>
        </w:rPr>
        <w:t xml:space="preserve">Coste del capital.</w:t>
      </w:r>
    </w:p>
    <w:p>
      <w:pPr>
        <w:spacing w:after="100"/>
      </w:pPr>
      <w:r>
        <w:t xml:space="preserve">Tasa libre del 3,45 % (Bund a 10 años, 20-oct-2026 [37]); beta de 0,80, entre la ajustada semanal a 5 años (0,71) y la semanal a 2 años (0,86) [34], que recoge que el beneficio depende de un producto; prima del 5,5 %; deuda casi nula (peso del 1 %, coste del 3,5 %). WACC del 7,80 %. Con la prima implícita del mercado de Damodaran (4,2 % [38]) el WACC sería del 6,8 %.</w:t>
      </w:r>
    </w:p>
    <w:p>
      <w:pPr>
        <w:keepNext/>
        <w:spacing w:after="100"/>
      </w:pPr>
      <w:r>
        <w:rPr>
          <w:b/>
          <w:bCs/>
        </w:rPr>
        <w:t xml:space="preserve">Valor terminal.</w:t>
      </w:r>
    </w:p>
    <w:p>
      <w:pPr>
        <w:spacing w:after="100"/>
      </w:pPr>
      <w:r>
        <w:t xml:space="preserve">Crecimiento a perpetuidad del 2,0 % desde 2037, cuando Nubeqa ya es residual (90 M): el valor terminal es el del laboratorio sin Nubeqa (≈ 1.750 M de ventas y 21 % de margen EBITDA), que pesa solo el 28 % del valor. Múltiplo de salida implícito de ≈ 10,5 veces el EBITDA, en línea con las compras de genéricos europeos de 2025 (10-11 veces [41]).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(reinvierte el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 (histórico: 49,9 %)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frente al -0,4 %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181 M, el 3 % del NOPAT, con un capex bruto medio del 4,9 % de las ventas). En un negocio de activos ligeros, el crecimiento medio del -0,4 %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+350 M (de 610 a 960) y resto +3,5 %; los hitos de 2025 (183 M) desaparecen: −9,7 puntos. Dentro de la guía de 2.000-2.100 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+140 M (1.100) con más volumen y la regalía media subiendo de tramo; resto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+80 M (1.180), cerca de su máximo; resto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−30 M por el precio negociado de Medicare (supuesto propio); resto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Nubeqa −20 M (patentes de China y Brasil vencen en 2030 [19]); resto +3,5 %.</w:t>
            </w:r>
          </w:p>
        </w:tc>
      </w:tr>
    </w:tbl>
    <w:p>
      <w:pPr>
        <w:spacing w:after="160" w:before="0"/>
      </w:pPr>
    </w:p>
    <w:p>
      <w:pPr>
        <w:spacing w:after="100"/>
      </w:pPr>
      <w:r>
        <w:t xml:space="preserve">El crecimiento proyectado es de −0,4 % anual medio en 2026-2037, muy por debajo del histórico (10,3 % anual en 2019-2025) y del mercado europeo (≈ 5 % [18]): la proyección ya incluye la caída de Nubeqa al vencer sus patentes. El crecimiento de 2026-2028 (+5-11 %) sale de un producto que Bayer vende en más de 100 países y que creció un 62 % en 2025 [19], sin capital nuevo de Orion (regalías). Lo que no se puede financiar con el ROIC actual es sustituir Nubeqa: eso depende de la cartera de I+D y no está en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(2027e-2037e)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 (base: -1,5 %)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48,8 % (base: 20,9 %)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(WACC: 7,8 %)</w:t>
            </w:r>
          </w:p>
        </w:tc>
      </w:tr>
    </w:tbl>
    <w:p>
      <w:pPr>
        <w:spacing w:after="160" w:before="0"/>
      </w:pPr>
    </w:p>
    <w:p>
      <w:pPr>
        <w:spacing w:after="100"/>
      </w:pPr>
      <w:r>
        <w:t xml:space="preserve">El DCF da 41,11 EUR por acción, un 53 % bajo el precio, con un WACC del 7,80 % y un valor terminal que pesa solo el 28 %: casi todo el valor son los flujos de Nubeqa de 2027-2035. El DCF inverso dice que el precio exige un crecimiento del 14,6 % anual en 2027-2037 con nuestro margen, o una rentabilidad del 3,9 % anual con nuestros flujos: el mercado paga como si Nubeqa o su sustituto duraran mucho más que sus patentes. Con la prima del mercado (WACC 6,8 %) el DCF sube a ≈ 46 EUR; ni un WACC del 6,8 % con un 3 % a perpetuidad pasa de 51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IRA elige Nubeqa en 2027 con un precio muy recortado desde 2029, la enzalutamida genérica abarata la clase y la competencia resta cuota: Nubeqa queda un 10 % bajo el base en 2028 y un 20-40 % después; el resto crece un 2 % con 2 puntos menos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Nubeqa sube hasta 1.180 M en 2028, se mantiene hasta 2032 y cae con las patentes de 2033-2035; el resto crece un 3,5 % y recupera margen al moderar el I+D.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Nubeqa un 10 % por encima del base (nuevas indicaciones, ARASTEP y DASL-HiCaP positivos) y opevesostat aprobado tras la fase 3 de MSD: hito de 100 M en 2029 y regalías desde 2030 que llegan a 430 M en 2037.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8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44,57 EUR (-49,5 %).</w:t>
      </w:r>
    </w:p>
    <w:p>
      <w:pPr>
        <w:spacing w:after="100"/>
      </w:pPr>
      <w:r>
        <w:t xml:space="preserve">Los tres escenarios del DCF valen menos que el precio: bajista 29,56 EUR (−66,5 %), base 41,11 (−53,4 %) y alcista 66,49 (−24,7 %). Incluso con opevesostat aprobado y regalías de 430 M al año, el valor no llega al precio actual. La asimetría a largo plazo es desfavorable; a 12 meses, en cambio, el PER de la regla da subidas porque mide el beneficio de 2028, el mejor año de Nubeqa.</w:t>
      </w:r>
    </w:p>
    <w:p>
      <w:pPr>
        <w:pStyle w:val="Heading1"/>
      </w:pPr>
      <w:r>
        <w:t xml:space="preserve">22. Suma de partes</w:t>
      </w:r>
    </w:p>
    <w:p>
      <w:pPr>
        <w:pStyle w:val="Confianza"/>
        <w:spacing w:after="100"/>
      </w:pPr>
      <w:r>
        <w:t xml:space="preserve">Confianza: Media</w:t>
      </w:r>
    </w:p>
    <w:p>
      <w:pPr>
        <w:spacing w:after="100"/>
      </w:pPr>
      <w:r>
        <w:t xml:space="preserve">No aplica como método: las divisiones comparten I+D, fabricación y red comercial, y Orion no publica resultado por división. El ejercicio útil es el del DCF en dos piezas (Nubeqa y resto) [45].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8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44,36 EUR (-49,8 % sobre 88,30).</w:t>
      </w:r>
    </w:p>
    <w:p>
      <w:pPr>
        <w:spacing w:after="100"/>
      </w:pPr>
      <w:r>
        <w:t xml:space="preserve">Pesos: DCF 50 %, escenarios 40 % y comparables 10 %; transacciones sin peso (solo dos con múltiplo, de genéricos). El DCF manda porque el valor de Orion es un flujo con fecha de caducidad (las patentes de Nubeqa) que los múltiplos de un año no recogen. Los comparables (PER de 13 veces, 59,75 EUR) también quedan muy por debajo del precio. Valor intrínseco: 44,36 EUR por acción.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(19.4x) a mitad de camino hacia la mediana de 5 años (21.6x)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r>
    </w:tbl>
    <w:p>
      <w:pPr>
        <w:spacing w:after="160" w:before="0"/>
      </w:pPr>
    </w:p>
    <w:p>
      <w:pPr>
        <w:spacing w:after="100"/>
      </w:pPr>
      <w:r>
        <w:rPr>
          <w:b/>
          <w:bCs/>
        </w:rPr>
        <w:t xml:space="preserve">Objetivo a 12 meses (ponderado):</w:t>
      </w:r>
      <w:r>
        <w:t xml:space="preserve"> 106,50 EUR · rentabilidad +22,6 % (base +19,5 %) · señal Mantener.</w:t>
      </w:r>
    </w:p>
    <w:p>
      <w:pPr>
        <w:spacing w:after="100"/>
      </w:pPr>
      <w:r>
        <w:t xml:space="preserve">Para comparar, con la regla v2 (historia al cierre, mismo precio): 16,5x / 19,4x / 25,2x, 18,0 %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(4,06 EUR) coincide con el consenso de Yahoo (4,06) y el de 2027e (4,67) queda un 1,7 % por debajo (4,75) [35]; el de 2028e (5,06) coincide con Inderes (≈ 5,07) [36]. No discrepamos en el beneficio de los próximos años sino en lo que vale: los analistas ponen un objetivo medio de 77,33 EUR, un 12 % bajo el precio, y nuestro valor intrínseco es de 44,36.</w:t>
      </w:r>
    </w:p>
    <w:p>
      <w:pPr>
        <w:keepNext/>
        <w:spacing w:after="100"/>
      </w:pPr>
      <w:r>
        <w:rPr>
          <w:b/>
          <w:bCs/>
        </w:rPr>
        <w:t xml:space="preserve">Del valor intrínseco al objetivo a 12 meses.</w:t>
      </w:r>
    </w:p>
    <w:p>
      <w:pPr>
        <w:spacing w:after="100"/>
      </w:pPr>
      <w:r>
        <w:t xml:space="preserve">El objetivo a 12 meses (106,50 EUR, ponderado) queda un 20,6 % sobre el precio (+22,6 % con dividendo) y el base (103,73) un +19,5 %: la regla de múltiplos supone que el mercado seguirá pagando ≈ 20 veces el BPA de 2028, el año de más beneficio de Nubeqa. Pero el valor intrínseco (44,36 EUR) está un 50 % bajo el precio, y la regla exige que el valor intrínseco cubra el precio para comprar: Mantener. El PER histórico de 27-31 veces viene de 2018-2021, cuando el beneficio era pequeño y Nubeqa una promesa; aplicarlo al beneficio máximo de un producto con patente hasta 2033-2035 es la objeción principal a ese objetivo.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(no el 21 ni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Nubeqa en el tramo alto de regalías; consenso de ventas de 537 M y BPA de 1,10 EUR [35,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Nubeqa cerca de 1.000 M; dividendo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fármacos elegidos para negociar precio en Medicare (IRA) para 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entra Nubeqa, menos precio en EE. UU. desde 2029 (supuesto propio, sin confirmar)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ARASTEP (darolutamida en recaída bioquímica)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indicación que alarga el crecimiento de Nubeqa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(final)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fase 2 de ODM-212 (TEADES)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cartera propia en mesotelioma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las fases 3 OMAHA-003 y OMAHA-004 de opevesostat (MSD)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 registro de hasta 625 M USD y regalías del 10-20 % si funciona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2033-2035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del compuesto de Nubeqa (EE. UU. 2033; Europa y Japón 2035)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y caída de regalías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Nubeqa: ≈ 32 % de las ventas de 2025 y la mayor parte del beneficio, con patente del compuesto hasta 2033 en EE. UU. y 2035 en Europa y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y 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DCF: sin Nubeqa el beneficio caería ≈ 85 %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formulación de 2036 y 2038 en litigio con Hetero; opevesostat como sustituto [2,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Nubeqa de Bayer por trimestre y regalía media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negociado de Medicare (IRA) para Nubeqa desde 2029 y competencia de la enzalutamida genérica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las ventas fuera de EE. UU.; nuevas indicaciones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fármacos de Medicare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19,4 veces el BPA adelantado sin hitos y 20,2 veces el EBITDA, en máximos, con el DCF un 53 % por debajo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15,7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creciendo ≈ 12 % anual hasta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BPA de 2027-2028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 ODM-111 abandonado (2024), ODM-105 falló (2025), LEVEL de Tenax falló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Opción perdida; ya fuera del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Opevesostat lo financia MSD; ODM-212 y ODM-216 en fase temprana [15, 20,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2027-2028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 único: Bayer controla precio, marketing y estrategia de Nubeqa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licencia mundial con regalías escalonadas; Orion fabrica el producto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prioridad de Bayer en oncología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en los mercados nórdicos (entacapona −4 % en el 1S26); competencia de inhaladores genéricos con Easyhaler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Easyhaler +7,2 % en el 1S26, con la combinación budesonida-formoterol +12,3 %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Easyhaler y de genéricos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(descubrimiento de fármacos más rápido para competidores; automatización de funciones comerciales)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está en patentes y fabricación regulada, que la IA no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antiandrógenos o fármacos de próstata en ensayos acelerados</w:t>
            </w:r>
          </w:p>
        </w:tc>
      </w:tr>
    </w:tbl>
    <w:p>
      <w:pPr>
        <w:spacing w:after="160" w:before="0"/>
      </w:pPr>
    </w:p>
    <w:p>
      <w:pPr>
        <w:pStyle w:val="Heading2"/>
      </w:pPr>
      <w:r>
        <w:t xml:space="preserve">Pre-mortem</w:t>
      </w:r>
    </w:p>
    <w:p>
      <w:pPr>
        <w:spacing w:after="100"/>
      </w:pPr>
      <w:r>
        <w:t xml:space="preserve">Octubre de 2028: la acción ha perdido un 40 %. No fue un mal trimestre: Medicare eligió Nubeqa en 2027 con un recorte fuerte desde 2029, la enzalutamida genérica abarató la clase y la fase 3 de opevesostat dio datos mixtos. El mercado dejó de pagar 20 veces un beneficio que empezaba a bajar en 2029 y con la patente de EE. UU. a cinco años; el PER volvió a 12-13 veces, el de los laboratorios europeos con vencimientos próximos.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amenaza lo que da el beneficio a Orion: regalías protegidas por patentes, fabricación regulada de medicamentos e inhaladores con know-how propio, y una red comercial en mercados con precios públicos. Puede ayudar a su I+D (selección de moléculas, ensayos más eficientes) y, en contra, acelerar a competidores en oncología, lo que acortaría la vida comercial de Nubeqa o de opevesostat. El efecto neto es pequeño y lento frente al riesgo de patentes y precios.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Orion es la calidad y seguridad de los medicamentos (fabricación propia en Finlandia para Nubeqa y Easyhaler), el acceso y el precio de los fármacos (IRA, subastas nórdicas), la ética de los ensayos clínicos y los residuos farmacéuticos en el agua [1].</w:t>
      </w:r>
    </w:p>
    <w:p>
      <w:pPr>
        <w:pStyle w:val="Heading2"/>
      </w:pPr>
      <w:r>
        <w:t xml:space="preserve">Controversias</w:t>
      </w:r>
    </w:p>
    <w:p>
      <w:pPr>
        <w:spacing w:after="100"/>
      </w:pPr>
      <w:r>
        <w:t xml:space="preserve">Sin controversias materiales. Salida de Rusia completada en 2026 (−3,3 M EUR en el 2T26) [3]. Daño por agua en la planta de Fermion en Hanko en julio de 2026, sin efecto relevante esperado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Nubeqa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Nubeqa de Bayer es de EE. UU. y de Medicare, y qué supone Orion para el precio negociado de la IRA?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cae el beneficio desde 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protección dan las patentes de formulación de 2036 y 2038 frente a la ANDA de Hetero y cómo va el litigio?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sostienen, el beneficio de Nubeqa en EE. UU. duraría hasta tres años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¿Cuáles son los tramos de la escala de regalías y qué regalía media se alcanza con 3.000-4.000 M EUR de ventas de Bayer?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regalía media (≈ 25 %) sube con las ventas: es la palanca del beneficio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I+D piensa mantener Orion cuando bajen las regalías de Nubeqa?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negocio sin Nubeqa (≈ 5 % tras el I+D) es el valor terminal.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Opevesostat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esperan MSD y Orion los datos de OMAHA-003/004 y qué hitos de registro corresponden a cada indicación?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único activo que puede sustituir a Nubeqa.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Inderes (Orion)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por los biológicos y Nubeqa frente a prudencia por la valoración y el fallo de LEVEL; debate sobre si la recompra para incentivos tiene sentido en máximos.</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(ORINY)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símbolo no existe en la plataforma: sin conversación.</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(transcripciones)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titulares de transcripciones de pago; sin artículos de opinión recientes.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Nubeqa sigue sorprendiendo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+69 % en el 2T26 con el tramo alto de regalías (informe semestral).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parte: el PER sin hitos ha bajado de 30 a 16-21 veces mientras el beneficio se triplicaba.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enzalutamida y la IRA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para la clase, sin efecto visible aún en Nubeqa (Bayer +62 % en 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Biológicos (ODM-216, biosimilares)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a largo plazo; no aportan beneficio antes de 2030.</w:t>
            </w:r>
          </w:p>
        </w:tc>
      </w:tr>
    </w:tbl>
    <w:p>
      <w:pPr>
        <w:spacing w:after="160" w:before="0"/>
      </w:pPr>
    </w:p>
    <w:p>
      <w:pPr>
        <w:spacing w:after="100"/>
      </w:pPr>
      <w:r>
        <w:t xml:space="preserve">Los particulares finlandeses, que dominan la conversación, están divididos: reconocen que Nubeqa sigue batiendo previsiones pero creen que la acción ya lo descuenta tras doblar desde noviembre de 2025. No hay euforia ni capitulación; el foro es pequeño y no mueve el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45 (32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36,3 % real: genera una variación de circulante de 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549 M de flujo libre medio en sus tres primeros años, frente a 137 M de media real en los tres últimos: justifica el salto (circulante, inversión, márgenes) o ajusta los supuestos. Explicación: El flujo libre medio de 2023-2025 (137 M EUR) está deprimido por el circulante: el hito de 180 M de Bayer se registró en 2025 y se cobró en el 2T26, y existencias y clientes crecieron con Nubeqa. En los doce meses a junio de 2026 el flujo operativo fue de 472 M y el libre de ≈ 373 M [3]; la proyección (≈ 550 M en 2027-2028) sale de un EBITDA de 895-970 M con inversión de 115 M e impuestos del 20,5 %, en línea con la guía de resultado de explotación de 650-750 M para 2026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(32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32, 42,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mundial de antiandrógenos (darolutamida, enzalutamida, apalutamida) con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Bayer 2025 (solo Nubeqa); 2) EFPIA Key Data 2026 (sin desglose por clase); 3) búsqueda de las ventas de Xtandi y Erleada en informes de Astellas y J&amp;J (la nota de J&amp;J dio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votos a favor del informe de remuneración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decisiones de la junta del 24-mar-2026 (solo dice «aprobado»); 2) acta de la junta en la web (no publicada en HTML); 3) informe de remuneración 2025 (anterior a la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acciones e importe de las compras de los consejeros del 4-may-2026 (pago del 40 % de la remuneración en acciones)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 de operaciones de directivos (solo títulos); 2) comunicados individuales (no descargables como texto); 3) informe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transacción comparable con múltiplo (regalías farmacéuticas o laboratorio nórdico)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Royalty Pharma (sin múltiplos de EBITDA); 2) búsqueda de compras de laboratorios nórdicos 2023-2026; 3) MarketScreener (identificador equivocado)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(informe de sostenibilidad sin calificaciones de terceros); 2) web de Orion, sección de sostenibilidad; 3) páginas públicas de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 documents 2025 (informe del consejo, cuentas consolidadas auditadas, notas, informe de auditoría,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https://www.orionpharma.com/492ebb/globalassets/investors/hallinnointi/yhtiokokous/yhtiokokous-2026/orion-financial-statement-documents-2025.pdf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 Release 1-12/2025 (cuenta, balance, flujos, trimestres, divisiones, perspectivas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https://www.orionpharma.com/490f26/globalassets/investors/reports-and-presentations/2025/orion-financial-statement-release-2025.pdf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https://www.orionpharma.com/4a0728/globalassets/investors/reports-and-presentations/2026/orion-half-year-financial-report-2026.pdf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https://www.orionpharma.com/498516/globalassets/investors/reports-and-presentations/2026/orion-interim-report-q1-2026.pdf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https://www.orionpharma.com/4aac71/globalassets/investors/reports-and-presentations/2025/orion-interim-report-q3-2025.pdf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1-12/2024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https://www.orionpharma.com/492a14/globalassets/investors/reports-and-presentations/2024/orion-financial-statement-release-2024.pdf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https://www.orionpharma.com/491678/globalassets/investors/reports-and-presentations/2023/orion-financial-statement-release-2023.pdf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https://www.orionpharma.com/491a1f/globalassets/investors/reports-and-presentations/2022/en_orion_fy_2022.pdf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https://www.orionpharma.com/493477/globalassets/investors/reports-and-presentations/2021/en_orion_fy_2021.pdf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https://www.orionpharma.com/4938f0/globalassets/investors/reports-and-presentations/2020/en_orion_fy_2020.pdf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Release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https://www.orionpharma.com/4938a9/globalassets/investors/reports-and-presentations/2019/en_orion_fy_2019.pdf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ESEF (XBRL) de Orion Oyj, ejercicios 2019-2025 (LEI 74370029VAHCXDR7B745)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(ESEF)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https://filings.xbrl.org/74370029VAHCXDR7B745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2T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https://www.orionpharma.com/4a0729/globalassets/investors/reports-and-presentations/2026/orion-q2-2026-presentation.pdf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1-3/2025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https://www.orionpharma.com/4984f0/globalassets/investors/reports-and-presentations/2025/orion-interim-report-q1-2025.pdf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1-9/2024 (abandono de ODM-111)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https://www.orionpharma.com/4aae9f/globalassets/investors/reports-and-presentations/2024/orion-interim-report-q3-2024.pdf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Corporation completed share acquisitions (recompra de 500.000 acciones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https://www.orionpharma.com/newsroom/all-news/releases/stock-releases/2026/orion-corporation-completed-share-acquisitions/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Corporation to commence acquisition of own shares for its share-based incentive plans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https://www.orionpharma.com/newsroom/all-news/releases/stock-releases/2026/orion-corporation-to-commence-acquisition-of-own-shares-for-its-share-based-incentive-plans/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Pharmaceutical Industry in Figures, Key Data 2026 (mercado europeo y mundial a precio de fábrica)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EFPIA (datos de IQVIA MIDAS)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https://www.efpia.eu/media/owqczcqz/the-pharmaceutical-industry-in-figures-2026.pdf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Bayer Annual Report 2025: ventas de Nubeqa (2.385 M EUR), tabla de patentes, efecto de la IRA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https://www.bayer.com/sites/default/files/2026-03/bayer-annual-report-2025.pdf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 (cartera de I+D, calendario de lecturas)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https://www.orionpharma.com/4a660b/globalassets/investors/reports-and-presentations/2026/orion-investor-presentation-handout-q2-2026.pdf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Orion provides outlook for 2026 and estimates that the annual Nubeqa net sales recorded by Orion has potential to exceed EUR 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https://www.orionpharma.com/newsroom/all-news/releases/stock-releases/2026/inside-information-orion-provides-outlook-for-2026-and-estimates-that-the-annual-nubeqa-net-sales-recorded-by-orion-has-potential-to-exceed-eur-1-billion-in-the-future/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updates time estimate for the potential related to the annual Nubeqa net sales recorded by Orion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https://www.orionpharma.com/newsroom/all-news/releases/stock-releases/2026/orion-updates-time-estimate-for-the-potential-related-to-the-annual-nubeqa-net-sales-recorded-by-orion/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Tenax Therapeutics: el ensayo de fase 3 LEVEL de levosimendán oral no alcanzó su objetivo principal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orions-license-partner-tenax-therapeutics-phase-3-level-trial-of-oral-levosimendan-in-pulmonary-hypertension-due-to-heart-failure-with-preserved-ejection-fraction-ph-hfpef-did-not-reach-its-primary-end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Qilu Pharma Europe para un biosimilar de pembrolizumab en Europa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https://www.orionpharma.com/newsroom/all-news/releases/press-releases/2026/orion-pharma-announces-agreement-with-qilu-pharma-europe-for-pembrolizumab-biosimilar-for-european-market/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paciente en la fase 1/2 de ODM-216, el primer biológico de Orion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https://www.orionpharma.com/newsroom/all-news/releases/press-releases/2026/orion-pharma-announces-first-patient-dosed-in-phase-12-clinical-trial-of-odm-216-the-companys-first-biologic-candidate-to-reach-clinical-testing/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cotización y estimaciones de los comparables (UCB, Ipsen, Recordati, Almirall, Hikma, Lundbeck, Virbac, Royalty Pharma)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https://finance.yahoo.com/quote/UCB.BR/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https://www.orionpharma.com/492ebc/globalassets/investors/hallinnointi/yhtiokokous/yhtiokokous-2026/orion-remuneration-report-2025.pdf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la junta general y del consejo del 24-mar-2026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https://www.orionpharma.com/newsroom/all-news/releases/stock-releases/2026/decisions-taken-by-orion-corporations-annual-general-meeting-and-board-of-directors-organising-meeting-on-24-march-2026/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en el equipo directivo: Berkeley Vincent, vicepresidente ejecutivo de medicamentos innovadores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https://www.orionpharma.com/newsroom/all-news/releases/stock-releases/2026/change-in-orion-group-executive-team-as-of-8-april-2026--berkeley-vincent-appointed-executive-vice-president-innovative-medicines/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(Managers’ transactions)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https://www.orionpharma.com/investors/shareholders/management-ownership/managers-transactions/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de participación significativa de BlackRock, Inc. (5,11 %)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https://www.orionpharma.com/newsroom/all-news/releases/flaggings/2026/orion-corporation-disclosure-under-chapter-9-section-10-of-the-securities-market-act-blackrock-inc19/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https://www.orionpharma.com/newsroom/all-news/releases/stock-releases/2026/composition-of-the-nomination-committee-of-orion-corporation/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René Lindell,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https://www.orionpharma.com/investors/corporate-governance/ceo-and-executive-team/rene-lindell/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ORNBV.HE, EXSA.DE (STOXX Europe 600) y EXV4.DE (salud europea): precio, rentabilidad total,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https://finance.yahoo.com/quote/ORNBV.HE/history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consenso (BPA y ventas 2026-2027, 3T26), recomendaciones y precio objetivo de ORNBV.HE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https://finance.yahoo.com/quote/ORNBV.HE/analysis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valoración y estimaciones de consenso (PER, EV/EBITDA, rentabilidad por dividendo 2026e-2028e)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https://www.inderes.fi/companies/orion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https://api.statistiken.bundesbank.de/rest/download/BBSIS/D.I.ZAR.ZI.EUR.S1311.B.A604.R10XX.R.A.A._Z._Z.A?format=csv&amp;lang=en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publica el informe de enero-septiembre de 2026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Orion Oyj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https://www.orionpharma.com/newsroom/all-news/releases/press-releases/2026/orion-publishes-interim-report-for-januaryseptember-2026-and-holds-a-webcast-on-28-october-2026/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Zentiva: venta a GTCR (≈ 4.100 M EUR; 10,25 veces el EBITDA) y Stada: venta a CapVest (≈ 10.000 M EUR; 11,29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 Capital (análisis de transacciones del sector)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https://www.intercapital.hr/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hilo de Orion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https://www.inderes.fi/forum/t/orion/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símbolo ORINY (no encontrado)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https://api.stocktwits.com/api/2/streams/symbol/ORINY.json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 de Orion (ORINY)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https://seekingalpha.com/api/sa/combined/ORINY.xml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de Orion en dos partes (Nubeqa y resto del negocio): supuestos.mjs y propio.mjs de este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(informes/orion-2026-10-20/notas)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informes/orion-2026-10-20/notas/supuestos.mjs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EUR, ejercicio natural, NIIF-UE. Cuentas 2019-2025 del XBRL ESEF [12] comprobadas con los informes anuales [1, 2, 6, 7, 8, 9, 10, 11]; el último informe es el semestral a junio de 2026 [3] y el 3T26 sale el 28-oct-2026, una semana después del corte [40]. Precio de la acción B (ORNBV), la línea líquida; la A cotiza al mismo precio y tiene los mismos derechos económicos, así que el BPA usa el total de acciones (141,13 M emitidas, 140,37 M sin autocartera). Las divisiones actuales solo están reexpresadas desde 2023 (2022 en parte): la serie de segmentos empieza en 2023. Los pagos por hitos van dentro de ventas y EBITDA publicados; la historia del PER y el BPA de los casos van SIN hitos. Comparables en divisa local convertidos con los tipos del BCE del 20-oct-2026 [39]; en Hikma el valor empresa de Yahoo mezcla divisas y se deja sin múltiplo de EBITDA. Transcripciones de las presentaciones y datos de IQVIA por producto: de pago, no accesibles.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Orion Oyj (ORNBV)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(56,50 – 88,55)</c:v>
                </c:pt>
                <c:pt idx="1">
                  <c:v>Precio objetivo de los analistas (55,00 – 88,00)</c:v>
                </c:pt>
                <c:pt idx="2">
                  <c:v>Comparables: PER NTM (47,41 – 71,52)</c:v>
                </c:pt>
                <c:pt idx="3">
                  <c:v>DCF (WACC y g ± 0,5) (38,21 – 45,04)</c:v>
                </c:pt>
                <c:pt idx="4">
                  <c:v>Escenarios (bajista – alcista) (29,56 – 66,49)</c:v>
                </c:pt>
                <c:pt idx="5">
                  <c:v>DCF con la prima implícita del mercado (4,2 %)</c:v>
                </c:pt>
                <c:pt idx="6">
                  <c:v>Precio actual (88,30)</c:v>
                </c:pt>
              </c:strCache>
            </c:strRef>
          </c:cat>
          <c:val>
            <c:numRef>
              <c:f>Hoja1!$B$2:$B$8</c:f>
              <c:numCache>
                <c:formatCode>#,##0.0</c:formatCode>
                <c:ptCount val="7"/>
                <c:pt idx="0">
                  <c:v>56.5</c:v>
                </c:pt>
                <c:pt idx="1">
                  <c:v>55</c:v>
                </c:pt>
                <c:pt idx="2">
                  <c:v>47.41</c:v>
                </c:pt>
                <c:pt idx="3">
                  <c:v>38.21</c:v>
                </c:pt>
                <c:pt idx="4">
                  <c:v>29.56</c:v>
                </c:pt>
                <c:pt idx="5">
                  <c:v>43.7</c:v>
                </c:pt>
                <c:pt idx="6">
                  <c:v>87.86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(56,50 – 88,55)</c:v>
                </c:pt>
                <c:pt idx="1">
                  <c:v>Precio objetivo de los analistas (55,00 – 88,00)</c:v>
                </c:pt>
                <c:pt idx="2">
                  <c:v>Comparables: PER NTM (47,41 – 71,52)</c:v>
                </c:pt>
                <c:pt idx="3">
                  <c:v>DCF (WACC y g ± 0,5) (38,21 – 45,04)</c:v>
                </c:pt>
                <c:pt idx="4">
                  <c:v>Escenarios (bajista – alcista) (29,56 – 66,49)</c:v>
                </c:pt>
                <c:pt idx="5">
                  <c:v>DCF con la prima implícita del mercado (4,2 %)</c:v>
                </c:pt>
                <c:pt idx="6">
                  <c:v>Precio actual (88,30)</c:v>
                </c:pt>
              </c:strCache>
            </c:strRef>
          </c:cat>
          <c:val>
            <c:numRef>
              <c:f>Hoja1!$C$2:$C$8</c:f>
              <c:numCache>
                <c:formatCode>#,##0.0</c:formatCode>
                <c:ptCount val="7"/>
                <c:pt idx="0">
                  <c:v>32.05</c:v>
                </c:pt>
                <c:pt idx="1">
                  <c:v>33</c:v>
                </c:pt>
                <c:pt idx="2">
                  <c:v>24.11</c:v>
                </c:pt>
                <c:pt idx="3">
                  <c:v>6.829999999999998</c:v>
                </c:pt>
                <c:pt idx="4">
                  <c:v>36.92999999999999</c:v>
                </c:pt>
                <c:pt idx="5">
                  <c:v>6.43</c:v>
                </c:pt>
                <c:pt idx="6">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Medicamentos innovadores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235.1</c:v>
                </c:pt>
                <c:pt idx="1">
                  <c:v>525.2</c:v>
                </c:pt>
                <c:pt idx="2">
                  <c:v>812.7</c:v>
                </c:pt>
              </c:numCache>
            </c:numRef>
          </c:val>
        </c:ser>
        <c:ser>
          <c:idx val="1"/>
          <c:order val="1"/>
          <c:tx>
            <c:strRef>
              <c:f>Hoja1!$C$1</c:f>
              <c:strCache>
                <c:ptCount val="1"/>
                <c:pt idx="0">
                  <c:v>Productos de marca (Branded Products)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260.9</c:v>
                </c:pt>
                <c:pt idx="1">
                  <c:v>287.5</c:v>
                </c:pt>
                <c:pt idx="2">
                  <c:v>314.6</c:v>
                </c:pt>
              </c:numCache>
            </c:numRef>
          </c:val>
        </c:ser>
        <c:ser>
          <c:idx val="2"/>
          <c:order val="2"/>
          <c:tx>
            <c:strRef>
              <c:f>Hoja1!$D$1</c:f>
              <c:strCache>
                <c:ptCount val="1"/>
                <c:pt idx="0">
                  <c:v>Genéricos y salud de consumo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517.6</c:v>
                </c:pt>
                <c:pt idx="1">
                  <c:v>528.4</c:v>
                </c:pt>
                <c:pt idx="2">
                  <c:v>552.8</c:v>
                </c:pt>
              </c:numCache>
            </c:numRef>
          </c:val>
        </c:ser>
        <c:ser>
          <c:idx val="3"/>
          <c:order val="3"/>
          <c:tx>
            <c:strRef>
              <c:f>Hoja1!$E$1</c:f>
              <c:strCache>
                <c:ptCount val="1"/>
                <c:pt idx="0">
                  <c:v>Salud animal</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103.9</c:v>
                </c:pt>
                <c:pt idx="1">
                  <c:v>128.2</c:v>
                </c:pt>
                <c:pt idx="2">
                  <c:v>140.9</c:v>
                </c:pt>
              </c:numCache>
            </c:numRef>
          </c:val>
        </c:ser>
        <c:ser>
          <c:idx val="4"/>
          <c:order val="4"/>
          <c:tx>
            <c:strRef>
              <c:f>Hoja1!$F$1</c:f>
              <c:strCache>
                <c:ptCount val="1"/>
                <c:pt idx="0">
                  <c:v>Fermion (principios activos)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73.7</c:v>
                </c:pt>
                <c:pt idx="1">
                  <c:v>72.3</c:v>
                </c:pt>
                <c:pt idx="2">
                  <c:v>68.7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Medicamentos innovadores</c:v>
                </c:pt>
                <c:pt idx="1">
                  <c:v>Productos de marca (Branded Products)</c:v>
                </c:pt>
                <c:pt idx="2">
                  <c:v>Genéricos y salud de consumo</c:v>
                </c:pt>
                <c:pt idx="3">
                  <c:v>Salud animal</c:v>
                </c:pt>
                <c:pt idx="4">
                  <c:v>Fermion (principios activos)</c:v>
                </c:pt>
              </c:strCache>
            </c:strRef>
          </c:cat>
          <c:val>
            <c:numRef>
              <c:f>Hoja1!$B$2:$B$6</c:f>
              <c:numCache>
                <c:formatCode>General</c:formatCode>
                <c:ptCount val="5"/>
                <c:pt idx="0">
                  <c:v>43</c:v>
                </c:pt>
                <c:pt idx="1">
                  <c:v>16.6</c:v>
                </c:pt>
                <c:pt idx="2">
                  <c:v>29.3</c:v>
                </c:pt>
                <c:pt idx="3">
                  <c:v>7.5</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Finlandia</c:v>
                </c:pt>
                <c:pt idx="1">
                  <c:v>Escandinavia</c:v>
                </c:pt>
                <c:pt idx="2">
                  <c:v>Resto de Europa</c:v>
                </c:pt>
                <c:pt idx="3">
                  <c:v>Norteamérica</c:v>
                </c:pt>
                <c:pt idx="4">
                  <c:v>Resto del mundo</c:v>
                </c:pt>
              </c:strCache>
            </c:strRef>
          </c:cat>
          <c:val>
            <c:numRef>
              <c:f>Hoja1!$B$2:$B$6</c:f>
              <c:numCache>
                <c:formatCode>0"%"</c:formatCode>
                <c:ptCount val="5"/>
                <c:pt idx="0">
                  <c:v>19.3</c:v>
                </c:pt>
                <c:pt idx="1">
                  <c:v>10</c:v>
                </c:pt>
                <c:pt idx="2">
                  <c:v>28.1</c:v>
                </c:pt>
                <c:pt idx="3">
                  <c:v>25.5</c:v>
                </c:pt>
                <c:pt idx="4">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(mercado farmacéutico europeo a precio de fábrica; EFPIA))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2020</c:v>
                </c:pt>
                <c:pt idx="1">
                  <c:v>2024</c:v>
                </c:pt>
                <c:pt idx="2">
                  <c:v>2025</c:v>
                </c:pt>
              </c:strCache>
            </c:strRef>
          </c:cat>
          <c:val>
            <c:numRef>
              <c:f>Hoja1!$B$2:$B$4</c:f>
              <c:numCache>
                <c:formatCode>#,##0</c:formatCode>
                <c:ptCount val="3"/>
                <c:pt idx="0">
                  <c:v>216064</c:v>
                </c:pt>
                <c:pt idx="1">
                  <c:v>301968</c:v>
                </c:pt>
                <c:pt idx="2">
                  <c:v>330000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Amenaza de nuevos entrantes</c:v>
                </c:pt>
                <c:pt idx="2">
                  <c:v>Poder de los clientes</c:v>
                </c:pt>
                <c:pt idx="3">
                  <c:v>Poder de los proveedores</c:v>
                </c:pt>
                <c:pt idx="4">
                  <c:v>Sustitutivos</c:v>
                </c:pt>
              </c:strCache>
            </c:strRef>
          </c:cat>
          <c:val>
            <c:numRef>
              <c:f>Hoja1!$B$2:$B$6</c:f>
              <c:numCache>
                <c:formatCode>General</c:formatCode>
                <c:ptCount val="5"/>
                <c:pt idx="0">
                  <c:v>3</c:v>
                </c:pt>
                <c:pt idx="1">
                  <c:v>2</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Orion</c:v>
                </c:pt>
                <c:pt idx="1">
                  <c:v>UCB</c:v>
                </c:pt>
                <c:pt idx="2">
                  <c:v>Ipsen</c:v>
                </c:pt>
                <c:pt idx="3">
                  <c:v>Recordati</c:v>
                </c:pt>
                <c:pt idx="4">
                  <c:v>Almirall</c:v>
                </c:pt>
                <c:pt idx="5">
                  <c:v>Hikma Pharmaceuticals</c:v>
                </c:pt>
              </c:strCache>
            </c:strRef>
          </c:cat>
          <c:val>
            <c:numRef>
              <c:f>Hoja1!$B$2:$B$7</c:f>
              <c:numCache>
                <c:formatCode>0.0"%"</c:formatCode>
                <c:ptCount val="6"/>
                <c:pt idx="0">
                  <c:v>33.4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pt idx="17">
                  <c:v>2036e</c:v>
                </c:pt>
                <c:pt idx="18">
                  <c:v>2037e</c:v>
                </c:pt>
              </c:strCache>
            </c:strRef>
          </c:cat>
          <c:val>
            <c:numRef>
              <c:f>Hoja1!$B$2:$B$20</c:f>
              <c:numCache>
                <c:formatCode>#,##0</c:formatCode>
                <c:ptCount val="19"/>
                <c:pt idx="0">
                  <c:v>1051</c:v>
                </c:pt>
                <c:pt idx="1">
                  <c:v>1078.1</c:v>
                </c:pt>
                <c:pt idx="2">
                  <c:v>1041</c:v>
                </c:pt>
                <c:pt idx="3">
                  <c:v>1340.6</c:v>
                </c:pt>
                <c:pt idx="4">
                  <c:v>1189.7</c:v>
                </c:pt>
                <c:pt idx="5">
                  <c:v>1542.4</c:v>
                </c:pt>
                <c:pt idx="6">
                  <c:v>1889.5</c:v>
                </c:pt>
                <c:pt idx="7">
                  <c:v>2095</c:v>
                </c:pt>
                <c:pt idx="8">
                  <c:v>2274</c:v>
                </c:pt>
                <c:pt idx="9">
                  <c:v>2395</c:v>
                </c:pt>
                <c:pt idx="10">
                  <c:v>2408</c:v>
                </c:pt>
                <c:pt idx="11">
                  <c:v>2432</c:v>
                </c:pt>
                <c:pt idx="12">
                  <c:v>2457</c:v>
                </c:pt>
                <c:pt idx="13">
                  <c:v>2475</c:v>
                </c:pt>
                <c:pt idx="14">
                  <c:v>2344</c:v>
                </c:pt>
                <c:pt idx="15">
                  <c:v>2144</c:v>
                </c:pt>
                <c:pt idx="16">
                  <c:v>1926</c:v>
                </c:pt>
                <c:pt idx="17">
                  <c:v>1781</c:v>
                </c:pt>
                <c:pt idx="18">
                  <c:v>1747</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pt idx="17">
                  <c:v>2036e</c:v>
                </c:pt>
                <c:pt idx="18">
                  <c:v>2037e</c:v>
                </c:pt>
              </c:strCache>
            </c:strRef>
          </c:cat>
          <c:val>
            <c:numRef>
              <c:f>Hoja1!$C$2:$C$20</c:f>
              <c:numCache>
                <c:formatCode>#,##0</c:formatCode>
                <c:ptCount val="19"/>
                <c:pt idx="0">
                  <c:v>308.9</c:v>
                </c:pt>
                <c:pt idx="1">
                  <c:v>336.5</c:v>
                </c:pt>
                <c:pt idx="2">
                  <c:v>289.1</c:v>
                </c:pt>
                <c:pt idx="3">
                  <c:v>487.1</c:v>
                </c:pt>
                <c:pt idx="4">
                  <c:v>295.7</c:v>
                </c:pt>
                <c:pt idx="5">
                  <c:v>509.4</c:v>
                </c:pt>
                <c:pt idx="6">
                  <c:v>688.3</c:v>
                </c:pt>
                <c:pt idx="7">
                  <c:v>782</c:v>
                </c:pt>
                <c:pt idx="8">
                  <c:v>895</c:v>
                </c:pt>
                <c:pt idx="9">
                  <c:v>970</c:v>
                </c:pt>
                <c:pt idx="10">
                  <c:v>963</c:v>
                </c:pt>
                <c:pt idx="11">
                  <c:v>965</c:v>
                </c:pt>
                <c:pt idx="12">
                  <c:v>967</c:v>
                </c:pt>
                <c:pt idx="13">
                  <c:v>963</c:v>
                </c:pt>
                <c:pt idx="14">
                  <c:v>855</c:v>
                </c:pt>
                <c:pt idx="15">
                  <c:v>697</c:v>
                </c:pt>
                <c:pt idx="16">
                  <c:v>525</c:v>
                </c:pt>
                <c:pt idx="17">
                  <c:v>407</c:v>
                </c:pt>
                <c:pt idx="18">
                  <c:v>366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60.3</c:v>
                </c:pt>
                <c:pt idx="1">
                  <c:v>60.4</c:v>
                </c:pt>
                <c:pt idx="2">
                  <c:v>57</c:v>
                </c:pt>
                <c:pt idx="3">
                  <c:v>63.5</c:v>
                </c:pt>
                <c:pt idx="4">
                  <c:v>55.3</c:v>
                </c:pt>
                <c:pt idx="5">
                  <c:v>61.4</c:v>
                </c:pt>
                <c:pt idx="6">
                  <c:v>64.2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29.4</c:v>
                </c:pt>
                <c:pt idx="1">
                  <c:v>31.2</c:v>
                </c:pt>
                <c:pt idx="2">
                  <c:v>27.8</c:v>
                </c:pt>
                <c:pt idx="3">
                  <c:v>36.3</c:v>
                </c:pt>
                <c:pt idx="4">
                  <c:v>24.9</c:v>
                </c:pt>
                <c:pt idx="5">
                  <c:v>33</c:v>
                </c:pt>
                <c:pt idx="6">
                  <c:v>36.4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24.1</c:v>
                </c:pt>
                <c:pt idx="1">
                  <c:v>26</c:v>
                </c:pt>
                <c:pt idx="2">
                  <c:v>23.4</c:v>
                </c:pt>
                <c:pt idx="3">
                  <c:v>32.8</c:v>
                </c:pt>
                <c:pt idx="4">
                  <c:v>20.5</c:v>
                </c:pt>
                <c:pt idx="5">
                  <c:v>27</c:v>
                </c:pt>
                <c:pt idx="6">
                  <c:v>33.4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19.1</c:v>
                </c:pt>
                <c:pt idx="1">
                  <c:v>20.4</c:v>
                </c:pt>
                <c:pt idx="2">
                  <c:v>18.6</c:v>
                </c:pt>
                <c:pt idx="3">
                  <c:v>26.1</c:v>
                </c:pt>
                <c:pt idx="4">
                  <c:v>18.2</c:v>
                </c:pt>
                <c:pt idx="5">
                  <c:v>21.4</c:v>
                </c:pt>
                <c:pt idx="6">
                  <c:v>26.5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56.5</c:v>
                </c:pt>
                <c:pt idx="1">
                  <c:v>35.3</c:v>
                </c:pt>
                <c:pt idx="2">
                  <c:v>14.9</c:v>
                </c:pt>
                <c:pt idx="3">
                  <c:v>26.9</c:v>
                </c:pt>
                <c:pt idx="4">
                  <c:v>-10.2</c:v>
                </c:pt>
                <c:pt idx="5">
                  <c:v>60.1</c:v>
                </c:pt>
                <c:pt idx="6">
                  <c:v>17.8</c:v>
                </c:pt>
                <c:pt idx="7">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68</c:v>
                </c:pt>
                <c:pt idx="1">
                  <c:v>53</c:v>
                </c:pt>
                <c:pt idx="2">
                  <c:v>61</c:v>
                </c:pt>
                <c:pt idx="3">
                  <c:v>49</c:v>
                </c:pt>
                <c:pt idx="4">
                  <c:v>76</c:v>
                </c:pt>
                <c:pt idx="5">
                  <c:v>60</c:v>
                </c:pt>
                <c:pt idx="6">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201</c:v>
                </c:pt>
                <c:pt idx="1">
                  <c:v>221</c:v>
                </c:pt>
                <c:pt idx="2">
                  <c:v>216</c:v>
                </c:pt>
                <c:pt idx="3">
                  <c:v>236</c:v>
                </c:pt>
                <c:pt idx="4">
                  <c:v>249</c:v>
                </c:pt>
                <c:pt idx="5">
                  <c:v>256</c:v>
                </c:pt>
                <c:pt idx="6">
                  <c:v>246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69</c:v>
                </c:pt>
                <c:pt idx="1">
                  <c:v>74</c:v>
                </c:pt>
                <c:pt idx="2">
                  <c:v>73</c:v>
                </c:pt>
                <c:pt idx="3">
                  <c:v>85</c:v>
                </c:pt>
                <c:pt idx="4">
                  <c:v>70</c:v>
                </c:pt>
                <c:pt idx="5">
                  <c:v>53</c:v>
                </c:pt>
                <c:pt idx="6">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234.60000000000002</c:v>
                </c:pt>
                <c:pt idx="1">
                  <c:v>258.40000000000003</c:v>
                </c:pt>
                <c:pt idx="2">
                  <c:v>130.7</c:v>
                </c:pt>
                <c:pt idx="3">
                  <c:v>361.29999999999995</c:v>
                </c:pt>
                <c:pt idx="4">
                  <c:v>-2.299999999999997</c:v>
                </c:pt>
                <c:pt idx="5">
                  <c:v>201.29999999999998</c:v>
                </c:pt>
                <c:pt idx="6">
                  <c:v>212.3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200.4</c:v>
                </c:pt>
                <c:pt idx="1">
                  <c:v>219.9</c:v>
                </c:pt>
                <c:pt idx="2">
                  <c:v>193.8</c:v>
                </c:pt>
                <c:pt idx="3">
                  <c:v>349.5</c:v>
                </c:pt>
                <c:pt idx="4">
                  <c:v>216.8</c:v>
                </c:pt>
                <c:pt idx="5">
                  <c:v>329.9</c:v>
                </c:pt>
                <c:pt idx="6">
                  <c:v>500.3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29.9</c:v>
                </c:pt>
                <c:pt idx="1">
                  <c:v>36.3</c:v>
                </c:pt>
                <c:pt idx="2">
                  <c:v>32.8</c:v>
                </c:pt>
                <c:pt idx="3">
                  <c:v>48.8</c:v>
                </c:pt>
                <c:pt idx="4">
                  <c:v>22</c:v>
                </c:pt>
                <c:pt idx="5">
                  <c:v>31.5</c:v>
                </c:pt>
                <c:pt idx="6">
                  <c:v>39.4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7.8</c:v>
                </c:pt>
                <c:pt idx="1">
                  <c:v>7.8</c:v>
                </c:pt>
                <c:pt idx="2">
                  <c:v>7.8</c:v>
                </c:pt>
                <c:pt idx="3">
                  <c:v>7.8</c:v>
                </c:pt>
                <c:pt idx="4">
                  <c:v>7.8</c:v>
                </c:pt>
                <c:pt idx="5">
                  <c:v>7.8</c:v>
                </c:pt>
                <c:pt idx="6">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25.7</c:v>
                </c:pt>
                <c:pt idx="1">
                  <c:v>29.1</c:v>
                </c:pt>
                <c:pt idx="2">
                  <c:v>26.2</c:v>
                </c:pt>
                <c:pt idx="3">
                  <c:v>42.2</c:v>
                </c:pt>
                <c:pt idx="4">
                  <c:v>24.1</c:v>
                </c:pt>
                <c:pt idx="5">
                  <c:v>34.8</c:v>
                </c:pt>
                <c:pt idx="6">
                  <c:v>43.7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-0.55</c:v>
                </c:pt>
                <c:pt idx="2">
                  <c:v>-0.37</c:v>
                </c:pt>
                <c:pt idx="3">
                  <c:v>-0.24</c:v>
                </c:pt>
                <c:pt idx="4">
                  <c:v>0.32</c:v>
                </c:pt>
                <c:pt idx="5">
                  <c:v>0.24</c:v>
                </c:pt>
                <c:pt idx="6">
                  <c:v>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2027-2030</c:v>
                </c:pt>
              </c:strCache>
            </c:strRef>
          </c:cat>
          <c:val>
            <c:numRef>
              <c:f>Hoja1!$B$2:$B$3</c:f>
              <c:numCache>
                <c:formatCode>#,##0</c:formatCode>
                <c:ptCount val="2"/>
                <c:pt idx="0">
                  <c:v>190.1</c:v>
                </c:pt>
                <c:pt idx="1">
                  <c:v>115.3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82</c:v>
                </c:pt>
                <c:pt idx="4">
                  <c:v>0</c:v>
                </c:pt>
                <c:pt idx="5">
                  <c:v>0</c:v>
                </c:pt>
                <c:pt idx="6">
                  <c:v>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211.2</c:v>
                </c:pt>
                <c:pt idx="1">
                  <c:v>211.1</c:v>
                </c:pt>
                <c:pt idx="2">
                  <c:v>211.2</c:v>
                </c:pt>
                <c:pt idx="3">
                  <c:v>211.2</c:v>
                </c:pt>
                <c:pt idx="4">
                  <c:v>224.9</c:v>
                </c:pt>
                <c:pt idx="5">
                  <c:v>228</c:v>
                </c:pt>
                <c:pt idx="6">
                  <c:v>231.1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7.4</c:v>
                </c:pt>
                <c:pt idx="1">
                  <c:v>0</c:v>
                </c:pt>
                <c:pt idx="2">
                  <c:v>0</c:v>
                </c:pt>
                <c:pt idx="3">
                  <c:v>17.9</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Inc.</c:v>
                </c:pt>
                <c:pt idx="1">
                  <c:v>Ilmarinen (mutua de pensiones)</c:v>
                </c:pt>
                <c:pt idx="2">
                  <c:v>Varma (mutua de pensiones)</c:v>
                </c:pt>
                <c:pt idx="3">
                  <c:v>Erkki Etola y sociedades</c:v>
                </c:pt>
                <c:pt idx="4">
                  <c:v>Land and Water Technology Foundation y sociedades</c:v>
                </c:pt>
                <c:pt idx="5">
                  <c:v>Elo (mutua de pensiones)</c:v>
                </c:pt>
              </c:strCache>
            </c:strRef>
          </c:cat>
          <c:val>
            <c:numRef>
              <c:f>Hoja1!$B$2:$B$7</c:f>
              <c:numCache>
                <c:formatCode>0.0"%"</c:formatCode>
                <c:ptCount val="6"/>
                <c:pt idx="0">
                  <c:v>5.11</c:v>
                </c:pt>
                <c:pt idx="1">
                  <c:v>3.67</c:v>
                </c:pt>
                <c:pt idx="2">
                  <c:v>3.06</c:v>
                </c:pt>
                <c:pt idx="3">
                  <c:v>2</c:v>
                </c:pt>
                <c:pt idx="4">
                  <c:v>1.48</c:v>
                </c:pt>
                <c:pt idx="5">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38.2</c:v>
                </c:pt>
                <c:pt idx="1">
                  <c:v>-24.2</c:v>
                </c:pt>
                <c:pt idx="2">
                  <c:v>2.8</c:v>
                </c:pt>
                <c:pt idx="3">
                  <c:v>42.5</c:v>
                </c:pt>
                <c:pt idx="4">
                  <c:v>-6.2</c:v>
                </c:pt>
                <c:pt idx="5">
                  <c:v>1.7</c:v>
                </c:pt>
                <c:pt idx="6">
                  <c:v>45.4</c:v>
                </c:pt>
                <c:pt idx="7">
                  <c:v>-20.4</c:v>
                </c:pt>
                <c:pt idx="8">
                  <c:v>13.4</c:v>
                </c:pt>
                <c:pt idx="9">
                  <c:v>52.8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18.4</c:v>
                </c:pt>
                <c:pt idx="1">
                  <c:v>15.1</c:v>
                </c:pt>
                <c:pt idx="2">
                  <c:v>17.4</c:v>
                </c:pt>
                <c:pt idx="3">
                  <c:v>14.5</c:v>
                </c:pt>
                <c:pt idx="4">
                  <c:v>19</c:v>
                </c:pt>
                <c:pt idx="5">
                  <c:v>12</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15.1</c:v>
                </c:pt>
                <c:pt idx="1">
                  <c:v>15.1</c:v>
                </c:pt>
                <c:pt idx="2">
                  <c:v>15.1</c:v>
                </c:pt>
                <c:pt idx="3">
                  <c:v>15.1</c:v>
                </c:pt>
                <c:pt idx="4">
                  <c:v>15.1</c:v>
                </c:pt>
                <c:pt idx="5">
                  <c:v>15.1</c:v>
                </c:pt>
                <c:pt idx="6">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Zentiva (genéricos, República Checa)</c:v>
                </c:pt>
                <c:pt idx="1">
                  <c:v>Stada (genéricos y salud de consumo, Alemania)</c:v>
                </c:pt>
                <c:pt idx="2">
                  <c:v>Inovet (veterinaria, Bélgica)</c:v>
                </c:pt>
              </c:strCache>
            </c:strRef>
          </c:cat>
          <c:val>
            <c:numRef>
              <c:f>Hoja1!$B$2:$B$4</c:f>
              <c:numCache>
                <c:formatCode>0.0"x"</c:formatCode>
                <c:ptCount val="3"/>
                <c:pt idx="0">
                  <c:v>10.25</c:v>
                </c:pt>
                <c:pt idx="1">
                  <c:v>11.29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2026e</c:v>
                </c:pt>
                <c:pt idx="1">
                  <c:v>2027e</c:v>
                </c:pt>
                <c:pt idx="2">
                  <c:v>2028e</c:v>
                </c:pt>
                <c:pt idx="3">
                  <c:v>2029e</c:v>
                </c:pt>
                <c:pt idx="4">
                  <c:v>2030e</c:v>
                </c:pt>
                <c:pt idx="5">
                  <c:v>2031e</c:v>
                </c:pt>
                <c:pt idx="6">
                  <c:v>2032e</c:v>
                </c:pt>
                <c:pt idx="7">
                  <c:v>2033e</c:v>
                </c:pt>
                <c:pt idx="8">
                  <c:v>2034e</c:v>
                </c:pt>
                <c:pt idx="9">
                  <c:v>2035e</c:v>
                </c:pt>
                <c:pt idx="10">
                  <c:v>2036e</c:v>
                </c:pt>
                <c:pt idx="11">
                  <c:v>2037e</c:v>
                </c:pt>
              </c:strCache>
            </c:strRef>
          </c:cat>
          <c:val>
            <c:numRef>
              <c:f>Hoja1!$B$2:$B$13</c:f>
              <c:numCache>
                <c:formatCode>#,##0</c:formatCode>
                <c:ptCount val="12"/>
                <c:pt idx="0">
                  <c:v>471</c:v>
                </c:pt>
                <c:pt idx="1">
                  <c:v>547</c:v>
                </c:pt>
                <c:pt idx="2">
                  <c:v>628</c:v>
                </c:pt>
                <c:pt idx="3">
                  <c:v>667</c:v>
                </c:pt>
                <c:pt idx="4">
                  <c:v>665</c:v>
                </c:pt>
                <c:pt idx="5">
                  <c:v>673</c:v>
                </c:pt>
                <c:pt idx="6">
                  <c:v>673</c:v>
                </c:pt>
                <c:pt idx="7">
                  <c:v>645</c:v>
                </c:pt>
                <c:pt idx="8">
                  <c:v>543</c:v>
                </c:pt>
                <c:pt idx="9">
                  <c:v>413</c:v>
                </c:pt>
                <c:pt idx="10">
                  <c:v>295</c:v>
                </c:pt>
                <c:pt idx="11">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4273</c:v>
                </c:pt>
                <c:pt idx="1">
                  <c:v>1663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29.56</c:v>
                </c:pt>
                <c:pt idx="1">
                  <c:v>41.11</c:v>
                </c:pt>
                <c:pt idx="2">
                  <c:v>66.49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(56,50 – 88,55)</c:v>
                </c:pt>
                <c:pt idx="1">
                  <c:v>Precio objetivo de los analistas (55,00 – 88,00)</c:v>
                </c:pt>
                <c:pt idx="2">
                  <c:v>Comparables: PER NTM (47,41 – 71,52)</c:v>
                </c:pt>
                <c:pt idx="3">
                  <c:v>DCF (WACC y g ± 0,5) (38,21 – 45,04)</c:v>
                </c:pt>
                <c:pt idx="4">
                  <c:v>Escenarios (bajista – alcista) (29,56 – 66,49)</c:v>
                </c:pt>
                <c:pt idx="5">
                  <c:v>DCF con la prima implícita del mercado (4,2 %)</c:v>
                </c:pt>
                <c:pt idx="6">
                  <c:v>Precio actual (88,30)</c:v>
                </c:pt>
              </c:strCache>
            </c:strRef>
          </c:cat>
          <c:val>
            <c:numRef>
              <c:f>Hoja1!$B$2:$B$8</c:f>
              <c:numCache>
                <c:formatCode>#,##0.0</c:formatCode>
                <c:ptCount val="7"/>
                <c:pt idx="0">
                  <c:v>56.5</c:v>
                </c:pt>
                <c:pt idx="1">
                  <c:v>55</c:v>
                </c:pt>
                <c:pt idx="2">
                  <c:v>47.41</c:v>
                </c:pt>
                <c:pt idx="3">
                  <c:v>38.21</c:v>
                </c:pt>
                <c:pt idx="4">
                  <c:v>29.56</c:v>
                </c:pt>
                <c:pt idx="5">
                  <c:v>43.7</c:v>
                </c:pt>
                <c:pt idx="6">
                  <c:v>87.86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(56,50 – 88,55)</c:v>
                </c:pt>
                <c:pt idx="1">
                  <c:v>Precio objetivo de los analistas (55,00 – 88,00)</c:v>
                </c:pt>
                <c:pt idx="2">
                  <c:v>Comparables: PER NTM (47,41 – 71,52)</c:v>
                </c:pt>
                <c:pt idx="3">
                  <c:v>DCF (WACC y g ± 0,5) (38,21 – 45,04)</c:v>
                </c:pt>
                <c:pt idx="4">
                  <c:v>Escenarios (bajista – alcista) (29,56 – 66,49)</c:v>
                </c:pt>
                <c:pt idx="5">
                  <c:v>DCF con la prima implícita del mercado (4,2 %)</c:v>
                </c:pt>
                <c:pt idx="6">
                  <c:v>Precio actual (88,30)</c:v>
                </c:pt>
              </c:strCache>
            </c:strRef>
          </c:cat>
          <c:val>
            <c:numRef>
              <c:f>Hoja1!$C$2:$C$8</c:f>
              <c:numCache>
                <c:formatCode>#,##0.0</c:formatCode>
                <c:ptCount val="7"/>
                <c:pt idx="0">
                  <c:v>32.05</c:v>
                </c:pt>
                <c:pt idx="1">
                  <c:v>33</c:v>
                </c:pt>
                <c:pt idx="2">
                  <c:v>24.11</c:v>
                </c:pt>
                <c:pt idx="3">
                  <c:v>6.829999999999998</c:v>
                </c:pt>
                <c:pt idx="4">
                  <c:v>36.92999999999999</c:v>
                </c:pt>
                <c:pt idx="5">
                  <c:v>6.43</c:v>
                </c:pt>
                <c:pt idx="6">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