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72e2291184758639c07aa7b56887b4c1d2d189"/>
    <w:p>
      <w:pPr>
        <w:pStyle w:val="Heading1"/>
      </w:pPr>
      <w:r>
        <w:t xml:space="preserve">Snowflake (SNOW):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Comprar (convicción media)</w:t>
      </w:r>
      <w:r>
        <w:t xml:space="preserve"> </w:t>
      </w:r>
      <w:r>
        <w:t xml:space="preserve">· Puntuación 78,0/100 · Señales de cambio de tendencia 6/8 · EV/beneficio bruto 27,8x</w:t>
      </w:r>
      <w:r>
        <w:t xml:space="preserve"> </w:t>
      </w:r>
      <w:r>
        <w:t xml:space="preserve">Precio 357,76 USD (cierre del 13-oct) · Objetivo 12 m 397,4 USD (ponderada +11,1 %, base +14,1 %, bajista −45,0 %, alcista +61,1 %) · Compra hasta 378,5 USD</w:t>
      </w:r>
      <w:r>
        <w:t xml:space="preserve"> </w:t>
      </w:r>
      <w:r>
        <w:t xml:space="preserve">Peso orientativo: 4 % por la regla, pero</w:t>
      </w:r>
      <w:r>
        <w:t xml:space="preserve"> </w:t>
      </w:r>
      <w:r>
        <w:rPr>
          <w:bCs/>
          <w:b/>
        </w:rPr>
        <w:t xml:space="preserve">hoy no entra</w:t>
      </w:r>
      <w:r>
        <w:t xml:space="preserve">: el bolsillo growth está lleno (~19,5 %) y no hay liquidez. Queda como</w:t>
      </w:r>
      <w:r>
        <w:t xml:space="preserve"> </w:t>
      </w:r>
      <w:r>
        <w:rPr>
          <w:bCs/>
          <w:b/>
        </w:rPr>
        <w:t xml:space="preserve">primera suplente growth</w:t>
      </w:r>
      <w:r>
        <w:t xml:space="preserve">, por delante de Datadog, y sustituiría a Duolingo solo si el 3T de Duolingo (3-nov) rompe su tesis (sección 13) · Por qué: cumple todos los requisitos de compra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). Las ventas del año objetivo salen de la regla mecánica (9.109 M USD en el base) y el múltiplo, del de hoy rebajado por desaceleración (10,4x / 17,4x / 22,6x EV/ventas NTM). La proyección propia (7.970 / 8.970 / 9.400 M USD) es solo contraste.</w:t>
      </w:r>
      <w:r>
        <w:t xml:space="preserve"> </w:t>
      </w:r>
      <w:r>
        <w:rPr>
          <w:bCs/>
          <w:b/>
        </w:rPr>
        <w:t xml:space="preserve">Con la guía de la empresa</w:t>
      </w:r>
      <w:r>
        <w:t xml:space="preserve"> </w:t>
      </w:r>
      <w:r>
        <w:t xml:space="preserve">(mejora pendiente de la tanda 4): la guía</w:t>
      </w:r>
      <w:r>
        <w:t xml:space="preserve"> </w:t>
      </w:r>
      <w:r>
        <w:rPr>
          <w:bCs/>
          <w:b/>
        </w:rPr>
        <w:t xml:space="preserve">no es menor</w:t>
      </w:r>
      <w:r>
        <w:t xml:space="preserve"> </w:t>
      </w:r>
      <w:r>
        <w:t xml:space="preserve">que la mecánica. La mecánica parte de un +31,9 %, y la empresa guía un +36 % de ingresos de producto en el año y un +37-38 % en el 3T. Por tanto, la mejora (que solo recorta) no cambia nada. Solo si se toma el crecimiento de los próximos 12 meses que calculo yo (+31 %, extrapolando más allá de la guía), la ponderada bajaría a +9,7 %, con compra hasta 373,9 USD.</w:t>
      </w:r>
      <w:r>
        <w:t xml:space="preserve"> </w:t>
      </w:r>
      <w:r>
        <w:rPr>
          <w:bCs/>
          <w:b/>
        </w:rPr>
        <w:t xml:space="preserve">Seguiría siendo Comprar</w:t>
      </w:r>
      <w:r>
        <w:t xml:space="preserve"> </w:t>
      </w:r>
      <w:r>
        <w:t xml:space="preserve">(sección 9).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Snowflake es la plataforma de datos en la nube (almacén de datos, ingeniería de datos y, ahora, IA sobre los datos de la empresa) que se cobra por consumo. Vende</w:t>
      </w:r>
      <w:r>
        <w:t xml:space="preserve"> </w:t>
      </w:r>
      <w:r>
        <w:rPr>
          <w:bCs/>
          <w:b/>
        </w:rPr>
        <w:t xml:space="preserve">5.435 M USD en los últimos 12 meses (+32,0 %)</w:t>
      </w:r>
      <w:r>
        <w:t xml:space="preserve">, con un margen bruto GAAP del 67 % (75 % en producto sin ajustes contables) y un FCF del 22 %.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Acelera tres trimestres seguidos</w:t>
      </w:r>
      <w:r>
        <w:t xml:space="preserve"> </w:t>
      </w:r>
      <w:r>
        <w:t xml:space="preserve">en ingresos de producto (+29 %, +30 %, +34 % y +37 %) a esta escala, empujada por los productos de IA propios (CoCo, CoWork, Snowflake Intelligence). La dirección atribuye a la IA la mitad de la aceleración. La guía del año ha subido de +27 % a +36 % en dos revisiones.</w:t>
      </w:r>
    </w:p>
    <w:p>
      <w:pPr>
        <w:numPr>
          <w:ilvl w:val="0"/>
          <w:numId w:val="1001"/>
        </w:numPr>
        <w:pStyle w:val="Compact"/>
      </w:pPr>
      <w:r>
        <w:t xml:space="preserve">La percepción ha dado la vuelta. En abril cotizaba en 121 USD (−50 % en el año, por el miedo a que la IA se coma el software) y hoy está en 358 USD (+166 % en 6 meses). El múltiplo ha pasado de ~6x a</w:t>
      </w:r>
      <w:r>
        <w:t xml:space="preserve"> </w:t>
      </w:r>
      <w:r>
        <w:rPr>
          <w:bCs/>
          <w:b/>
        </w:rPr>
        <w:t xml:space="preserve">18,6x ventas NTM</w:t>
      </w:r>
      <w:r>
        <w:t xml:space="preserve">, por encima de su mediana de 3 años (~13x).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 que lo hace más sólido que Datadog</w:t>
      </w:r>
      <w:r>
        <w:t xml:space="preserve">: aquí la guía de la empresa va por encima de la proyección mecánica.</w:t>
      </w:r>
      <w:r>
        <w:t xml:space="preserve"> </w:t>
      </w:r>
      <w:r>
        <w:rPr>
          <w:bCs/>
          <w:b/>
        </w:rPr>
        <w:t xml:space="preserve">Lo que lo hace frágil</w:t>
      </w:r>
      <w:r>
        <w:t xml:space="preserve">: los pagos en acciones equivalen al 30 % de las ventas (el FCF después de pagarlos es negativo), la acción no gana dinero en GAAP, la dilución es del 4 % y el bajista llega al −45 %, cerca del límite del −50 %.</w:t>
      </w:r>
    </w:p>
    <w:p>
      <w:pPr>
        <w:numPr>
          <w:ilvl w:val="0"/>
          <w:numId w:val="1001"/>
        </w:numPr>
        <w:pStyle w:val="Compact"/>
      </w:pPr>
      <w:r>
        <w:t xml:space="preserve">Conclusión: la regla dice</w:t>
      </w:r>
      <w:r>
        <w:t xml:space="preserve"> </w:t>
      </w:r>
      <w:r>
        <w:rPr>
          <w:bCs/>
          <w:b/>
        </w:rPr>
        <w:t xml:space="preserve">Comprar (media)</w:t>
      </w:r>
      <w:r>
        <w:t xml:space="preserve"> </w:t>
      </w:r>
      <w:r>
        <w:t xml:space="preserve">por debajo de 378,5 USD, con un margen corto (ponderada +11,1 %).</w:t>
      </w:r>
      <w:r>
        <w:t xml:space="preserve"> </w:t>
      </w:r>
      <w:r>
        <w:rPr>
          <w:bCs/>
          <w:b/>
        </w:rPr>
        <w:t xml:space="preserve">No cabe hoy</w:t>
      </w:r>
      <w:r>
        <w:t xml:space="preserve"> </w:t>
      </w:r>
      <w:r>
        <w:t xml:space="preserve">(bolsillo growth lleno y sin liquidez). Pasa a ser la primera suplente growth.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Snowflake vende una plataforma única de datos en la nube que corre sobre AWS, Azure y Google Cloud. Los clientes guardan, transforman, comparten y analizan sus datos y, desde 2025, construyen aplicaciones y agentes de IA sobre ellos. Cobra por consumo (créditos de cómputo y almacenamiento), con contratos de capacidad que nutren la cartera contratada:</w:t>
      </w:r>
      <w:r>
        <w:t xml:space="preserve"> </w:t>
      </w:r>
      <w:r>
        <w:rPr>
          <w:bCs/>
          <w:b/>
        </w:rPr>
        <w:t xml:space="preserve">RPO de 9.004 M USD, +30 %</w:t>
      </w:r>
      <w:r>
        <w:t xml:space="preserve"> </w:t>
      </w:r>
      <w:r>
        <w:t xml:space="preserve">[1][3]. Tiene más de 14.500 clientes (nota de los convertibles [8]); 828 gastan más de 1 M USD al año (+27 %) y 829 están entre las Forbes Global 2000 [1].</w:t>
      </w:r>
    </w:p>
    <w:p>
      <w:pPr>
        <w:pStyle w:val="BodyText"/>
      </w:pPr>
      <w:r>
        <w:t xml:space="preserve">Lo nuevo es la</w:t>
      </w:r>
      <w:r>
        <w:t xml:space="preserve"> </w:t>
      </w:r>
      <w:r>
        <w:rPr>
          <w:bCs/>
          <w:b/>
        </w:rPr>
        <w:t xml:space="preserve">capa de IA propia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Cortex Code (CoCo)</w:t>
      </w:r>
      <w:r>
        <w:t xml:space="preserve">: agente de programación para datos, en 9.100 cuentas, 2.000 más en el trimestre.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CoWork y Snowflake Intelligence</w:t>
      </w:r>
      <w:r>
        <w:t xml:space="preserve">: agentes de negocio que consultan los datos en lenguaje natural; CoWork está en 5.800 cuentas.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Cortex Sense</w:t>
      </w:r>
      <w:r>
        <w:t xml:space="preserve"> </w:t>
      </w:r>
      <w:r>
        <w:t xml:space="preserve">(contexto de negocio) y</w:t>
      </w:r>
      <w:r>
        <w:t xml:space="preserve"> </w:t>
      </w:r>
      <w:r>
        <w:rPr>
          <w:bCs/>
          <w:b/>
        </w:rPr>
        <w:t xml:space="preserve">Cortex AI Gateway</w:t>
      </w:r>
      <w:r>
        <w:t xml:space="preserve">, con la compra de Natoma (protocolo MCP para agentes).</w:t>
      </w:r>
      <w:r>
        <w:t xml:space="preserve"> </w:t>
      </w:r>
      <w:r>
        <w:t xml:space="preserve">- Observabilidad, con la compra de Observe.</w:t>
      </w:r>
    </w:p>
    <w:p>
      <w:pPr>
        <w:pStyle w:val="BodyText"/>
      </w:pPr>
      <w:r>
        <w:t xml:space="preserve">Además, PostgreSQL (Crunchy Data) y acuerdos con Anthropic, OpenAI, SAP y AWS (6.000 M USD a varios años) [1][2][3].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 4/5</w:t>
      </w:r>
      <w:r>
        <w:t xml:space="preserve">: arquitectura que separa almacenamiento y cómputo, multinube, gobierno de datos y la red de datos compartidos (Marketplace), con efecto red. No es 5: Databricks ofrece lo mismo con formatos abiertos (Iceberg/Delta), los hiperescaladores tienen alternativas (BigQuery, Redshift, Fabric) y los formatos abiertos abaratan cambiar de proveedor.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Posición 4/5</w:t>
      </w:r>
      <w:r>
        <w:t xml:space="preserve">: uno de los dos líderes independientes, con Databricks. Gana cuentas grandes (las nuevas altas de clientes crecen un 32 %) pero, de memoria, Databricks crece más deprisa, así que no es un «líder claro con cuota creciente».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 fiscal (cierre)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FY26 (abr-25)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FY26 (jul-25)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 FY26 (oct-25)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 FY26 (ene-26)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FY27 (abr-26)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1.334,3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FY27 (jul-26)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 FY27 (oct-26)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1.588-1.593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37-38 %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 (cierre en enero)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FY27 (guía de producto, sep-2026)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6.070 de producto (~6.300 en total, 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+36 %</w:t>
            </w:r>
          </w:p>
        </w:tc>
      </w:tr>
    </w:tbl>
    <w:p>
      <w:pPr>
        <w:pStyle w:val="BodyText"/>
      </w:pPr>
      <w:r>
        <w:t xml:space="preserve">Fuente: SEC XBRL y notas de resultados [1][2][4].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 </w:t>
      </w:r>
      <w:r>
        <w:t xml:space="preserve">(3T FY26-2T FY27):</w:t>
      </w:r>
      <w:r>
        <w:t xml:space="preserve"> </w:t>
      </w:r>
      <w:r>
        <w:rPr>
          <w:bCs/>
          <w:b/>
        </w:rPr>
        <w:t xml:space="preserve">5.435 M USD, +32,0 %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30,2 %</w:t>
      </w:r>
      <w:r>
        <w:t xml:space="preserve"> </w:t>
      </w:r>
      <w:r>
        <w:t xml:space="preserve">(12 m a jul-2024: 3.206 M).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</w:t>
      </w:r>
      <w:r>
        <w:t xml:space="preserve">: el 2T FY27 (+35,1 %) frente a la media de los cuatro anteriores (+31,0 %) da</w:t>
      </w:r>
      <w:r>
        <w:t xml:space="preserve"> </w:t>
      </w:r>
      <w:r>
        <w:rPr>
          <w:bCs/>
          <w:b/>
        </w:rPr>
        <w:t xml:space="preserve">+4,1 pp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 neta</w:t>
      </w:r>
      <w:r>
        <w:t xml:space="preserve">:</w:t>
      </w:r>
      <w:r>
        <w:t xml:space="preserve"> </w:t>
      </w:r>
      <w:r>
        <w:rPr>
          <w:bCs/>
          <w:b/>
        </w:rPr>
        <w:t xml:space="preserve">126 %</w:t>
      </w:r>
      <w:r>
        <w:t xml:space="preserve"> </w:t>
      </w:r>
      <w:r>
        <w:t xml:space="preserve">(125 % un año antes), la primera subida desde 2022, tras años de bajada desde más del 170 % (de memoria) [1][3].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 el año ha subido dos veces, de 5.660 M (+27 %, feb) a 5.840 M (+31 %, may) y a 6.070 M (+36 %, sep). Batió la guía de producto del 1T en un 5,5 % y la del 2T en un 5,3 %. La del 3T (+37-38 %) implica seguir acelerando. El 4T implícito (~1.653 M) es de ~+34 % [1][2].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Señal de alerta</w:t>
      </w:r>
      <w:r>
        <w:t xml:space="preserve">: la RPO frena (+42 % en enero, +38 % en abril, +30 % en julio) y baja en dólares por segundo trimestre seguido (9.772 → 9.205 → 9.004 M). Parte es estacional (el 4T concentra las renovaciones), pero conviene vigilarla [3].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 ~120.000 M USD en 2028</w:t>
      </w:r>
      <w:r>
        <w:t xml:space="preserve"> </w:t>
      </w:r>
      <w:r>
        <w:t xml:space="preserve">(estimación propia: análisis y gestión de datos en la nube más la capa de IA sobre datos empresariales, a partir de un mercado de bases de datos de ~137.000 M USD en 2024 según Gartner, de memoria, y de los 50.000 M de operaciones de TI que Snowflake cita al comprar Observe) [13]. La empresa habla de un mercado total mucho mayor, que no se usa.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Penetración</w:t>
      </w:r>
      <w:r>
        <w:t xml:space="preserve">: 5.435 / 120.000 =</w:t>
      </w:r>
      <w:r>
        <w:t xml:space="preserve"> </w:t>
      </w:r>
      <w:r>
        <w:rPr>
          <w:bCs/>
          <w:b/>
        </w:rPr>
        <w:t xml:space="preserve">4,5 %</w:t>
      </w:r>
      <w:r>
        <w:t xml:space="preserve"> </w:t>
      </w:r>
      <w:r>
        <w:t xml:space="preserve">(4 puntos). Con un mercado de 100.000 M sería del 5,4 %: 3 puntos y 76,7 de puntuación, sin cambio de señal.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Databricks (privada, el rival directo, más fuerte en IA y en ingeniería de datos), Google BigQuery, Microsoft Fabric/Azure Synapse, AWS Redshift, Oracle; en bases transaccionales, MongoDB y los Postgres gestionados; en observabilidad (Observe), Datadog.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es fácil de usar, viene con el gobierno de datos ya integrado y funciona en las tres nubes. Su base instalada en grandes empresas ya tiene los datos dentro, y la IA multiplica las consultas sobre esos datos. El riesgo es el precio: los clientes optimizan el consumo (2023) y los formatos abiertos (Iceberg) les permiten llevarse el cómputo a otro motor.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 producto del año de 5.660 a 6.070 M USD (+7,2 %) en dos subidas; subidas de precio objetivo en bloque el 3-sep (Goldman 300→436, RBC 372→440, Oppenheimer 400→475, Scotiabank 320→440, Truist 375→425). Basada en guía y precios objetivo, no en una serie de estimaciones.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357,76 USD frente a una media de 232,4 USD que sube (221,1 hace un mes, 208,2 hace tres).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+166,5 % desde el 13-abr (134,24 USD) frente a +20,4 % del Nasdaq-100.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~6,3x (mínimo del 10-abr) a 18,6x (+196 %). Con la v8 no contaría: ya está a 1,4 veces su mediana de 3 años.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de −29,7 % a −17,0 % (+12,7 pp) en un año; no GAAP de 11 % a 15 %; FCF de 12 meses de 18,3 % a 22,0 %. Sigue en pérdidas GAAP.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girado mucho desde abril, pero hoy ya es alcista: 35 de 41 analistas en compra, objetivo medio de 414 USD, máximos de 52 semanas el 9-oct y StockTwits pidiendo 400 USD. Lo trato como ya caliente, no como mejorando desde abajo (el mismo criterio que en Datadog).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[7][9][10]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ventas: decenas de formularios 4 y 144 entre julio y el 8-oct. Los 13G son de gestoras indexadas.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 y CoWork en plena adopción, Cortex Sense y AI Gateway, acuerdo con AWS; resultados del 3T previstos para el 2-dic.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[1][2][11]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</w:t>
      </w:r>
      <w:r>
        <w:t xml:space="preserve"> </w:t>
      </w:r>
      <w:r>
        <w:t xml:space="preserve">por la regla (+44,7 % en 12 meses, por debajo del 150 %; EV/beneficio bruto de 27,8x). Pero, como en Datadog, la subida de 6 meses (+166 %) supera ese umbral. El método solo mira 12 meses, y aquí el año incluye la caída de enero a abril.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67,0 % GAAP</w:t>
      </w:r>
      <w:r>
        <w:t xml:space="preserve"> </w:t>
      </w:r>
      <w:r>
        <w:t xml:space="preserve">en los últimos 12 meses (beneficio bruto de 3.643 M USD sobre 5.435 M). Sin pagos en acciones ni amortización de compras, es del 72 % (producto: 75 %; guía del año: 74 %). Se usa el GAAP, como en Datadog. Con el 72 %, el EV/beneficio bruto bajaría a 25,9x [1][4]. El margen de producto baja un punto al año por el coste de los modelos de IA de terceros y de la nube.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12 meses</w:t>
      </w:r>
      <w:r>
        <w:t xml:space="preserve">: flujo de explotación de 1.253 M − inmovilizado de 58 M =</w:t>
      </w:r>
      <w:r>
        <w:t xml:space="preserve"> </w:t>
      </w:r>
      <w:r>
        <w:rPr>
          <w:bCs/>
          <w:b/>
        </w:rPr>
        <w:t xml:space="preserve">1.195 M USD, 22,0 %</w:t>
      </w:r>
      <w:r>
        <w:t xml:space="preserve"> </w:t>
      </w:r>
      <w:r>
        <w:t xml:space="preserve">de las ventas (751 M y 18,3 % un año antes):</w:t>
      </w:r>
      <w:r>
        <w:t xml:space="preserve"> </w:t>
      </w:r>
      <w:r>
        <w:rPr>
          <w:bCs/>
          <w:b/>
        </w:rPr>
        <w:t xml:space="preserve">FCF creciente</w:t>
      </w:r>
      <w:r>
        <w:t xml:space="preserve"> </w:t>
      </w:r>
      <w:r>
        <w:t xml:space="preserve">[4]. Guía del año: FCF ajustado del 23 %.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32,0 + 22,0 =</w:t>
      </w:r>
      <w:r>
        <w:t xml:space="preserve"> </w:t>
      </w:r>
      <w:r>
        <w:rPr>
          <w:bCs/>
          <w:b/>
        </w:rPr>
        <w:t xml:space="preserve">54</w:t>
      </w:r>
      <w:r>
        <w:t xml:space="preserve">.</w:t>
      </w:r>
      <w:r>
        <w:t xml:space="preserve"> </w:t>
      </w:r>
      <w:r>
        <w:rPr>
          <w:bCs/>
          <w:b/>
        </w:rPr>
        <w:t xml:space="preserve">Ojo</w:t>
      </w:r>
      <w:r>
        <w:t xml:space="preserve">: con el FCF menos los pagos en acciones (1.195 − 1.642 = −447 M, −8,2 %) sería</w:t>
      </w:r>
      <w:r>
        <w:t xml:space="preserve"> </w:t>
      </w:r>
      <w:r>
        <w:rPr>
          <w:bCs/>
          <w:b/>
        </w:rPr>
        <w:t xml:space="preserve">23,8</w:t>
      </w:r>
      <w:r>
        <w:t xml:space="preserve">, y la puntuación bajaría a 75,0 sin cambiar la señal.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el margen operativo no GAAP pasa del 11 % al 15 % (guía del año: 14,5 %), y el GAAP mejora 13 pp, pero sigue en −17 %. Sin pagos en acciones no habría beneficio.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 y valores</w:t>
      </w:r>
      <w:r>
        <w:t xml:space="preserve">: 4.329 M USD a 31-jul-2026, más ~2.768 M netos de la emisión de convertibles del 1-oct (3.700 M menos 383,5 M de</w:t>
      </w:r>
      <w:r>
        <w:t xml:space="preserve"> </w:t>
      </w:r>
      <w:r>
        <w:rPr>
          <w:iCs/>
          <w:i/>
        </w:rPr>
        <w:t xml:space="preserve">capped call</w:t>
      </w:r>
      <w:r>
        <w:t xml:space="preserve"> </w:t>
      </w:r>
      <w:r>
        <w:t xml:space="preserve">y 548,3 M de la recompra de bonos de 2027) =</w:t>
      </w:r>
      <w:r>
        <w:t xml:space="preserve"> </w:t>
      </w:r>
      <w:r>
        <w:rPr>
          <w:bCs/>
          <w:b/>
        </w:rPr>
        <w:t xml:space="preserve">~7.097 M</w:t>
      </w:r>
      <w:r>
        <w:t xml:space="preserve"> </w:t>
      </w:r>
      <w:r>
        <w:t xml:space="preserve">[1][8].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Deuda</w:t>
      </w:r>
      <w:r>
        <w:t xml:space="preserve">:</w:t>
      </w:r>
      <w:r>
        <w:t xml:space="preserve"> </w:t>
      </w:r>
      <w:r>
        <w:rPr>
          <w:bCs/>
          <w:b/>
        </w:rPr>
        <w:t xml:space="preserve">3.750 M USD</w:t>
      </w:r>
      <w:r>
        <w:t xml:space="preserve"> </w:t>
      </w:r>
      <w:r>
        <w:t xml:space="preserve">en convertibles nuevos al 0 % (2.000 M a 2029 con conversión a 500,38 USD y 1.750 M a 2031 a 483,98 USD;</w:t>
      </w:r>
      <w:r>
        <w:t xml:space="preserve"> </w:t>
      </w:r>
      <w:r>
        <w:rPr>
          <w:iCs/>
          <w:i/>
        </w:rPr>
        <w:t xml:space="preserve">capped call</w:t>
      </w:r>
      <w:r>
        <w:t xml:space="preserve"> </w:t>
      </w:r>
      <w:r>
        <w:t xml:space="preserve">hasta 820,30 USD). Se cuentan como deuda porque están lejos de convertir. Los convertibles viejos (2027 y 2029, ~2.038 M de nominal tras la recompra, conversión a 157,50 USD y cobertura hasta 225 USD)</w:t>
      </w:r>
      <w:r>
        <w:t xml:space="preserve"> </w:t>
      </w:r>
      <w:r>
        <w:rPr>
          <w:bCs/>
          <w:b/>
        </w:rPr>
        <w:t xml:space="preserve">están muy dentro del dinero</w:t>
      </w:r>
      <w:r>
        <w:t xml:space="preserve"> </w:t>
      </w:r>
      <w:r>
        <w:t xml:space="preserve">y se cuentan como acciones (método de la propia guía; contarlos como deuda da lo mismo: ponderada +11,1 %) [3][8].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FCF positivo, sin quema.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Acciones diluidas</w:t>
      </w:r>
      <w:r>
        <w:t xml:space="preserve">:</w:t>
      </w:r>
      <w:r>
        <w:t xml:space="preserve"> </w:t>
      </w:r>
      <w:r>
        <w:rPr>
          <w:bCs/>
          <w:b/>
        </w:rPr>
        <w:t xml:space="preserve">380 M</w:t>
      </w:r>
      <w:r>
        <w:t xml:space="preserve"> </w:t>
      </w:r>
      <w:r>
        <w:t xml:space="preserve">(guía no GAAP del año, que incluye ~10 M de los convertibles viejos; 352,8 M en circulación a 21-ago) [1][4].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</w:t>
      </w:r>
      <w:r>
        <w:t xml:space="preserve"> </w:t>
      </w:r>
      <w:r>
        <w:rPr>
          <w:bCs/>
          <w:b/>
        </w:rPr>
        <w:t xml:space="preserve">4,1 %</w:t>
      </w:r>
      <w:r>
        <w:t xml:space="preserve"> </w:t>
      </w:r>
      <w:r>
        <w:t xml:space="preserve">anual en acciones en circulación (de 338,8 a 352,8 M), pese a recomprar 874 M USD en FY26 y 300 M en el semestre. Se queda justo por encima del corte del 4 %: con un 3,9 % la puntuación subiría a 79.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acciones: 30,2 % de las ventas</w:t>
      </w:r>
      <w:r>
        <w:t xml:space="preserve"> </w:t>
      </w:r>
      <w:r>
        <w:t xml:space="preserve">(1.642 M USD en 12 meses).</w:t>
      </w:r>
      <w:r>
        <w:t xml:space="preserve"> </w:t>
      </w:r>
      <w:r>
        <w:rPr>
          <w:bCs/>
          <w:b/>
        </w:rPr>
        <w:t xml:space="preserve">En rojo: el doble del 15 % del método.</w:t>
      </w:r>
      <w:r>
        <w:t xml:space="preserve"> </w:t>
      </w:r>
      <w:r>
        <w:t xml:space="preserve">Es el coste oculto del FCF del 22 %. Además, la emisión de 3.750 M en convertibles con la acción en máximos sirve para pagar recompras y compras de empresas. Es prudente (al 0 % y con conversión un 50 % por encima), pero confirma que la empresa necesita las recompras para no diluir más.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(5/5)</w:t>
      </w:r>
      <w:r>
        <w:t xml:space="preserve">: bate la guía de producto todos los trimestres (+5,5 % en el 1T y +5,3 % en el 2T; +2,6 % en el 4T FY26) y ha subido la del año dos veces [1][2]. La guía es conservadora a propósito («guidance philosophy unchanged», 31-mar).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(3/5)</w:t>
      </w:r>
      <w:r>
        <w:t xml:space="preserve">: Sridhar Ramaswamy (CEO desde 2024, ex Google y fundador de Neeva) ha llevado el giro a la IA con éxito. A favor, el bonus del 15-jul solo cobra con la acción entre 324 y 531 USD (hasta +100.000 M de valor). En contra:</w:t>
      </w:r>
    </w:p>
    <w:p>
      <w:pPr>
        <w:numPr>
          <w:ilvl w:val="1"/>
          <w:numId w:val="1008"/>
        </w:numPr>
        <w:pStyle w:val="Compact"/>
      </w:pPr>
      <w:r>
        <w:t xml:space="preserve">pagos en acciones del 30 % de las ventas;</w:t>
      </w:r>
    </w:p>
    <w:p>
      <w:pPr>
        <w:numPr>
          <w:ilvl w:val="1"/>
          <w:numId w:val="1008"/>
        </w:numPr>
        <w:pStyle w:val="Compact"/>
      </w:pPr>
      <w:r>
        <w:t xml:space="preserve">ventas continuas de directivos;</w:t>
      </w:r>
    </w:p>
    <w:p>
      <w:pPr>
        <w:numPr>
          <w:ilvl w:val="1"/>
          <w:numId w:val="1008"/>
        </w:numPr>
        <w:pStyle w:val="Compact"/>
      </w:pPr>
      <w:r>
        <w:t xml:space="preserve">cambio de director comercial en marzo;</w:t>
      </w:r>
    </w:p>
    <w:p>
      <w:pPr>
        <w:numPr>
          <w:ilvl w:val="1"/>
          <w:numId w:val="1008"/>
        </w:numPr>
        <w:pStyle w:val="Compact"/>
      </w:pPr>
      <w:r>
        <w:t xml:space="preserve">recompras que solo compensan la dilución;</w:t>
      </w:r>
    </w:p>
    <w:p>
      <w:pPr>
        <w:numPr>
          <w:ilvl w:val="1"/>
          <w:numId w:val="1008"/>
        </w:numPr>
        <w:pStyle w:val="Compact"/>
      </w:pPr>
      <w:r>
        <w:t xml:space="preserve">los fundadores ya no dirigen la empresa [2][6].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</w:t>
      </w:r>
      <w:r>
        <w:t xml:space="preserve">: los 12 meses a jul-2028 (ventas de los 12 meses siguientes dentro de un año; 2 años sobre los 12 meses a jul-2026, como en el backtest).</w:t>
      </w:r>
      <w:r>
        <w:t xml:space="preserve"> </w:t>
      </w:r>
      <w:r>
        <w:rPr>
          <w:bCs/>
          <w:b/>
        </w:rPr>
        <w:t xml:space="preserve">Métrica: EV/ventas NTM</w:t>
      </w:r>
      <w:r>
        <w:t xml:space="preserve">, porque el margen operativo GAAP es negativo.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 de hoy</w:t>
      </w:r>
      <w:r>
        <w:t xml:space="preserve">: 357,76 × 380 + 3.750 − 7.097 =</w:t>
      </w:r>
      <w:r>
        <w:t xml:space="preserve"> </w:t>
      </w:r>
      <w:r>
        <w:rPr>
          <w:bCs/>
          <w:b/>
        </w:rPr>
        <w:t xml:space="preserve">132.600 M USD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Ventas NTM</w:t>
      </w:r>
      <w:r>
        <w:t xml:space="preserve">: ~7.120 M USD (+31 %: la guía del 3T y el 4T implícito dan +34,5 % en el semestre; supongo +29 % en los dos trimestres siguientes).</w:t>
      </w:r>
      <w:r>
        <w:t xml:space="preserve"> </w:t>
      </w:r>
      <w:r>
        <w:rPr>
          <w:bCs/>
          <w:b/>
        </w:rPr>
        <w:t xml:space="preserve">EV/ventas NTM: 18,6x; EV/beneficio bruto NTM: 27,8x</w:t>
      </w:r>
      <w:r>
        <w:t xml:space="preserve"> </w:t>
      </w:r>
      <w:r>
        <w:t xml:space="preserve">(tope del método: 35x).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Mediana de 3 años: ~13,1x</w:t>
      </w:r>
      <w:r>
        <w:t xml:space="preserve"> </w:t>
      </w:r>
      <w:r>
        <w:t xml:space="preserve">(cálculo propio: EV al cierre de cada trimestre de oct-2023 a jul-2025 sobre las ventas reales de los cuatro siguientes).</w:t>
      </w:r>
      <w:r>
        <w:t xml:space="preserve"> </w:t>
      </w:r>
      <w:r>
        <w:rPr>
          <w:bCs/>
          <w:b/>
        </w:rPr>
        <w:t xml:space="preserve">Mínimo: ~6,3x</w:t>
      </w:r>
      <w:r>
        <w:t xml:space="preserve"> </w:t>
      </w:r>
      <w:r>
        <w:t xml:space="preserve">(abril de 2026).</w:t>
      </w:r>
      <w:r>
        <w:t xml:space="preserve"> </w:t>
      </w:r>
      <w:r>
        <w:rPr>
          <w:bCs/>
          <w:b/>
        </w:rPr>
        <w:t xml:space="preserve">Comparables: ~20,3x</w:t>
      </w:r>
      <w:r>
        <w:t xml:space="preserve">, mediana de Datadog, MongoDB, Cloudflare, Palantir y Elastic (en parte de memoria; no afecta al cálculo) [12][14].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Desaceleración</w:t>
      </w:r>
      <w:r>
        <w:t xml:space="preserve">: del 31 % NTM al 27 % en el año objetivo, lo que da un factor de 0,93.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año objetivo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397,4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+11,1 %</w:t>
            </w:r>
          </w:p>
        </w:tc>
      </w:tr>
    </w:tbl>
    <w:p>
      <w:pPr>
        <w:pStyle w:val="BodyText"/>
      </w:pPr>
      <w:r>
        <w:t xml:space="preserve">Acciones dentro de 12 meses: 395,6 M (con la dilución del 4,1 %). Caja neta de hoy, sin sumar el FCF futuro, como manda la regla.</w:t>
      </w:r>
      <w:r>
        <w:t xml:space="preserve"> </w:t>
      </w:r>
      <w:r>
        <w:rPr>
          <w:bCs/>
          <w:b/>
        </w:rPr>
        <w:t xml:space="preserve">Asimetría: 1,4.</w:t>
      </w:r>
      <w:r>
        <w:t xml:space="preserve"> </w:t>
      </w:r>
      <w:r>
        <w:rPr>
          <w:bCs/>
          <w:b/>
        </w:rPr>
        <w:t xml:space="preserve">Precio máximo de compra: 378,5 USD</w:t>
      </w:r>
      <w:r>
        <w:t xml:space="preserve">, el que da una ponderada del +5 % (el tope de 35x beneficio bruto llegaría a ~448 USD).</w:t>
      </w:r>
    </w:p>
    <w:p>
      <w:pPr>
        <w:pStyle w:val="BodyText"/>
      </w:pPr>
      <w:r>
        <w:rPr>
          <w:bCs/>
          <w:b/>
        </w:rPr>
        <w:t xml:space="preserve">Proyección partiendo de la guía (cálculo a mano, sin tocar el código; mejora pendiente de la tanda 4):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Crecimiento de 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base / bajista / alcista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Mecánica (v7): 31,9 %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9.109 / 7.155 / 9.957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NTM propio (guía + extrapolación): 31 %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8.996 / 7.104 / 9.815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del semestre (ventas totales): 34,5 %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9.454 / 7.307 / 10.389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del año (producto): 36 %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9.653 / 7.395 / 10.641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</w:t>
            </w:r>
          </w:p>
        </w:tc>
      </w:tr>
    </w:tbl>
    <w:p>
      <w:pPr>
        <w:pStyle w:val="BodyText"/>
      </w:pPr>
      <w:r>
        <w:t xml:space="preserve">La mejora propuesta en la tanda 4 solo recorta cuando la guía es</w:t>
      </w:r>
      <w:r>
        <w:t xml:space="preserve"> </w:t>
      </w:r>
      <w:r>
        <w:rPr>
          <w:bCs/>
          <w:b/>
        </w:rPr>
        <w:t xml:space="preserve">menor</w:t>
      </w:r>
      <w:r>
        <w:t xml:space="preserve"> </w:t>
      </w:r>
      <w:r>
        <w:t xml:space="preserve">que la mecánica. Aquí no lo es, así que</w:t>
      </w:r>
      <w:r>
        <w:t xml:space="preserve"> </w:t>
      </w:r>
      <w:r>
        <w:rPr>
          <w:bCs/>
          <w:b/>
        </w:rPr>
        <w:t xml:space="preserve">no cambia nada</w:t>
      </w:r>
      <w:r>
        <w:t xml:space="preserve">. Es justo lo contrario de Datadog, cuya guía anunciaba un frenazo por el mayor cliente. Solo la variante más prudente (+31 %, que va más allá de la guía) resta 1,4 puntos de ponderada.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Otras sensibilidades</w:t>
      </w:r>
      <w:r>
        <w:t xml:space="preserve">: con la v8 (la señal de múltiplo no cuenta), 5 señales y 75,5 puntos: sigue en Comprar (media). Con probabilidades 35/50/15 (si se tratara el empujón de la IA como algo que no se repite), la ponderada sería +0,5 % y la señal Mantener (en vigilancia, compra hasta ~342 USD). Al precio intradía del 14-oct (~342 USD, −4,4 %), ponderada +16,2 %.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Proyección propia (contraste)</w:t>
      </w:r>
      <w:r>
        <w:t xml:space="preserve">: 7.970 / 8.970 / 9.400 M USD (base: ~6.430 M en FY27 batiendo algo la guía y +26 % después). Es un 1,5 % menor que la mecánica.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</w:t>
      </w:r>
      <w:r>
        <w:t xml:space="preserve"> </w:t>
      </w:r>
      <w:r>
        <w:rPr>
          <w:bCs/>
          <w:b/>
        </w:rPr>
        <w:t xml:space="preserve">414,24 USD</w:t>
      </w:r>
      <w:r>
        <w:t xml:space="preserve"> </w:t>
      </w:r>
      <w:r>
        <w:t xml:space="preserve">(41 analistas, MarketBeat), un 16 % por encima del precio; máximo 525 (Wells Fargo), mínimo 250 (Bernstein) [7]. Consenso de ventas del año objetivo: no encontrado (null).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DCF inverso</w:t>
      </w:r>
      <w:r>
        <w:t xml:space="preserve">: con WACC del 10 %, margen FCF del 22 % al 30 % y crecimiento terminal del 4 %, el precio descuenta</w:t>
      </w:r>
      <w:r>
        <w:t xml:space="preserve"> </w:t>
      </w:r>
      <w:r>
        <w:rPr>
          <w:bCs/>
          <w:b/>
        </w:rPr>
        <w:t xml:space="preserve">~25 % anual durante 10 años</w:t>
      </w:r>
      <w:r>
        <w:t xml:space="preserve"> </w:t>
      </w:r>
      <w:r>
        <w:t xml:space="preserve">(ventas de ~50.000 M USD en FY2036). Con el FCF después de pagos en acciones (del −8 % al 22 %), haría falta un ~30 %.</w:t>
      </w:r>
      <w:r>
        <w:t xml:space="preserve"> </w:t>
      </w:r>
      <w:r>
        <w:rPr>
          <w:bCs/>
          <w:b/>
        </w:rPr>
        <w:t xml:space="preserve">Exigente</w:t>
      </w:r>
      <w:r>
        <w:t xml:space="preserve">, aunque algo menos que Datadog (24-29 %) para un crecimiento mayor.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Prensa y analistas</w:t>
      </w:r>
      <w:r>
        <w:t xml:space="preserve">: el relato pasó de «el software que se comerá la IA» (TIKR: «Snowflake ha perdido la mitad de su valor en 2026», abril) a «la IA dispara el consumo de datos». Primero vino el 1T (27-may, acuerdo de 6.000 M con AWS, +10 % en el día). Después, el 2T (2-sep: +16,6 % al cierre del 3-sep, de 305,84 a 356,47 USD). Hubo subidas de objetivo en bloque. Phillip Securities rebajó de Compra fuerte a Compra el 12-oct [5][7][10].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Seeking Alpha</w:t>
      </w:r>
      <w:r>
        <w:t xml:space="preserve">: en abril un autor la pasó a Compra («de muy cara a infravalorada»). En 2025 dominaban las Ventas por valoración (objetivo de 234 USD en noviembre). No encontré artículos posteriores al 2T.</w:t>
      </w:r>
      <w:r>
        <w:t xml:space="preserve"> </w:t>
      </w:r>
      <w:r>
        <w:rPr>
          <w:bCs/>
          <w:b/>
        </w:rPr>
        <w:t xml:space="preserve">Laguna parcial</w:t>
      </w:r>
      <w:r>
        <w:t xml:space="preserve"> </w:t>
      </w:r>
      <w:r>
        <w:t xml:space="preserve">[10].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StockTwits / X</w:t>
      </w:r>
      <w:r>
        <w:t xml:space="preserve">: mayoría alcista (8 alcistas y 2 bajistas de 30 mensajes etiquetados), con objetivos de 400 USD y comentarios de que «aguanta mientras caen otras de IA». Hay bajistas activos («puts at the top», «fail breakout» el 14-oct, cuando cae un 4 %) y quien recuerda que estuvo 12 semanas lateral [9]. Calentamiento sin la euforia de Datadog.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Reddit (r/stocks, r/investing, r/snowflake)</w:t>
      </w:r>
      <w:r>
        <w:t xml:space="preserve">: la API devolvió una página vacía y la búsqueda no encontró hilos recientes.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 castellano</w:t>
      </w:r>
      <w:r>
        <w:t xml:space="preserve">: no aparecen hilos en Rankia ni en Investing ES. TIKR en español (objetivo de 677 USD en un escenario, consenso comprador) y MarketScreener ES recogen dudas tras el 1T.</w:t>
      </w:r>
      <w:r>
        <w:t xml:space="preserve"> </w:t>
      </w:r>
      <w:r>
        <w:rPr>
          <w:bCs/>
          <w:b/>
        </w:rPr>
        <w:t xml:space="preserve">Laguna parcial</w:t>
      </w:r>
      <w:r>
        <w:t xml:space="preserve"> </w:t>
      </w:r>
      <w:r>
        <w:t xml:space="preserve">[10].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giro tiene base, porque son tres trimestres de aceleración, la retención sube y la guía va por encima de la mecánica. Pero el precio ya descuenta mucho: ha triplicado desde abril, el consenso aún ve un +16 % y la cartera contratada (RPO) frena. Si el 3T no acelera, el precio puede caer más que el negocio, como pasó en 2022 y 2024.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Reversión del sentimiento y del múltiplo</w:t>
      </w:r>
      <w:r>
        <w:t xml:space="preserve">: es el principal. A 18,6x ventas, volver a la mediana (~13x) con el negocio al 27 % supone perder un ~25 %. El bajista (−45 %) es eso más un crecimiento a la mitad. La acción ya cayó un 50 % de enero a abril de 2026 sin que el negocio empeorara.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Pagos en acciones del 30 % de las ventas y dilución del 4 %</w:t>
      </w:r>
      <w:r>
        <w:t xml:space="preserve">: el FCF «real» para el accionista es negativo (−8 %). Las recompras y los convertibles tapan la dilución con caja.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Competencia</w:t>
      </w:r>
      <w:r>
        <w:t xml:space="preserve">: Databricks (más rápida en IA), los hiperescaladores y los formatos abiertos (Iceberg) que permiten a los clientes llevarse el cómputo.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Consumo y márgenes de la IA</w:t>
      </w:r>
      <w:r>
        <w:t xml:space="preserve">: el modelo por consumo amplifica los ciclos (2023), y los productos de IA usan modelos de terceros (Anthropic, OpenAI) que presionan el margen de producto (de 76 % a 75 %; guía del 74 %).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RPO frenando</w:t>
      </w:r>
      <w:r>
        <w:t xml:space="preserve"> </w:t>
      </w:r>
      <w:r>
        <w:t xml:space="preserve">(+42 % → +30 %): si sigue así, anticipa menos crecimiento en 2027.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Gobierno</w:t>
      </w:r>
      <w:r>
        <w:t xml:space="preserve">: ventas continuas de directivos, cambio de director comercial y un bonus del CEO muy ligado al precio.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:</w:t>
      </w:r>
      <w:r>
        <w:t xml:space="preserve"> </w:t>
      </w:r>
      <w:r>
        <w:t xml:space="preserve">- Crecimiento de producto por debajo del 25 % dos trimestres seguidos, o retención neta por debajo del 120 %.</w:t>
      </w:r>
      <w:r>
        <w:t xml:space="preserve"> </w:t>
      </w:r>
      <w:r>
        <w:t xml:space="preserve">- RPO con crecimiento por debajo del 20 % o guía del año rebajada.</w:t>
      </w:r>
      <w:r>
        <w:t xml:space="preserve"> </w:t>
      </w:r>
      <w:r>
        <w:t xml:space="preserve">- Margen de producto no GAAP por debajo del 72 % o margen FCF por debajo del 15 %.</w:t>
      </w:r>
      <w:r>
        <w:t xml:space="preserve"> </w:t>
      </w:r>
      <w:r>
        <w:t xml:space="preserve">- Caída por debajo de la media de 200 sesiones con la media girando a la baja.</w:t>
      </w:r>
    </w:p>
    <w:p>
      <w:pPr>
        <w:pStyle w:val="BodyText"/>
      </w:pPr>
      <w:r>
        <w:t xml:space="preserve">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2-dic-2026 (calendario, sin confirmar)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FY27: guía de producto +37-38 %, CoCo y CoWork, 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re:Invent (acuerdo de 6.000 M con AWS)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 y guía de FY28 (en 2026 la guía inicial fue del +27 %)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Vence la autorización de recompras (4.500 M); posible renovación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Snowflake Summit (nuevos agentes)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Vencimientos de convertibles (los de 2027 se liquidan con caja o acciones)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rPr>
          <w:bCs/>
          <w:b/>
        </w:rPr>
        <w:t xml:space="preserve">Cartera value vigente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informes/cartera-2026-10-14-15h.md</w:t>
      </w:r>
      <w:r>
        <w:t xml:space="preserve">, ~29.800 EUR): IGLN (oro), Edenred, Daiichi Sankyo, Uber, Viscofan, Alphabet, Netflix, SAP, Intuit, Nemetschek, LVMH y Bureau Veritas, con órdenes con límite hasta el 7-nov.</w:t>
      </w:r>
      <w:r>
        <w:t xml:space="preserve"> </w:t>
      </w:r>
      <w:r>
        <w:rPr>
          <w:bCs/>
          <w:b/>
        </w:rPr>
        <w:t xml:space="preserve">Bolsillo growth aprobado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informes-growth/cartera-growth.md</w:t>
      </w:r>
      <w:r>
        <w:t xml:space="preserve">): Nu (4 %), argenx (4,9 %), Shopify (4 %), Axon (3,7 %) y Duolingo (3,5 %),</w:t>
      </w:r>
      <w:r>
        <w:t xml:space="preserve"> </w:t>
      </w:r>
      <w:r>
        <w:rPr>
          <w:bCs/>
          <w:b/>
        </w:rPr>
        <w:t xml:space="preserve">≈19,5 % de la cartera: lleno</w:t>
      </w:r>
      <w:r>
        <w:t xml:space="preserve"> </w:t>
      </w:r>
      <w:r>
        <w:t xml:space="preserve">(tope del 20 %).</w:t>
      </w:r>
      <w:r>
        <w:t xml:space="preserve"> </w:t>
      </w:r>
      <w:r>
        <w:rPr>
          <w:bCs/>
          <w:b/>
        </w:rPr>
        <w:t xml:space="preserve">No queda liquidez</w:t>
      </w:r>
      <w:r>
        <w:t xml:space="preserve">: el tramo 1 de Duolingo se pagó cancelando la orden de Deutsche Börse.</w:t>
      </w:r>
    </w:p>
    <w:p>
      <w:pPr>
        <w:pStyle w:val="BodyText"/>
      </w:pPr>
      <w:r>
        <w:rPr>
          <w:bCs/>
          <w:b/>
        </w:rPr>
        <w:t xml:space="preserve">Snowflake no entra hoy, y tampoco propongo sustituir a ninguna growth ahora: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(regla)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prudente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+45,7 %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Duolingo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+40,6 %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+12,5 %</w:t>
            </w:r>
            <w:r>
              <w:t xml:space="preserve"> </w:t>
            </w:r>
            <w:r>
              <w:t xml:space="preserve">(con la 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−25,4 % (−32,8 % con la 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+9,7 % (NTM propio)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−45,0 %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Rentabilidad</w:t>
      </w:r>
      <w:r>
        <w:t xml:space="preserve">: su ponderada (+11,1 %) es la más baja de las seis y queda por debajo incluso de la de Duolingo con la guía (+12,5 %). La diferencia no paga el coste de rotar (comisiones e impuesto sobre la ganancia que tenga Duolingo).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Riesgo</w:t>
      </w:r>
      <w:r>
        <w:t xml:space="preserve">: su bajista (−45 %) es de los peores, frente a −33 % de Duolingo con la guía. Duolingo tiene caja neta, FCF del 35 % y pagos en acciones bajos. Snowflake tiene pagos en acciones del 30 % y FCF después de pagarlos negativo.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Solapamiento</w:t>
      </w:r>
      <w:r>
        <w:t xml:space="preserve">: Snowflake añade software de datos e IA a una cartera que ya tiene Alphabet, SAP, Intuit, Nemetschek y Shopify. Duolingo aporta consumo digital. Diversifica menos.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Donde sí gana</w:t>
      </w:r>
      <w:r>
        <w:t xml:space="preserve">: puntuación más alta (78 frente a 70,8), convicción media frente a baja, y una tesis que la guía confirma en vez de contradecir.</w:t>
      </w:r>
    </w:p>
    <w:p>
      <w:pPr>
        <w:pStyle w:val="FirstParagraph"/>
      </w:pPr>
      <w:r>
        <w:rPr>
          <w:bCs/>
          <w:b/>
        </w:rPr>
        <w:t xml:space="preserve">Qué hacer: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Snowflake pasa a ser la primera suplente growth, por delante de Datadog.</w:t>
      </w:r>
      <w:r>
        <w:t xml:space="preserve"> </w:t>
      </w:r>
      <w:r>
        <w:t xml:space="preserve">Tiene ponderada parecida (+11,1 % frente a +10,9 %), pero en Datadog la guía la rebaja a +4,7 %, y aquí la guía la sube.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Sustitución condicionada a Duolingo</w:t>
      </w:r>
      <w:r>
        <w:t xml:space="preserve">: si el 3T de Duolingo (3-nov) sale por debajo de su guía (ventas &lt; 302 M o bookings &lt; 307 M), su tramo 2 ya se cancela por regla. Con dos trimestres de frenazo la tesis quedaría rota, así que se vendería el tramo 1. Ese hueco (≈3,5 %, ~1.000-1.200 EUR) iría a Snowflake:</w:t>
      </w:r>
      <w:r>
        <w:t xml:space="preserve"> </w:t>
      </w:r>
      <w:r>
        <w:rPr>
          <w:bCs/>
          <w:b/>
        </w:rPr>
        <w:t xml:space="preserve">3 acciones</w:t>
      </w:r>
      <w:r>
        <w:t xml:space="preserve"> </w:t>
      </w:r>
      <w:r>
        <w:t xml:space="preserve">(a ~320 EUR por acción con 1,1188 USD/EUR). Serían 2 con</w:t>
      </w:r>
      <w:r>
        <w:t xml:space="preserve"> </w:t>
      </w:r>
      <w:r>
        <w:rPr>
          <w:bCs/>
          <w:b/>
        </w:rPr>
        <w:t xml:space="preserve">límite de 374 USD</w:t>
      </w:r>
      <w:r>
        <w:t xml:space="preserve"> </w:t>
      </w:r>
      <w:r>
        <w:t xml:space="preserve">(el máximo con el crecimiento NTM propio, más prudente que los 378,5 de la regla) y 1 tras los resultados del 2-dic, si el producto crece ≥ 35 % y la guía de FY27 sube otra vez, o con una caída del 10 % sin cambio de tesis.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 dinero nuevo</w:t>
      </w:r>
      <w:r>
        <w:t xml:space="preserve">: no entraría sin sacar otra, por el tope del 20 %. Si el usuario decide subir el tope del bolsillo, es la primera candidata, con el mismo límite y los mismos tramos.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+32,0 % (4), CAGR a 2 años 30,2 % (4), aceleración +4,1 pp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4,5 % (4), tecnología 4,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67,0 % (4), regla del 40 = 54 (4),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4,1 %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Comprar (media)</w:t>
            </w:r>
            <w:r>
              <w:t xml:space="preserve">; cumple todos los requisitos de compra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Propuestas de mejora del método</w:t>
      </w:r>
      <w:r>
        <w:t xml:space="preserve"> </w:t>
      </w:r>
      <w:r>
        <w:t xml:space="preserve">(sin tocar el código; para probar con el backtest):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Partir de la guía en los dos sentidos, no solo para recortar.</w:t>
      </w:r>
      <w:r>
        <w:t xml:space="preserve"> </w:t>
      </w:r>
      <w:r>
        <w:t xml:space="preserve">Snowflake es el caso contrario a Datadog y Duolingo: la empresa guía +36-38 % y la mecánica parte del +31,9 % porque mezcla un pasado más lento. La mejora pendiente (recortar a la guía si es menor) es asimétrica y prudente, y la mantendría así. Subir a la guía cuando es mayor daría aquí +17,6 % en lugar de +11,1 %, y no cambia la señal. Propongo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subirla: Snowflake ya frenó bruscamente en 2022-2023 tras guías optimistas. Lo útil es apuntar en el informe cuándo la guía va por encima, porque es un indicio de solidez.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Regla del 40 con pagos en acciones</w:t>
      </w:r>
      <w:r>
        <w:t xml:space="preserve">: ya propuesta en Datadog. Aquí pesa más (30 % de las ventas): la regla del 40 bajaría de 54 a 24 y la puntuación de 78 a 75, al borde de la convicción baja. Refuerza la propuesta de medirla con FCF menos pagos en acciones cuando estos superen el 15 % de las ventas.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Snowflake, nota de resultados del 2T del ejercicio fiscal 2027 (2-sep-2026), 8-K ex. 99.1 (SEC EDGAR).</w:t>
      </w:r>
      <w:r>
        <w:t xml:space="preserve"> </w:t>
      </w:r>
      <w:r>
        <w:t xml:space="preserve">[2] Snowflake, notas de resultados del 1T FY27 (27-may-2026), del 4T y año FY26 (25-feb-2026) y del 3T FY26 (3-dic-2025), 8-K ex. 99.1; 8-K del 31-mar-2026 (SEC EDGAR).</w:t>
      </w:r>
      <w:r>
        <w:t xml:space="preserve"> </w:t>
      </w:r>
      <w:r>
        <w:t xml:space="preserve">[3] Snowflake, 10-Q del 2T FY27 (4-sep-2026, SEC): retención neta, RPO, convertibles y</w:t>
      </w:r>
      <w:r>
        <w:t xml:space="preserve"> </w:t>
      </w:r>
      <w:r>
        <w:rPr>
          <w:iCs/>
          <w:i/>
        </w:rPr>
        <w:t xml:space="preserve">capped calls</w:t>
      </w:r>
      <w:r>
        <w:t xml:space="preserve">, recompras, compras de empresas.</w:t>
      </w:r>
      <w:r>
        <w:t xml:space="preserve"> </w:t>
      </w:r>
      <w:r>
        <w:t xml:space="preserve">[4] SEC XBRL companyfacts de Snowflake (CIK 1640147): series trimestrales de ventas, beneficio bruto, flujos, inversiones, pagos en acciones, caja y acciones.</w:t>
      </w:r>
      <w:r>
        <w:t xml:space="preserve"> </w:t>
      </w:r>
      <w:r>
        <w:t xml:space="preserve">[5] Yahoo Finance chart API (SNOW y ^NDX) y Nasdaq.com (histórico): cierre de 357,76 USD el 13-oct-2026 en las dos fuentes; medias y subidas calculadas.</w:t>
      </w:r>
      <w:r>
        <w:t xml:space="preserve"> </w:t>
      </w:r>
      <w:r>
        <w:t xml:space="preserve">[6] SEC EDGAR, presentaciones de Snowflake: formularios 4 y 144 (jul-oct 2026), 13G/A y 8-K del 15-jul-2026 (bonus del CEO).</w:t>
      </w:r>
      <w:r>
        <w:t xml:space="preserve"> </w:t>
      </w:r>
      <w:r>
        <w:t xml:space="preserve">[7] MarketBeat, previsiones de analistas de SNOW (14-oct-2026).</w:t>
      </w:r>
      <w:r>
        <w:t xml:space="preserve"> </w:t>
      </w:r>
      <w:r>
        <w:t xml:space="preserve">[8] Snowflake, 8-K del 2-oct-2026 y nota de precio de los convertibles del 28-sep-2026 (ex. 99.2).</w:t>
      </w:r>
      <w:r>
        <w:t xml:space="preserve"> </w:t>
      </w:r>
      <w:r>
        <w:t xml:space="preserve">[9] StockTwits, flujo de mensajes de $SNOW (12-14 oct-2026).</w:t>
      </w:r>
      <w:r>
        <w:t xml:space="preserve"> </w:t>
      </w:r>
      <w:r>
        <w:t xml:space="preserve">[10] Nasdaq/Motley Fool e iTiger (sep-2026); Seeking Alpha (abr-2026 y nov-2025); TIKR en español; MarketScreener ES.</w:t>
      </w:r>
      <w:r>
        <w:t xml:space="preserve"> </w:t>
      </w:r>
      <w:r>
        <w:t xml:space="preserve">[11] Snowflake, nota del 2T FY27; Earnings Whispers (fecha prevista del 3T).</w:t>
      </w:r>
      <w:r>
        <w:t xml:space="preserve"> </w:t>
      </w:r>
      <w:r>
        <w:t xml:space="preserve">[12] Cálculo propio de EV, múltiplos de hoy, mínimo de 12 meses, mediana y mínimo de 3 años y DCF inverso.</w:t>
      </w:r>
      <w:r>
        <w:t xml:space="preserve"> </w:t>
      </w:r>
      <w:r>
        <w:t xml:space="preserve">[13] Mercado alcanzable: estimación propia; Gartner (de memoria, sin verificar en esta sesión) y nota del 4T FY26 (Observe).</w:t>
      </w:r>
      <w:r>
        <w:t xml:space="preserve"> </w:t>
      </w:r>
      <w:r>
        <w:t xml:space="preserve">[14]</w:t>
      </w:r>
      <w:r>
        <w:t xml:space="preserve"> </w:t>
      </w:r>
      <w:r>
        <w:rPr>
          <w:bCs/>
          <w:b/>
        </w:rPr>
        <w:t xml:space="preserve">De memoria, sin verificar en esta sesión</w:t>
      </w:r>
      <w:r>
        <w:t xml:space="preserve">: múltiplos de MongoDB y Elastic; los de Datadog, Cloudflare y Palantir salen de los informes growth del repo del 14-oct.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2026-10-14T16:12:14Z</dcterms:created>
  <dcterms:modified xsi:type="dcterms:W3CDTF">2026-10-14T16:12:14Z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