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Compañía de Distribución Integral Logista Holdings, S.A.</w:t>
      </w:r>
    </w:p>
    <w:p>
      <w:pPr>
        <w:spacing w:after="60"/>
        <w:rPr>
          <w:color w:val="52514E"/>
          <w:sz w:val="22"/>
          <w:szCs w:val="22"/>
        </w:rPr>
      </w:pPr>
      <w:r>
        <w:rPr>
          <w:color w:val="52514E"/>
          <w:sz w:val="22"/>
          <w:szCs w:val="22"/>
        </w:rPr>
        <w:t xml:space="preserve">LOG · Bolsa de Madrid (Mercado Continuo) · ISIN ES0105027009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35,86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30,79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-8,3 % (base -6,1 %)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43,22 EUR · mercado 48,30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4.751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Compañía de Distribución Integral Logista Holdings,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LOG / ES0105027009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Distribución y logística (tabaco, conveniencia, farma, transporte)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Leganés (Madrid) · 1999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www.logista.com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28,74 – 36,90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30,79 EUR</w:t>
      </w:r>
      <w:r>
        <w:t xml:space="preserve"> frente a 35,86 · Rentabilidad a 12 meses </w:t>
      </w:r>
      <w:r>
        <w:rPr>
          <w:b/>
          <w:bCs/>
        </w:rPr>
        <w:t xml:space="preserve">-8,3 % (base -6,1 %)</w:t>
      </w:r>
      <w:r>
        <w:t xml:space="preserve"> · Valor intrínseco 43,22 EUR · con la prima implícita del mercado: 48,30 (+34,7 %) · Alcista / bajista +47,5 % / -13,8 %</w:t>
      </w:r>
    </w:p>
    <w:p>
      <w:pPr>
        <w:spacing w:after="100"/>
      </w:pPr>
      <w:r>
        <w:rPr>
          <w:b/>
        </w:rPr>
        <w:t xml:space="preserve">La recomendación y por qué.</w:t>
      </w:r>
      <w:r>
        <w:t xml:space="preserve"> Mantener, con convicción baja. Con nuestro BPA y la regla común de PER, el objetivo a 12 meses es de 30,79 EUR frente a 35,86 EUR del 13 de octubre: −8,3 % con el dividendo y −6,1 % en el caso base, lejos del 15 % que pedimos para comprar. El valor intrínseco, 43,22 EUR, queda un 20,5 % por encima del precio, y el objetivo medio de los analistas (32,54 EUR) también por debajo de la cotización. Las dos lecturas chocan porque la acción cotiza a 16,5 veces nuestro BPA del FY2027e, el PER adelantado más alto de su historia (8,9-13,6x en 2020-2025): el negocio vale más que el precio, pero el múltiplo ya ha corrido. La asimetría a 12 meses es mala (0,33x: +22,3 % frente a −43,2 %). La convicción es baja y no media (la que sugiere el motor) porque las cifras de núcleo salen de extractos de búsqueda, sin balance completo ni la caja prestada a Imperial al cierre.</w:t>
      </w:r>
    </w:p>
    <w:p>
      <w:pPr>
        <w:spacing w:after="100"/>
      </w:pPr>
      <w:r>
        <w:rPr>
          <w:b/>
        </w:rPr>
        <w:t xml:space="preserve">El negocio.</w:t>
      </w:r>
      <w:r>
        <w:t xml:space="preserve"> Logista es el distribuidor de tabaco a los estancos de España, Italia y Francia por cuenta de todos los fabricantes, con transporte y farma al lado: 13.535 M de ingresos brutos en el FY2025 que se quedan en 1.809 M de ventas económicas y 378 M de EBIT ajustado [1]. Cobra los impuestos del tabaco antes de pagarlos y presta esa caja flotante (≈2.500 M de media) a Imperial, su accionista de control con el 50,01 % [15, 24]. No consume capital (capex de 54 M) y reparte el 99 % del beneficio [14, 23]. Sostenibilidad: «Sí»; el 2,1 % de crecimiento proyectado sale del precio por impuestos, con volúmenes de cigarrillos a la baja.</w:t>
      </w:r>
    </w:p>
    <w:p>
      <w:pPr>
        <w:spacing w:after="100"/>
      </w:pPr>
      <w:r>
        <w:rPr>
          <w:b/>
        </w:rPr>
        <w:t xml:space="preserve">Finanzas.</w:t>
      </w:r>
      <w:r>
        <w:t xml:space="preserve"> El beneficio pasó de 175 M (FY2021) a 308 M (FY2024) con los tipos altos, y bajó a 281 M en el FY2025 porque los ingresos financieros cayeron de 103 a 73 M [1, 15]. A nueve meses del FY2026: EBIT ajustado +3 % y beneficio −1,8 % (210 M) [5].</w:t>
      </w:r>
    </w:p>
    <w:p>
      <w:pPr>
        <w:spacing w:after="100"/>
      </w:pPr>
      <w:r>
        <w:rPr>
          <w:b/>
        </w:rPr>
        <w:t xml:space="preserve">Equipo y gobierno.</w:t>
      </w:r>
      <w:r>
        <w:t xml:space="preserve"> Imperial es a la vez accionista de control, cliente y prestatario de la caja de Logista: la operación vinculada más relevante, que se renueva en 2027 [17].</w:t>
      </w:r>
    </w:p>
    <w:p>
      <w:pPr>
        <w:spacing w:after="100"/>
      </w:pPr>
      <w:r>
        <w:rPr>
          <w:b/>
        </w:rPr>
        <w:t xml:space="preserve">Valoración.</w:t>
      </w:r>
      <w:r>
        <w:t xml:space="preserve"> El DCF da 43,45 EUR. El DCF inverso dice que el precio se sostiene con ingresos cayendo un 1,3 % al año hasta 2035 y deja una rentabilidad implícita del 9,0 %: los flujos no son caros. Lo caro es el múltiplo frente a su historia. La caja flotante, contada por el valor de sus intereses (730 M), mueve el valor: entre ≈38 y ≈57 EUR según cómo se trate.</w:t>
      </w:r>
    </w:p>
    <w:p>
      <w:pPr>
        <w:spacing w:after="100"/>
      </w:pPr>
      <w:r>
        <w:rPr>
          <w:b/>
        </w:rPr>
        <w:t xml:space="preserve">Riesgos y catalizadores.</w:t>
      </w:r>
      <w:r>
        <w:t xml:space="preserve"> El riesgo principal es que el PER vuelva a 12x (bajista a 12 meses −43,2 % con el mínimo de 8,9x); después, tipos más bajos y peores condiciones con Imperial. Catalizador: resultados del FY2026 a principios de noviembre. En los foros el tono es positivo y mejora: el particular la compra como un bono con cupón del 6 %, mientras los analistas son neutrales.</w:t>
      </w:r>
    </w:p>
    <w:p>
      <w:pPr>
        <w:spacing w:after="100"/>
      </w:pPr>
      <w:r>
        <w:rPr>
          <w:b/>
        </w:rPr>
        <w:t xml:space="preserve">Qué cambiaría la decisión.</w:t>
      </w:r>
      <w:r>
        <w:t xml:space="preserve"> Compraríamos por debajo de 28,61 EUR (ahí pasan los umbrales de rentabilidad; el valor intrínseco y la calidad ya se cumplen). Venderíamos por encima de 36,56 EUR, a solo un 2 % del precio. Para pasar a Comprar habría además que confirmar con fuente primaria la caja prestada a Imperial y el balance.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30,79 EUR</w:t>
      </w:r>
      <w:r>
        <w:t xml:space="preserve"> (rentabilidad -8,3 % (base -6,1 %)) · Valor intrínseco: 43,22 EUR (+20,5 % sobre 35,86) · con la prima implícita del mercado: 48,30 (+34,7 %)</w:t>
      </w:r>
    </w:p>
    <w:p>
      <w:pPr>
        <w:spacing w:after="100"/>
      </w:pPr>
      <w:r>
        <w:t xml:space="preserve">Logista es un peaje sobre el tabaco del sur de Europa: distribuye a decenas de miles de estancos por cuenta de todos los fabricantes, sin riesgo de precio del producto y sin necesidad de capital, y se financia con los impuestos que cobra antes de pagarlos [1, 15]. Esa estructura le permite repartir el 99 % del beneficio (2,09 EUR por acción) [19].</w:t>
      </w:r>
    </w:p>
    <w:p>
      <w:pPr>
        <w:spacing w:after="100"/>
      </w:pPr>
      <w:r>
        <w:t xml:space="preserve">A 35,86 EUR, el precio descuenta flujos que caen un 1,3 % al año: con el DCF, la acción vale 43,22 EUR. Pero cotiza a 16,5x el beneficio del próximo ejercicio, cuando en 2020-2025 cotizó entre 8,9x y 13,6x.</w:t>
      </w:r>
    </w:p>
    <w:p>
      <w:pPr>
        <w:spacing w:after="100"/>
      </w:pPr>
      <w:r>
        <w:t xml:space="preserve">El mercado ha recalificado a Logista como un bono con dividendo asegurado justo cuando los tipos bajan. Puede tener razón a largo plazo, pero a 12 meses la regla de múltiplos no deja margen: el beneficio crece un 3 % y el múltiplo tiene más recorrido a la baja que al alza.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2,05 = 18,24 · 14,1x × 2,24 = 31,58 · 17,4x × 2,40 = 41,76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32,54 (nuestro base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 /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7,3 % y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28,61 y 36,56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28,61 EUR: Comprar (pasarían los umbrales de rentabilidad; el valor real y la calidad ya se cumplen), tras confirmar balance y caja con fuente primaria.</w:t>
      </w:r>
    </w:p>
    <w:p>
      <w:pPr>
        <w:pStyle w:val="ListParagraph"/>
        <w:numPr>
          <w:ilvl w:val="0"/>
          <w:numId w:val="2"/>
        </w:numPr>
        <w:spacing w:after="60"/>
      </w:pPr>
      <w:r>
        <w:t xml:space="preserve">Precio por encima de 36,56 EUR: Vender.</w:t>
      </w:r>
    </w:p>
    <w:p>
      <w:pPr>
        <w:pStyle w:val="ListParagraph"/>
        <w:numPr>
          <w:ilvl w:val="0"/>
          <w:numId w:val="2"/>
        </w:numPr>
        <w:spacing w:after="60"/>
      </w:pPr>
      <w:r>
        <w:t xml:space="preserve">Línea con Imperial renovada en peores condiciones: revisar a la baja el BPA y el puente.</w:t>
      </w:r>
    </w:p>
    <w:p>
      <w:pPr>
        <w:pStyle w:val="ListParagraph"/>
        <w:numPr>
          <w:ilvl w:val="0"/>
          <w:numId w:val="2"/>
        </w:numPr>
        <w:spacing w:after="60"/>
      </w:pPr>
      <w:r>
        <w:t xml:space="preserve">Guía del FY2027 con EBIT ajustado +6 % o más y compras en farma: revisar al alza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PER de 16,5x es el nuevo normal para un dividendo del 5,8 % asegurado, con tipos a la baja y el tabaco estable.</w:t>
      </w:r>
    </w:p>
    <w:p>
      <w:pPr>
        <w:keepNext/>
        <w:spacing w:after="100"/>
      </w:pPr>
      <w:r>
        <w:rPr>
          <w:b/>
          <w:bCs/>
        </w:rPr>
        <w:t xml:space="preserve">Lo que creemos nosotros.</w:t>
      </w:r>
    </w:p>
    <w:p>
      <w:pPr>
        <w:spacing w:after="100"/>
      </w:pPr>
      <w:r>
        <w:t xml:space="preserve">El negocio vale ≈43 EUR por flujos, pero a 12 meses el beneficio solo crece un 3 % al año y el múltiplo está en el máximo de su historia: lo más probable es que devuelva parte de la subida del 25 % desde septiembre de 2025.</w:t>
      </w:r>
    </w:p>
    <w:p>
      <w:pPr>
        <w:keepNext/>
        <w:spacing w:after="100"/>
      </w:pPr>
      <w:r>
        <w:rPr>
          <w:b/>
          <w:bCs/>
        </w:rPr>
        <w:t xml:space="preserve">Por qué podemos tener razón.</w:t>
      </w:r>
    </w:p>
    <w:p>
      <w:pPr>
        <w:spacing w:after="100"/>
      </w:pPr>
      <w:r>
        <w:t xml:space="preserve">Nada en el negocio ha cambiado desde el cierre del FY2025 (EBIT ajustado +3 %, ingresos financieros a la baja); la subida es de múltiplo y los analistas no la han seguido (objetivo medio de 32,54 EUR).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Valor intrínseco por encima del precio</w:t>
      </w:r>
      <w:r>
        <w:t xml:space="preserve">: 43,22 EUR, +20,5 %.</w:t>
      </w:r>
    </w:p>
    <w:p>
      <w:pPr>
        <w:pStyle w:val="ListParagraph"/>
        <w:numPr>
          <w:ilvl w:val="0"/>
          <w:numId w:val="2"/>
        </w:numPr>
        <w:spacing w:after="60"/>
      </w:pPr>
      <w:r>
        <w:rPr>
          <w:b/>
        </w:rPr>
        <w:t xml:space="preserve">Dividendo asegurado</w:t>
      </w:r>
      <w:r>
        <w:t xml:space="preserve">: al menos 2,09 EUR (5,9 % de rentabilidad) y payout del 99 %.</w:t>
      </w:r>
    </w:p>
    <w:p>
      <w:pPr>
        <w:pStyle w:val="ListParagraph"/>
        <w:numPr>
          <w:ilvl w:val="0"/>
          <w:numId w:val="2"/>
        </w:numPr>
        <w:spacing w:after="60"/>
      </w:pPr>
      <w:r>
        <w:rPr>
          <w:b/>
        </w:rPr>
        <w:t xml:space="preserve">Sin necesidad de capital</w:t>
      </w:r>
      <w:r>
        <w:t xml:space="preserve">: capex de 54 M frente a 488 M de EBITDA.</w:t>
      </w:r>
    </w:p>
    <w:p>
      <w:pPr>
        <w:pStyle w:val="ListParagraph"/>
        <w:numPr>
          <w:ilvl w:val="0"/>
          <w:numId w:val="2"/>
        </w:numPr>
        <w:spacing w:after="60"/>
      </w:pPr>
      <w:r>
        <w:rPr>
          <w:b/>
        </w:rPr>
        <w:t xml:space="preserve">Posición dominante</w:t>
      </w:r>
      <w:r>
        <w:t xml:space="preserve"> en la distribución a estancos de España, Italia y Francia.</w:t>
      </w:r>
    </w:p>
    <w:p>
      <w:pPr>
        <w:pStyle w:val="ListParagraph"/>
        <w:numPr>
          <w:ilvl w:val="0"/>
          <w:numId w:val="2"/>
        </w:numPr>
        <w:spacing w:after="60"/>
      </w:pPr>
      <w:r>
        <w:rPr>
          <w:b/>
        </w:rPr>
        <w:t xml:space="preserve">Guía en camino</w:t>
      </w:r>
      <w:r>
        <w:t xml:space="preserve">: EBIT ajustado +3 % a nueve meses.</w:t>
      </w:r>
    </w:p>
    <w:p>
      <w:pPr>
        <w:pStyle w:val="Heading2"/>
      </w:pPr>
      <w:r>
        <w:t xml:space="preserve">En contra</w:t>
      </w:r>
    </w:p>
    <w:p>
      <w:pPr>
        <w:pStyle w:val="ListParagraph"/>
        <w:numPr>
          <w:ilvl w:val="0"/>
          <w:numId w:val="2"/>
        </w:numPr>
        <w:spacing w:after="60"/>
      </w:pPr>
      <w:r>
        <w:rPr>
          <w:b/>
        </w:rPr>
        <w:t xml:space="preserve">PER adelantado en máximos</w:t>
      </w:r>
      <w:r>
        <w:t xml:space="preserve">: 16,5x frente a 8,9-13,6x en 2020-2025.</w:t>
      </w:r>
    </w:p>
    <w:p>
      <w:pPr>
        <w:pStyle w:val="ListParagraph"/>
        <w:numPr>
          <w:ilvl w:val="0"/>
          <w:numId w:val="2"/>
        </w:numPr>
        <w:spacing w:after="60"/>
      </w:pPr>
      <w:r>
        <w:rPr>
          <w:b/>
        </w:rPr>
        <w:t xml:space="preserve">Objetivo a 12 meses por debajo del precio</w:t>
      </w:r>
      <w:r>
        <w:t xml:space="preserve">: −8,3 % ponderado y −6,1 % en el base.</w:t>
      </w:r>
    </w:p>
    <w:p>
      <w:pPr>
        <w:pStyle w:val="ListParagraph"/>
        <w:numPr>
          <w:ilvl w:val="0"/>
          <w:numId w:val="2"/>
        </w:numPr>
        <w:spacing w:after="60"/>
      </w:pPr>
      <w:r>
        <w:rPr>
          <w:b/>
        </w:rPr>
        <w:t xml:space="preserve">Beneficio ligado a los tipos</w:t>
      </w:r>
      <w:r>
        <w:t xml:space="preserve">: ingresos financieros de 103 a 73 M.</w:t>
      </w:r>
    </w:p>
    <w:p>
      <w:pPr>
        <w:pStyle w:val="ListParagraph"/>
        <w:numPr>
          <w:ilvl w:val="0"/>
          <w:numId w:val="2"/>
        </w:numPr>
        <w:spacing w:after="60"/>
      </w:pPr>
      <w:r>
        <w:rPr>
          <w:b/>
        </w:rPr>
        <w:t xml:space="preserve">Dependencia de Imperial</w:t>
      </w:r>
      <w:r>
        <w:t xml:space="preserve">: accionista, cliente y prestatario a la vez.</w:t>
      </w:r>
    </w:p>
    <w:p>
      <w:pPr>
        <w:pStyle w:val="ListParagraph"/>
        <w:numPr>
          <w:ilvl w:val="0"/>
          <w:numId w:val="2"/>
        </w:numPr>
        <w:spacing w:after="60"/>
      </w:pPr>
      <w:r>
        <w:rPr>
          <w:b/>
        </w:rPr>
        <w:t xml:space="preserve">Volumen de tabaco a la baja</w:t>
      </w:r>
      <w:r>
        <w:t xml:space="preserve">: Francia −2 % en ventas económicas.</w:t>
      </w:r>
    </w:p>
    <w:p>
      <w:pPr>
        <w:pStyle w:val="Heading2"/>
      </w:pPr>
      <w:r>
        <w:t xml:space="preserve">Qué tiene que pasar para que la tesis funcione</w:t>
      </w:r>
    </w:p>
    <w:p>
      <w:pPr>
        <w:spacing w:after="100"/>
      </w:pPr>
      <w:r>
        <w:t xml:space="preserve">La tesis depende de que el múltiplo no vuelva a su historia y de que la caja flotante siga rindiendo ≈70 M al año. La señal de que no se cumple: una renovación de la línea con Imperial por debajo de Euribor + 75 pb o un PER que vuelva a 13x con el beneficio estable.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M a 9 meses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financieros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M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del beneficio antes de impuestos.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económicas de Francia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a 9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Velocidad del declive del cigarrillo.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17,5x (vender)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Logista nace de Tabacalera, el antiguo monopolio estatal español del tabaco: al fusionarse con Seita en 1999 (Altadis), su red de distribución se separó y salió a bolsa. Imperial Tobacco compró Altadis en 2008 y con ella el control de Logista. En 2014 volvió a bolsa como Compañía de Distribución Integral Logista Holdings, y en 2022 Imperial vendió parte para quedarse con el 50,01 % [24]. Desde entonces diversifica con compras de transporte (El Mosca) y logística farmacéutica [15,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Tabacalera y Seita forman Altadis; Logista agrupa la distribución.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Imperial Tobacco compra Altadis y el control de Logista.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cotizar (OPV de Imperial).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 Logista France tras comprar la parte de Imperial.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73,33 % de El Mosca; Imperial baja al 50,01 %.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de tesorería con Imperial ampliada a 3.000 M hasta 2027.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Logista distribuye productos de tabaco, conveniencia, recarga electrónica, farmacia y otros a unos 200.000-300.000 puntos de venta en España, Portugal, Italia, Francia y Polonia. Es el principal distribuidor a los estancos en España, Italia y Francia, por cuenta de todos los fabricantes (Imperial, Philip Morris, JTI, BAT). Fuera del tabaco tiene transporte (paquetería, larga distancia, temperatura controlada) y distribución farmacéutica [1, 15]. Ingresos brutos de 13.535 M en el FY2025, de los que las ventas económicas (lo que queda tras pagar el producto y los impuestos) son 1.809 M [1].</w:t>
      </w:r>
    </w:p>
    <w:p>
      <w:pPr>
        <w:pStyle w:val="Heading2"/>
      </w:pPr>
      <w:r>
        <w:t xml:space="preserve">Cómo gana dinero</w:t>
      </w:r>
    </w:p>
    <w:p>
      <w:pPr>
        <w:spacing w:after="100"/>
      </w:pPr>
      <w:r>
        <w:t xml:space="preserve">Cobra una tarifa por unidad distribuida (cajetilla o producto) a los fabricantes, sin riesgo de precio del producto: el margen depende del volumen y de la tarifa, que se revisa con los fabricantes. Además cobra a los estancos los impuestos especiales antes de pagarlos a Hacienda, lo que le da una caja flotante de ≈2.000-2.700 M que presta a Imperial y que rindió 73 M en el FY2025 [15]. Cuando sube el precio o el impuesto del tabaco, el inventario se revaloriza (≈35-45 M al año) [1, 7]. El negocio no necesita capital: capex de ≈54 M al año.</w:t>
      </w:r>
    </w:p>
    <w:p>
      <w:pPr>
        <w:pStyle w:val="Heading2"/>
      </w:pPr>
      <w:r>
        <w:t xml:space="preserve">Clientes, recurrencia y poder de precios</w:t>
      </w:r>
    </w:p>
    <w:p>
      <w:pPr>
        <w:spacing w:after="100"/>
      </w:pPr>
      <w:r>
        <w:t xml:space="preserve">Los clientes que pagan son los fabricantes de tabaco: Imperial (accionista de control) y los grandes competidores, con contratos plurianuales. Los puntos de venta son decenas de miles de estancos sin concentración. El poder de precios está acotado por los contratos y por la caída del volumen de cigarrillos (Francia: ventas económicas −2 % en nueve meses del FY2026) [4,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económicas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financieros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económicas a 9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 M EUR (9M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 M EUR (9M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Distribución mayorista de tabaco y productos de conveniencia a estancos en el sur de Europa (España, Italia, Francia, Portugal), más logística farmacéutica y transporte. GICS: Industria / Transporte y logística. El tabaco es un mercado regulado (estancos con licencia, impuestos especiales) con volúmenes de cigarrillos en descenso del 2-4 % anual y precios al alza por impuestos.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ventas económicas −2 % en 9M FY26 y ingresos −3,4 % en el semestre [4,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e impuestos del tabaco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inventarios de ≈35-45 M al año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de nueva generación (calentado, vapeo, nicotina 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crece (ingresos +6,3 % en el 1S26)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de 103 M (FY2024) a 73 M (FY2025)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Diversificación (farma,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Bankinter espera EBIT ajustado +4/+6 % en 2026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 es el distribuidor dominante en España, Italia y Francia; la red de estancos y la regulación hacen inviable duplicarla.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concentran el tabaco; Imperial es además el accionista de control.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y almacenes subcontratables; el coste laboral es el principal.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licencias y relación con miles de estancos.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estructural del cigarrillo; compensada en parte por productos de nueva generación que también distribuye.</w:t>
            </w:r>
          </w:p>
        </w:tc>
      </w:tr>
    </w:tbl>
    <w:p>
      <w:pPr>
        <w:spacing w:after="160" w:before="0"/>
      </w:pPr>
    </w:p>
    <w:p>
      <w:pPr>
        <w:pStyle w:val="Heading2"/>
      </w:pPr>
      <w:r>
        <w:t xml:space="preserve">Ciclo</w:t>
      </w:r>
    </w:p>
    <w:p>
      <w:pPr>
        <w:spacing w:after="100"/>
      </w:pPr>
      <w:r>
        <w:t xml:space="preserve">El tabaco es poco cíclico: en 2008-09 y en 2020 los volúmenes siguieron su tendencia de caída lenta; el precio sube cada año por impuestos. Lo cíclico en Logista es el transporte y los tipos de interés, que movieron el beneficio un ±10 % en 2023-2025 [1, 15].</w:t>
      </w:r>
    </w:p>
    <w:p>
      <w:pPr>
        <w:pStyle w:val="Heading2"/>
      </w:pPr>
      <w:r>
        <w:t xml:space="preserve">Regulación</w:t>
      </w:r>
    </w:p>
    <w:p>
      <w:pPr>
        <w:spacing w:after="100"/>
      </w:pPr>
      <w:r>
        <w:t xml:space="preserve">La directiva europea de impuestos al tabaco (en revisión) y las subidas de impuestos nacionales elevan precios y revalorizan inventarios a corto plazo, pero reducen el volumen. La regulación de productos de nueva generación (sabores, nicotina oral) está en debate en la UE y en Francia.</w:t>
      </w:r>
    </w:p>
    <w:p>
      <w:pPr>
        <w:pStyle w:val="Heading2"/>
      </w:pPr>
      <w:r>
        <w:t xml:space="preserve">Tendencias y disrupción</w:t>
      </w:r>
    </w:p>
    <w:p>
      <w:pPr>
        <w:spacing w:after="100"/>
      </w:pPr>
      <w:r>
        <w:t xml:space="preserve">Paso del cigarrillo a calentado y nicotina oral, que Logista también distribuye; concentración del comercio de conveniencia; crecimiento de la logística farmacéutica, donde Logista compra para crecer.</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distribuidor de tabaco a estancos del sur de Europa (España, Italia y Francia); pequeño en transporte y farma.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propia de los fabricantes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Alternativa teórica: los fabricantes podrían distribuir por su cuenta, pero perderían la escala compartida.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Distribuidores farmacéuticos (Cofares, Alliance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 la logística farmacéutica donde Logista quiere crecer.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de transporte (DHL, GXO, ID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transporte y logística por contrato.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puntos de venta atrae a todos los fabricantes y viceversa.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distribuidor exige rehacer la logística a miles de estancos.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Autorizaciones de distribución de tabaco; sin marca propia.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de rutas que nadie más tiene.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que solo admite un distribuidor eficiente por país.</w:t>
            </w:r>
          </w:p>
        </w:tc>
      </w:tr>
    </w:tbl>
    <w:p>
      <w:pPr>
        <w:spacing w:after="160" w:before="0"/>
      </w:pPr>
    </w:p>
    <w:p>
      <w:pPr>
        <w:pStyle w:val="Heading2"/>
      </w:pPr>
      <w:r>
        <w:t xml:space="preserve">Amenazas</w:t>
      </w:r>
    </w:p>
    <w:p>
      <w:pPr>
        <w:spacing w:after="100"/>
      </w:pPr>
      <w:r>
        <w:t xml:space="preserve">El foso es la escala en un mercado que encoge: el cigarrillo cae un 2-4 % al año y Francia ya resta [5]. Si un gran fabricante decidiera distribuir por su cuenta o renegociar tarifas a la baja, el margen sufriría. El riesgo de tipos (caja prestada a Imperial) no es competitivo pero pesa en el beneficio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r>
    </w:tbl>
    <w:p>
      <w:pPr>
        <w:spacing w:after="160" w:before="0"/>
      </w:pPr>
    </w:p>
    <w:p>
      <w:pPr>
        <w:spacing w:after="100"/>
      </w:pPr>
      <w:r>
        <w:t xml:space="preserve">Crecimiento anual compuesto FY2021-FY2025: ingresos </w:t>
      </w:r>
      <w:r>
        <w:rPr>
          <w:b/>
          <w:bCs/>
        </w:rPr>
        <w:t xml:space="preserve">5,8 %</w:t>
      </w:r>
      <w:r>
        <w:t xml:space="preserve">, EBITDA </w:t>
      </w:r>
      <w:r>
        <w:rPr>
          <w:b/>
          <w:bCs/>
        </w:rPr>
        <w:t xml:space="preserve">n.d.</w:t>
      </w:r>
      <w:r>
        <w:t xml:space="preserve">, BPA </w:t>
      </w:r>
      <w:r>
        <w:rPr>
          <w:b/>
          <w:bCs/>
        </w:rPr>
        <w:t xml:space="preserve">12,7 %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brutos pasaron de 10.816 M en el FY2021 a 13.535 M en el FY2025 [1, 9], pero son en su mayor parte impuestos especiales y precio del tabaco que Logista repercute: la medida útil son las </w:t>
      </w:r>
      <w:r>
        <w:rPr>
          <w:b/>
        </w:rPr>
        <w:t xml:space="preserve">ventas económicas</w:t>
      </w:r>
      <w:r>
        <w:t xml:space="preserve"> (margen bruto), que crecieron de ≈1.685 M (FY2023, estimación desde la variación publicada) a 1.757 M (FY2024) y 1.809 M (FY2025, +3,0 %) [1, 7]. El EBIT ajustado fue de 366 M (FY2023, estimación), 385 M (FY2024) y 378 M (FY2025, −1,9 %), con un beneficio por revalorización de inventarios de ≈35 M y ≈45 M [1, 2, 7]. El beneficio neto subió de 175 M (FY2021) a 308 M (FY2024) y bajó a 281 M en el FY2025 (−8,8 %) porque los ingresos financieros de la caja prestada a Imperial cayeron de 103 M a 73 M con la bajada de tipos del BCE [1, 15]. En los nueve meses del FY2026 (oct-25 a jun-26): ingresos 10.165 M (+2,3 %), ventas económicas 1.376 M (+1,1 %), EBIT ajustado 296 M (+3 %), EBIT 244 M (plano) y beneficio neto 210 M (−1,8 %) [5, 6].</w:t>
      </w:r>
    </w:p>
    <w:p>
      <w:pPr>
        <w:pStyle w:val="Heading2"/>
      </w:pPr>
      <w:r>
        <w:t xml:space="preserve">Ajustes y partidas no recurrentes</w:t>
      </w:r>
    </w:p>
    <w:p>
      <w:pPr>
        <w:spacing w:after="100"/>
      </w:pPr>
      <w:r>
        <w:t xml:space="preserve">Usamos el beneficio neto y el BPA publicados (incluyen los ingresos financieros de la caja y el resultado de inventarios). El EBIT ajustado de la empresa excluye la amortización de los activos intangibles de la compra de Logista France y los costes de reestructuración (≈60 M de diferencia en el FY2025: 378 M ajustado frente a 318 M publicado) [1]. EBITDA de FY2024-FY2025 = EBIT publicado + amortización de Stock Analysis (estimación propia: 318 + 170 = 488 M) [9]. Las acciones (132,5 M) salen de 132,75 M emitidas [21] menos una autocartera pequeña (dividendo de 277 M ÷ 2,09 EUR) [19]. Los ingresos FY2018-FY2020 (9.476, 10.148 y 10.408 M) y el BPA (1,18, 1,24 y 1,19) son de roic.ai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9M26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 FY26 el beneficio cayó un 8,4 % (71 M) con el EBIT ajustado +2 % (100 M) [22]; en el semestre, beneficio de 136 M (−9,9 %), EBIT ajustado de 195 M (−3,5 %) y ventas económicas de 904 M (−1,3 %), por menos revalorización de inventarios; Italia creció (ingresos +6,3 %, 2.380 M) y Francia cayó (−3,4 %, 1.694 M) [4]. El 3T recuperó: a nueve meses el EBIT ajustado sube un 3 % (296 M) y el beneficio cae solo un 1,8 % (210 M) [5, 6]. La compañía reiteró la guía del año: EBIT ajustado sin inventarios ni adquisiciones creciendo a un dígito medio sobre el FY2025 y dividendo de al menos 2,09 EUR [4,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(FY2022: Compra del 73,33 % del grupo de transporte El Mosca (con opción al 100 % en tres años) y de otras sociedades de transporte y farma.). Los ratios de balance de ese año (días, circulante, deuda neta / EBITDA, ROIC) y los indicadores de calidad contable no son comparables con los anteriores.</w:t>
      </w:r>
    </w:p>
    <w:p>
      <w:pPr>
        <w:spacing w:after="100"/>
      </w:pPr>
      <w:r>
        <w:t xml:space="preserve">«Caja» es solo la tesorería en bancos (175 M); la posición financiera real incluye el crédito a Imperial (≈2.000-2.700 M de media), que no se ha podido leer al cierre de cada ejercicio en las fuentes accesibles. El patrimonio es pequeño (643 M) porque Logista reparte ≈100 % del beneficio [19, 23].</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FY2024-FY2025: FCF </w:t>
      </w:r>
      <w:r>
        <w:rPr>
          <w:b/>
          <w:bCs/>
        </w:rPr>
        <w:t xml:space="preserve">483</w:t>
      </w:r>
      <w:r>
        <w:t xml:space="preserve">, conversión </w:t>
      </w:r>
      <w:r>
        <w:rPr>
          <w:b/>
          <w:bCs/>
        </w:rPr>
        <w:t xml:space="preserve">82 %</w:t>
      </w:r>
      <w:r>
        <w:t xml:space="preserve"> del beneficio neto; adquisiciones 0, dividendos 277, recompras 0.</w:t>
      </w:r>
    </w:p>
    <w:p>
      <w:pPr>
        <w:spacing w:after="100"/>
      </w:pPr>
      <w:r>
        <w:t xml:space="preserve">En el FY2025 el flujo de caja libre fue de 483 M (225 M en el FY2024), con capex de 54 M y pagos de arrendamientos de 76 M; el flujo «normalizado» (sin el efecto del circulante, que varía mucho con el calendario de pago de impuestos) fue de 315 M [14]. Flujo operativo FY2025 = 483 + 54 + 76 = 613 M (estimación propia). Las series de TipRanks y Stock Analysis no se pueden asignar a ejercicios con seguridad [11]. El uso de la caja es el dividendo: 277 M en el FY2025 (payout del 99 %) [19, 23].</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es buena en caja (flujo normalizado de 315 M frente a 281 M de beneficio) [1, 14], pero tiene dos componentes que no controla la empresa: el resultado por revalorización de inventarios (≈35-45 M al año, depende de las subidas de precio e impuestos del tabaco) y los ingresos financieros de la caja prestada a Imperial (103 M en el FY2024, 73 M en el FY2025), que siguen al Euribor [2, 15, 16]. Los indicadores del motor (Altman, Piotroski, Beneish) no se interpretan: el balance está incompleto y el circulante negativo los distorsiona.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ligado a los tipos de interés (caja prestada a Imperial)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≈50 % del riesgo de tipos con Imperial según el CFO.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por inventarios dentro del EBIT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la empresa lo excluye.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7,3 %.</w:t>
      </w:r>
    </w:p>
    <w:p>
      <w:pPr>
        <w:spacing w:after="100"/>
      </w:pPr>
      <w:r>
        <w:t xml:space="preserve">El ROIC del motor (49,6 %) no mide nada útil: el capital invertido operativo es negativo porque Logista cobra los impuestos del tabaco antes de pagarlos y ese circulante financia ≈2.500 M de caja. La lectura correcta es que el negocio no consume capital: el beneficio neto (281 M) es el 44 % del patrimonio (643 M) y el capex (54 M) un tercio de la amortización. Frente al WACC (7,33 %), cualquier medida de retorno sobre capital queda muy por encima; el límite de Logista no es la rentabilidad del capital sino que no tiene dónde reinvertirlo, y por eso reparte el 99 % del beneficio.</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Logista presta a diario su tesorería excedente a Imperial Brands (línea recíproca de hasta 3.000 M a Euribor a 6 meses + 75 pb, renovada en junio de 2024 por tres años) [15, 17]. La caja media prestada ronda 2.200-2.700 M según los analistas [15]; en balance aparece como crédito a empresas del grupo, no como «caja» (175 M a sep-25) [12,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grueso del pasivo (≈7.700 M sobre 8.308 M de activo) son impuestos especiales del tabaco cobrados a los estancos y pendientes de pago a Hacienda y deudas con los fabricantes: un circulante muy negativo que financia la caja prestada a Imperial [12, 15]. Deuda financiera de 21 M a sep-25 [13]. Sin datos de pasivos por arrendamiento (los pagos de arrendamiento fueron 76 M en el FY2025) [14].</w:t>
      </w:r>
    </w:p>
    <w:p>
      <w:pPr>
        <w:pStyle w:val="Heading1"/>
      </w:pPr>
      <w:r>
        <w:t xml:space="preserve">12. Asignación de capital</w:t>
      </w:r>
    </w:p>
    <w:p>
      <w:pPr>
        <w:pStyle w:val="Confianza"/>
        <w:spacing w:after="100"/>
      </w:pPr>
      <w:r>
        <w:t xml:space="preserve">Confianza: Media</w:t>
      </w:r>
    </w:p>
    <w:p>
      <w:pPr>
        <w:spacing w:after="100"/>
      </w:pPr>
      <w:r>
        <w:t xml:space="preserve">Dividendo de al menos el 90 % del beneficio, con suelo de 2,09 EUR por acción para 2024, 2025 y 2026 [19, 20]: en el FY2025 se repartieron 277 M (payout del 99 %) y el dividendo a cuenta del FY2026 sube un 3,6 % hasta 0,58 EUR (77 M) [5, 20]. Sin recompras. Las adquisiciones se pagan con la caja (diversificación en farma, transporte y productos de nueva generación)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El Mosca (transporte, 73,33 %)</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Transporte es el negocio que peor se ha comportado en el FY2025</w:t>
            </w:r>
          </w:p>
        </w:tc>
      </w:tr>
    </w:tbl>
    <w:p>
      <w:pPr>
        <w:spacing w:after="160" w:before="0"/>
      </w:pPr>
    </w:p>
    <w:p>
      <w:pPr>
        <w:spacing w:after="100"/>
      </w:pPr>
      <w:r>
        <w:t xml:space="preserve">La asignación de capital es simple: casi todo el beneficio vuelve al accionista y Imperial, con el 50,01 %, recibe la mitad. El riesgo es que el suelo de 2,09 EUR deje sin margen la inversión en diversificación si el beneficio no crece [19, 23].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Íñigo Meirás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Ferrovial; figura como consejero delegado en el IAGC de 2021 y 2022 [27, 28]. No se ha confirmado en fuentes de 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Losada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Portavoz financiero en 2025 sobre generación de caja y cobertura de tipos con Imperial [18, 23].</w:t>
            </w:r>
          </w:p>
        </w:tc>
      </w:tr>
    </w:tbl>
    <w:p>
      <w:pPr>
        <w:spacing w:after="160" w:before="0"/>
      </w:pPr>
    </w:p>
    <w:p>
      <w:pPr>
        <w:spacing w:after="100"/>
      </w:pPr>
      <w:r>
        <w:t xml:space="preserve">La dirección prioriza el dividendo (payout del 99 % en el FY2025) y la diversificación por compras [19, 23]. La guía del FY2025 (crecimiento del EBIT ajustado) no se cumplió (−1,9 %); la del FY2026 va en camino a nueve meses (+3 %).</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Gregorio Marañón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Íñigo Meirás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Imperial Brands (Imperial Tobacco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control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parte en 2022 para reducir deuda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localizaron las cifras de remuneración ni los votos de la junta en las fuentes accesibles.</w:t>
      </w:r>
    </w:p>
    <w:p>
      <w:pPr>
        <w:pStyle w:val="Heading2"/>
      </w:pPr>
      <w:r>
        <w:t xml:space="preserve">Operaciones vinculadas, estructura de control y defensas</w:t>
      </w:r>
    </w:p>
    <w:p>
      <w:pPr>
        <w:spacing w:after="100"/>
      </w:pPr>
      <w:r>
        <w:t xml:space="preserve">Imperial Brands controla el 50,01 % de los votos [24, 27] y es a la vez cliente, prestatario de la caja de Logista (línea de hasta 3.000 M a Euribor a 6 meses + 75 pb) y proveedor de la cobertura de tipos [17, 18]. Es la operación vinculada más relevante del grupo y la principal cuestión de gobierno: el minoritario depende de que esas condiciones sean de mercado.</w:t>
      </w:r>
    </w:p>
    <w:p>
      <w:pPr>
        <w:pStyle w:val="Heading2"/>
      </w:pPr>
      <w:r>
        <w:t xml:space="preserve">Señales de alerta</w:t>
      </w:r>
    </w:p>
    <w:p>
      <w:pPr>
        <w:pStyle w:val="ListParagraph"/>
        <w:numPr>
          <w:ilvl w:val="0"/>
          <w:numId w:val="2"/>
        </w:numPr>
        <w:spacing w:after="60"/>
      </w:pPr>
      <w:r>
        <w:t xml:space="preserve">Operación vinculada de tesorería con el accionista de control (Imperial) por ≈2.000-3.000 M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FY2026: EBIT ajustado sin inventarios ni adquisiciones creciendo a un dígito medio sobre el FY2025 y dividendo de al menos 2,09 EUR; a nueve meses, EBIT ajustado +3 % [5, 20]. Resultados del FY2026 previstos a principios de noviembre (estimación por el calendario de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6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 – 35,00</w:t>
            </w:r>
          </w:p>
        </w:tc>
      </w:tr>
    </w:tbl>
    <w:p>
      <w:pPr>
        <w:spacing w:after="160" w:before="0"/>
      </w:pPr>
    </w:p>
    <w:p>
      <w:pPr>
        <w:pStyle w:val="Heading2"/>
      </w:pPr>
      <w:r>
        <w:t xml:space="preserve">Revisiones de estimaciones</w:t>
      </w:r>
    </w:p>
    <w:p>
      <w:pPr>
        <w:spacing w:after="100"/>
      </w:pPr>
      <w:r>
        <w:t xml:space="preserve">Consenso de Investing (julio de 2026): 11 analistas, 2 comprar, 6 mantener y 3 vender, objetivo medio de 32,54 EUR (26,70 de Kepler Cheuvreux, en venta, a 35 EUR) [35]. Bankinter mantiene comprar y esperaba EBIT ajustado +4/+6 % en 2026 frente a un consenso más bajo [25]. El 13 de octubre JB Capital subió su objetivo a 35,50 EUR, por debajo de la cotización [29]. MarketScreener da un BPA de 2,12 (FY2026), 2,17 (FY2027) y 2,42 EUR (FY2028) [32].</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el cierre del FY2025 (30-sep-25)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Cierres de diciembre de TradersUnion (20,10 EUR en 2019; 15,86, 17,53, 23,60, 24,48, 29,20 y 30,08 de 2020 a 2025) [40]. La acción marca máximos históricos: 35,86 EUR el 13 de octubre de 2026, con un rango de 52 semanas de 28,74-36,90 EUR [29, 31]. Desde el cierre del FY2025 (≈28,75 EUR, capitalización de 3.816 M en MarketScreener) sube ≈25 % sin un cambio de guía: el mercado paga más por un dividendo de 2,09 EUR asegurado con tipos a la baja [32].</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spacing w:after="100"/>
      </w:pPr>
      <w:r>
        <w:t xml:space="preserve">Precio al cierre de cada ejercicio (30 de septiembre): FY2020 del informe anual (14,6 EUR) [34]; FY2021 y FY2024 = PER publicado × BPA de MarketScreener (13,8 × 1,32 y 11,6 × 2,34); FY2022, FY2023 y FY2025 = capitalización ÷ 132,75 M de acciones (2.459, 3.190 y 3.816 M) [21, 32, 33]. PER adelantado = precio ÷ BPA del ejercicio siguiente (FY2025 sobre nuestro FY2026e de 2,11 EUR). Hoy: 35,86 ÷ 2,17 (nuestro FY2027e) = 16,5x, el más alto de la serie.</w:t>
      </w:r>
    </w:p>
    <w:p>
      <w:pPr>
        <w:pStyle w:val="Heading1"/>
      </w:pPr>
      <w:r>
        <w:t xml:space="preserve">18. Comparables cotizados</w:t>
      </w:r>
    </w:p>
    <w:p>
      <w:pPr>
        <w:pStyle w:val="Confianza"/>
        <w:spacing w:after="100"/>
      </w:pPr>
      <w:r>
        <w:t xml:space="preserve">Confianza: Baja</w:t>
      </w:r>
    </w:p>
    <w:p>
      <w:pPr>
        <w:spacing w:after="100"/>
      </w:pPr>
      <w:r>
        <w:t xml:space="preserve">No hay cotizadas equivalentes (distribuidor de tabaco con caja flotante). Se usan operadores logísticos y de distribución europeos y globales con su PER de los próximos 12 meses tomado de los informes de DSV y Rentokil del repositorio (7-oct-2026, MarketScreener) [36], más Imperial Brands (su cliente y accionista, PER adelantado de 9,5x) [37]. Son referencias de múltiplo, no de negocio: los logísticos crecen más y Logista tiene un volumen de tabaco que encoge.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Logista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Imperial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 / 17,4x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Logista cotiza a 16,5x nuestro BPA del FY2027e, cerca de la mediana de los comparables (17,4x) y muy por encima de Imperial Brands (9,5x), pero los comparables no lo son de verdad: los operadores logísticos crecen al 3-12 % y Logista distribuye un producto cuyo volumen cae. Por eso pesan 0 en la síntesis. El dato relevante es su propia historia: entre 8,9x y 13,6x de PER adelantado en los seis últimos cierres, y hoy 16,5x, el máximo de la serie.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+2,5 % en FY2026e (nueve meses: +2,3 % [5]) y +2,5 % hasta FY2029e, bajando al 1,5 % en FY2033-35e. El volumen de cigarrillos cae (Francia: ventas económicas −2 % a nueve meses [5]) y el precio sube por impuestos; Italia y los productos de nueva generación compensan [4]. Entre FY2021 y FY2025 los ingresos crecieron un 5,8 % anual [9], con subidas de impuestos excepcionales que no proyectamos.</w:t>
      </w:r>
    </w:p>
    <w:p>
      <w:pPr>
        <w:keepNext/>
        <w:spacing w:after="100"/>
      </w:pPr>
      <w:r>
        <w:rPr>
          <w:b/>
          <w:bCs/>
        </w:rPr>
        <w:t xml:space="preserve">Márgenes.</w:t>
      </w:r>
    </w:p>
    <w:p>
      <w:pPr>
        <w:spacing w:after="100"/>
      </w:pPr>
      <w:r>
        <w:t xml:space="preserve">Margen EBITDA constante del 3,6 % (FY2025: 488 M sobre 13.535 M, estimación propia [1, 9]). La guía es de EBIT ajustado creciendo a un dígito medio; lo dejamos en el ritmo de los ingresos porque el transporte y Francia restan y el resultado por inventarios (35-45 M) no es recurrente [1, 7].</w:t>
      </w:r>
    </w:p>
    <w:p>
      <w:pPr>
        <w:keepNext/>
        <w:spacing w:after="100"/>
      </w:pPr>
      <w:r>
        <w:rPr>
          <w:b/>
          <w:bCs/>
        </w:rPr>
        <w:t xml:space="preserve">Inversión y circulante.</w:t>
      </w:r>
    </w:p>
    <w:p>
      <w:pPr>
        <w:spacing w:after="100"/>
      </w:pPr>
      <w:r>
        <w:t xml:space="preserve">Capex del 1,0 % de los ingresos, que incluye los pagos de arrendamientos (54 + 76 M en el FY2025 [14]); amortización del 1,25 % (170 M en el FY2025 [9]). Circulante constante: el circulante negativo ya genera la caja flotante, que se valora aparte en el puente.</w:t>
      </w:r>
    </w:p>
    <w:p>
      <w:pPr>
        <w:keepNext/>
        <w:spacing w:after="100"/>
      </w:pPr>
      <w:r>
        <w:rPr>
          <w:b/>
          <w:bCs/>
        </w:rPr>
        <w:t xml:space="preserve">Coste del capital.</w:t>
      </w:r>
    </w:p>
    <w:p>
      <w:pPr>
        <w:spacing w:after="100"/>
      </w:pPr>
      <w:r>
        <w:t xml:space="preserve">Tasa libre: Bund a 10 años del 3,53 % [38]. Beta 0,6 (sin beta calculable en este entorno; negocio de distribución regulada poco cíclico), prima de mercado del 5,5 % y 0,5 puntos adicionales por la dependencia de Imperial y el declive del tabaco. Sin deuda: WACC = coste del capital = 7,33 %.</w:t>
      </w:r>
    </w:p>
    <w:p>
      <w:pPr>
        <w:keepNext/>
        <w:spacing w:after="100"/>
      </w:pPr>
      <w:r>
        <w:rPr>
          <w:b/>
          <w:bCs/>
        </w:rPr>
        <w:t xml:space="preserve">Valor terminal.</w:t>
      </w:r>
    </w:p>
    <w:p>
      <w:pPr>
        <w:spacing w:after="100"/>
      </w:pPr>
      <w:r>
        <w:t xml:space="preserve">Gordon al 1,0 %: precio del tabaco al alza por impuestos y volumen a la baja; por debajo de la inflación porque la base de cigarrillos encoge.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M (-14 % del NOPAT)</w:t>
            </w:r>
          </w:p>
        </w:tc>
      </w:tr>
    </w:tbl>
    <w:p>
      <w:pPr>
        <w:spacing w:after="160" w:before="0"/>
      </w:pPr>
    </w:p>
    <w:p>
      <w:pPr>
        <w:spacing w:after="100"/>
      </w:pPr>
      <w:r>
        <w:t xml:space="preserve">La proyección apenas necesita inversión neta de la amortización (reinversión acumulada de -382 M, con un capex bruto medio del 1,0 % de las ventas). En un negocio de activos ligeros, el crecimiento medio del 2,0 %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cigarrillos −1,5 %; precio +4 % por subidas de impuestos en España, Italia y Francia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tendencia; otros: farma y productos de nueva generación.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subidas de precio; el volumen sigue cayendo.</w:t>
            </w:r>
          </w:p>
        </w:tc>
      </w:tr>
    </w:tbl>
    <w:p>
      <w:pPr>
        <w:spacing w:after="160" w:before="0"/>
      </w:pPr>
    </w:p>
    <w:p>
      <w:pPr>
        <w:spacing w:after="100"/>
      </w:pPr>
      <w:r>
        <w:t xml:space="preserve">El crecimiento proyectado (2,1 % de media) es inferior al de los últimos cinco años (5,8 %) y no necesita capital: la reinversión es negativa o casi nula (capex de 54 M frente a 170 M de amortización) y el circulante negativo financia la caja. El motor no aplica la prueba de reinversión y la hacemos a mano: el crecimiento sale del precio (impuestos repercutidos), que Logista no paga, y de volúmenes que caen un 1,5 % al año. Con ventas económicas de nueve meses +1,1 % y EBIT ajustado +3 % [5], el 2,5 % de ingresos es alcanzable. El riesgo no es de financiación sino de margen (renegociación de tarifas con los fabricantes) y de tipos (ingresos financieros), que quedan fuera del DCF operativo.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7,3 %)</w:t>
            </w:r>
          </w:p>
        </w:tc>
      </w:tr>
    </w:tbl>
    <w:p>
      <w:pPr>
        <w:spacing w:after="160" w:before="0"/>
      </w:pPr>
    </w:p>
    <w:p>
      <w:pPr>
        <w:spacing w:after="100"/>
      </w:pPr>
      <w:r>
        <w:t xml:space="preserve">El DCF da 43,45 EUR por acción, un 21,2 % por encima del precio, con el valor terminal en el 58 % del valor. El DCF inverso dice que, con nuestro WACC del 7,33 %, el precio de 35,86 EUR se sostiene con ingresos cayendo un 1,3 % al año en FY2027-FY2035e (frente al +2,0 % del base) o con un margen EBITDA del 3,0 % (frente al 3,6 %); la rentabilidad implícita para el comprador es del 9,0 %. El precio no es exigente sobre flujos: lo caro es el múltiplo frente a su propia historia. La conclusión depende de la caja flotante: si se contara al nominal (≈2.500 M) el DCF subiría a ≈57 EUR; si no se contara nada, bajaría a ≈38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y España aceleran la caída del volumen, un fabricante renegocia tarifas y el BCE baja tipos: el EBIT se estanca y los ingresos financieros caen a ≈55 M. El mercado vuelve a pagar el PER de 2022 (8,9x).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+2,5 % con precio por impuestos, EBIT ajustado +3-4 % y ingresos financieros estables en ≈70 M: BPA de 2,24 EUR en FY2028e y dividendo de 2,09-2,15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en farma que suman EBIT, productos de nueva generación que compensan el cigarrillo y tipos estables: BPA de 2,40 EUR, cerca del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42,68 EUR (+19,0 %).</w:t>
      </w:r>
    </w:p>
    <w:p>
      <w:pPr>
        <w:spacing w:after="100"/>
      </w:pPr>
      <w:r>
        <w:t xml:space="preserve">El DCF de los tres escenarios queda en 30,92, 43,45 y 52,91 EUR: dos de los tres por encima del precio. La asimetría a 12 meses, en cambio, es mala (0,33x: +22,3 % en el alcista frente a −43,2 % en el bajista) porque la acción cotiza al PER más alto de su historia y el bajista aplica el mínimo de cinco años (8,9x). Las dos lecturas no se contradicen: el negocio vale más que el precio a largo plazo, pero el múltiplo ya ha corrido.</w:t>
      </w:r>
    </w:p>
    <w:p>
      <w:pPr>
        <w:pStyle w:val="Heading1"/>
      </w:pPr>
      <w:r>
        <w:t xml:space="preserve">22. Suma de partes</w:t>
      </w:r>
    </w:p>
    <w:p>
      <w:pPr>
        <w:pStyle w:val="Confianza"/>
        <w:spacing w:after="100"/>
      </w:pPr>
      <w:r>
        <w:t xml:space="preserve">Confianza: Baja</w:t>
      </w:r>
    </w:p>
    <w:p>
      <w:pPr>
        <w:spacing w:after="100"/>
      </w:pPr>
      <w:r>
        <w:t xml:space="preserve">No se aplica: los segmentos por región no publican EBIT en las fuentes accesibles, y la parte separable relevante (la caja flotante) ya va en el puente.</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3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43,22 EUR (+20,5 % sobre 35,86).</w:t>
      </w:r>
    </w:p>
    <w:p>
      <w:pPr>
        <w:spacing w:after="100"/>
      </w:pPr>
      <w:r>
        <w:t xml:space="preserve">Pesamos el DCF al 70 % y los escenarios al 30 %; comparables y transacciones a 0 porque no hay cotizadas equivalentes y las compras de Logista no publican múltiplo. La partida que más mueve el valor es la caja flotante: entre 0 y 2.500 M según cómo se trate (±19 EUR por acción). La contamos por el valor de sus intereses (730 M), que es lo que el accionista cobra de ella. El valor intrínseco, 43,22 EUR, queda un 20,5 %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(16.5x) a mitad de camino hacia abajo, hacia la mediana de 5 años (12.1x)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bl>
    <w:p>
      <w:pPr>
        <w:spacing w:after="160" w:before="0"/>
      </w:pPr>
    </w:p>
    <w:p>
      <w:pPr>
        <w:spacing w:after="100"/>
      </w:pPr>
      <w:r>
        <w:rPr>
          <w:b/>
          <w:bCs/>
        </w:rPr>
        <w:t xml:space="preserve">Objetivo a 12 meses (ponderado):</w:t>
      </w:r>
      <w:r>
        <w:t xml:space="preserve"> 30,79 EUR · rentabilidad -8,3 % (base -6,1 %) · señal Mantener.</w:t>
      </w:r>
    </w:p>
    <w:p>
      <w:pPr>
        <w:keepNext/>
        <w:spacing w:after="100"/>
      </w:pPr>
      <w:r>
        <w:rPr>
          <w:b/>
          <w:bCs/>
        </w:rPr>
        <w:t xml:space="preserve">Frente al consenso (solo contraste).</w:t>
      </w:r>
    </w:p>
    <w:p>
      <w:pPr>
        <w:spacing w:after="100"/>
      </w:pPr>
      <w:r>
        <w:t xml:space="preserve">Nuestro BPA del FY2028e (2,24 EUR) queda un 7 % por debajo del de MarketScreener (2,42) [32]: no damos compras ni subida de los ingresos financieros. El de FY2026e-FY2027e coincide (2,11-2,17 frente a 2,12-2,17). Nuestro precio base (31,58 EUR) está un 3 % por debajo del objetivo medio (32,54 EUR, julio) [35], y los dos quedan por debajo de la cotización: el mercado ha subido más rápido que los objetivos (JB Capital acaba de subir a 35,50 EUR, aún por debajo del precio [29]).</w:t>
      </w:r>
    </w:p>
    <w:p>
      <w:pPr>
        <w:keepNext/>
        <w:spacing w:after="100"/>
      </w:pPr>
      <w:r>
        <w:rPr>
          <w:b/>
          <w:bCs/>
        </w:rPr>
        <w:t xml:space="preserve">Del valor intrínseco al objetivo a 12 meses.</w:t>
      </w:r>
    </w:p>
    <w:p>
      <w:pPr>
        <w:spacing w:after="100"/>
      </w:pPr>
      <w:r>
        <w:t xml:space="preserve">El objetivo a 12 meses (30,79 EUR ponderado; 31,58 EUR en el base) queda un 29 % por debajo del valor intrínseco (43,22 EUR). La distancia la explica el múltiplo: el DCF capitaliza un flujo estable de ≈300 M al 7,33 % menos un 1 % de crecimiento (≈16x el beneficio), mientras que la regla lleva el PER de hoy (16,5x) a mitad de camino hacia la mediana de cinco años (12,1x), años en los que Logista cotizó barata con tipos altos. Si el mercado ha recalificado de forma permanente a Logista como un «bono» con dividendo asegurado y tipos a la baja, el DCF tiene razón y la regla se queda corta; si vuelve a su historia, la acción pierde un 10-15 % aunque el negocio cumpla.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FY2026 y guía del FY2027 (fecha estimada por el calendario de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 la guía de EBIT ajustado y nuevo suelo de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complementario del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al menos 2,09 EUR (≈1,51 EUR complementario)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 la línea de tesorería con Imperial (vence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la remuneración de la caja flotante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farma o productos de nueva generación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inorgánico anunciado por el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directiva europea de impuestos al tabaco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precio (inventarios +) y volumen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PER a su historia (12x)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−25 % (bajista a 12 meses: −43,2 %)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los tipos a largo o de la rentabilidad de los bonos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del BCE (ingresos financieros de la caja flotante)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BPA por cada 50 pb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≈50 % con Imperial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Euribor a 6 meses por debajo del 1,75 %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línea con Imperial en peores condiciones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Imperial necesita a Logista como distribuidor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por debajo de Euribor + 75 pb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 (Francia,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impuestos y productos de nueva generación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económicas de Francia por debajo de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Renegociación de tarifas con un gran fabricante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y escala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 cambio de contrato de distribución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caras en farma o transporte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más de 12x EBITDA</w:t>
            </w:r>
          </w:p>
        </w:tc>
      </w:tr>
    </w:tbl>
    <w:p>
      <w:pPr>
        <w:spacing w:after="160" w:before="0"/>
      </w:pPr>
    </w:p>
    <w:p>
      <w:pPr>
        <w:pStyle w:val="Heading2"/>
      </w:pPr>
      <w:r>
        <w:t xml:space="preserve">Pre-mortem</w:t>
      </w:r>
    </w:p>
    <w:p>
      <w:pPr>
        <w:spacing w:after="100"/>
      </w:pPr>
      <w:r>
        <w:t xml:space="preserve">Octubre de 2027: la acción ha perdido un 25 % y está en 27 EUR. Nada fue mal en el negocio: el EBIT ajustado creció un 3 % y el dividendo se mantuvo en 2,09 EUR. Pero los tipos a largo subieron, el dividendo del 5,8 % dejó de ser escaso y el mercado volvió a pagar el PER de 12-13x de 2021-2025; a la vez, Imperial renovó la línea de tesorería con un diferencial menor y los ingresos financieros bajaron. La señal que lo anticipaba: el PER adelantado de 16,5x, el máximo de su historia, sin un cambio en el crecimiento que lo justificara.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exposición al tabaco excluye a Logista de muchos fondos ESG; la flota de transporte y los almacenes concentran las emisiones.</w:t>
      </w:r>
    </w:p>
    <w:p>
      <w:pPr>
        <w:pStyle w:val="Heading2"/>
      </w:pPr>
      <w:r>
        <w:t xml:space="preserve">Controversias</w:t>
      </w:r>
    </w:p>
    <w:p>
      <w:pPr>
        <w:spacing w:after="100"/>
      </w:pPr>
      <w:r>
        <w:t xml:space="preserve">Sin controversias relevantes localizadas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la caja media prestada a Imperial en el FY2026 y qué tipo efectivo cobró, incluida la cobertura?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±19 EUR por acción el valor según cómo se trate y ≈25 %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Línea con Imperial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se negocian para la renovación de 2027 y quién aprueba la operación vinculada?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operación con el accionista de control más relevante.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suelo de dividendo para el FY2027 por encima de 2,09 EUR, con payout del 99 %?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está pagando.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caída de volumen espera en Francia y qué parte compensan los productos de nueva generación?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que resta.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Adquisiciones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múltiplo está dispuesta a pagar por compras en farma y cuánto EBIT aportarían?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alcista depende de ellas.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«Seguimiento Logista (LOG)»)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dividendo que la tienen como valor «de cartera» por el 2,09 EUR asegurado; dudas sobre Francia y sobre la dependencia de Imperial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comentarios, «¿comprar con un 6,7 % de rentabilidad?»)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Caso de rentas: dividendo alto y estable, crecimiento bajo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en prensa (Alicante Plaza, Capital Bolsa)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Tendencia alcista sobre la media de 100 sesiones; confirmación por encima de 32,50 EUR [44,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Benzinga España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Dudas sobre la guía y poca tracción en bolsa (antes de la subida de 2026)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 2,09 EUR como «bono»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empresa lo garantiza para 2026 y el payout ya es del 99 %; a 35,86 EUR rinde un 5,8 %, menos que el 7 % de hace un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caja prestada a Imperial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financieros cayeron de 103 a 73 M; con el BCE estable el golpe ya está en el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tabaco en Francia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ventas económicas de Francia −2 % en nueve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por encima del objetivo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 Capital sube a 35,50 EUR y aun así queda por debajo del precio; consenso de 32,54 EUR [29, 35].</w:t>
            </w:r>
          </w:p>
        </w:tc>
      </w:tr>
    </w:tbl>
    <w:p>
      <w:pPr>
        <w:spacing w:after="160" w:before="0"/>
      </w:pPr>
    </w:p>
    <w:p>
      <w:pPr>
        <w:spacing w:after="100"/>
      </w:pPr>
      <w:r>
        <w:t xml:space="preserve">El particular ve a Logista como un bono con cupón del 6 %: el tono es positivo y mejora con la subida a máximos, sin euforia. La divergencia está con los analistas: el consenso es neutral (2 comprar, 3 vender) y el objetivo medio queda un 9 % por debajo del precio [25, 35]. No aporta cifras ni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45 (10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del puente = la del último balance anual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-884 frente a -154 en el balance del mismo cierre: revisa qué partidas entran en cada uno. Explicación: El puente suma a la tesorería en bancos (175 M) el valor de la caja flotante prestada a Imperial, valorada como renta perpetua de sus intereses después de impuestos (≈730 M, estimación propia), porque es flotante de impuestos que no se puede repartir. El balance de los agregadores solo recoge la tesorería en bancos.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8, 26,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(crédito a Imperial al cierre, circulante, deuda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resultados FY25 y cuentas intermedias FY26 en búsqueda; 2) Fintel, Simply Wall St y Stock Analysis; 3) prensa (Merca2, Bankinter): solo caja media estimada por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(EBITDA y EBIT FY2021-FY2023, resultado financiero, impuestos,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FY23-FY25; 2) Stock Analysis y TipRanks; 3) MarketScreener: solo ingresos, beneficio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(ventas económicas y EBIT ajustado por región,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FY24-FY25; 2) prensa de resultados: solo ventas económicas FY2024 (Iberia 1.144, Italia 402, Francia 216 M); 3) sin serie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los informes anuales; 2) TipRanks y Stock Analysis (series sin asignación clara a ejercicios); 3) Investing: solo FCF FY2024-FY2025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distribución de tabaco en el sur de Europa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Estadísticas del Comisionado para el Mercado de Tabacos y de las aduanas italiana y francesa en búsqueda; 2) informes sectoriales; 3) presentaciones de Logista: sin cifra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competidores cotizados equivalentes; 2) distribuidores farmacéuticos (no cotizan); 3) operadores de transporte: márgenes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votos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búsqueda; 2) CNMV (sin acceso desde este entorno); 3) prensa de la junta de febrero de 2026: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y rentabilidades frente al IBEX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 Investing en búsqueda; 3) prensa: solo cierres anuales y rango de 52 semanas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Logista (El Mosca, farma): sin importes en los extractos; 2) operaciones de distribuidores de tabaco en Europa; 3) prensa: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oficial del 13 o 14-oct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Madrid (sin acceso); 2) Bolsamanía (35,36 EUR el 9-oct); 3) XTB, 13-oct por la mañana: 35,86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2) Seeking Alpha; 3) Stocktwits: sin hilos recientes en los extractos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(caja flotante prestada a Imperial al 30-sep-25)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resultados FY25 en búsqueda; 2) balance de Fintel y Simply Wall St (solo tesorería en bancos); 3) Merca2 y Bankinter: caja media de 2.200-2.700 M estimada por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resultados FY25 (ejercicio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https://pro-logista.adobe.logista.com/content/dam/documents/logista-corporate/other-relevant-information/es/2025/Anuncio%20de%20Resultados%20FY25%20VF.pdf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https://www.logista.com/content/dam/documents/logista-corporate/economic-financial-information/results-presentations/en/2025/FY-2025%20Results%20Presentation%20VF.pdf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condensados 1S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https://www.logista.com/content/dam/documents/logista-corporate/economic-financial-information/financial-reports/es/Logista%20EEFF%20intermedios%20condensados%20FY26.pdf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de Logista cae un 9,9 % en su primer semestre fiscal y los ingresos suben un 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https://www.bolsamania.com/noticias/empresas/beneficio-logista-cae-99-primer-semestre-fiscal-ingresos-suben-26--22386980.html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guanya 210 milions durant els nou mesos del seu any fiscal (−1,8 %) i aprova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https://www.bolsamania.com/noticias_print/resultados-anuncios/logista-guanya-210-milions-durant-els-nou-mesos-del-seu-any-fiscal--18-i-aprova-dividend--23117511.html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recupera parte de lo perdido en el tercer trimestre de su ejercicio fiscal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https://www.alimarket.es/logistica/noticia/429625/logista-recupera-parte-de-lo-perdido-en-el-tercer-trimestre-de-su-ejercicio-fiscal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308 millones en su ejercicio fiscal 2024, un 13,2 % más (ventas económicas 1.757 M, EBIT ajustado 385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https://www.merca2.es/2024/11/06/logista-dividendo-complementario-2057835/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incrementa su beneficio un 37 % en el año fiscal, hasta 272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https://www.bolsamania.com/noticias/resultados-anuncios/logista-incrementa-beneficio-37-ano-fiscal-272-millones--15249792.html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(BME:LOG): income statement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https://stockanalysis.com/quote/bme/LOG/financials/income-statement/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(LOG.MC): ingresos y BPA FY2018-FY2020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https://www.roic.ai/quote/LOG.MC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income statement y cash flow (BPA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https://www.tipranks.com/stocks/es:log/financials/income-statement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https://fintel.io/bs/mx/log%20n?t=annual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balance sheet health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https://simplywall.st/stocks/gb/transportation/bats-chixe-loge/logista-integral-shares/health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FY2025: free cash flow 483 M EUR, capex 54 M, arrendamientos 76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https://www.investing.com/equities/logista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ofrece una oportunidad en crecimiento inorgánico y un dividendo atractivo (ingresos financieros 73 M frente a 103 M; caja media 2.700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https://www.merca2.es/2025/11/28/logista-crecimiento-inorganico-2328436/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214 millones hasta su tercer trimestre fiscal, un 9,7 % menos (ingresos financieros 51 M frente a 77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https://www.estrategiasdeinversion.com/actualidad/noticias/bolsa-espana/logista-gana-214-millones-hasta-su-tercer-trimestre-n-832049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alcanza el 73,33 % del grupo El Mosca y amplía su financiación con Imperial Brands (línea de 3.000 M a Euribor 6 m + 75 pb)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Alimarket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https://www.alimarket.es/logistica/noticia/375620/logista-alcanza-el-73-33--del-grupo-el-mosca-y-amplia-su-financiacion-con-imperial-brands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Pedro Losada (CFO): «somos capaces de mantener…» (cobertura de tipos ≈50 % con Imperial)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https://www.estrategiasdeinversion.com/analisis/bolsa-y-mercados/el-experto-opina/pedro-losada-cfo-logista-somos-capaces-de-mantener-n-767121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approves a total dividend of €277 million, the same as last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https://pro-logista.adobe.logista.com/en/home/media/press-releases/20260204.html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increases its interim dividend by 3,6 % to a gross €0.58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https://www.logista.com/en/home/media/press-releases/20260724.html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and share capital information (132.750.000 acciones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https://www.logista.com/en/home/investors-shareholders/share-prices/social-capital.html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un 8,4 % menos pero mantiene previsiones (1T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https://www.estrategiasdeinversion.com/actualidad/noticias/bolsa-espana/logista-gana-un-84-menos-pero-mantiene-previsiones-n-886945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Pedro Losada: tenemos elevada capacidad de generación de caja, balance sólido y retribución al accionista atractiva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https://www.vozpopuli.com/economia/pedro-losada-tenemos-elevada-capacidad-de-generacion-de-caja-balance-solido-y-retribucion-al-accionista-atractiva.html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Imperial sells part of Logista stake to cut debt (queda con el 50,01 %)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https://www.globalcapital.com/article/28msrwf3i64sdcccb2b7i/equity/abbs-block-trades/imperial-sells-part-of-logista-stake-to-cut-debt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Logista: análisis de Bankinter (EBIT ajustado +4/+6 % en 2026,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Bankinter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https://www.bankinter.com/blog/empresas/resultados-logista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gana un 9,9 % menos en su primer semestre, pero ratifica la política de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https://www.estrategiasdeinversion.com/actualidad/noticias/bolsa-espana/logista-gana-un-99-menos-en-su-primer-semestre-n-913031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https://www.logista.com/content/dam/documents/logista-corporate/informe-anual-qrs/es/InformeAnualGobiernoCorporativo2021.pdf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https://www.logista.com/content/dam/documents/logista-corporate/informe-anual-qrs/es/InformeAnualGobiernoCorporativo2022.pdf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Logista suben y rozan máximos de septiembre (JB Capital eleva objetivo a 35,50 EUR; 35,86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https://www.xtb.com/es/analisis-de-mercado/las-acciones-de-logista-lideran-el-indice-espanol-que-ha-ocurrido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Logista Integral (9-oct-2026: 35,36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https://www.bolsamania.com/accion/LOGISTA-INTEGRAL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Integral (CDNIF / LOG.MC): rango de 52 semanas 28,74-36,90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https://es.finance.yahoo.com/quote/CDNIF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Holdings: valuation (PER, capitalización y BPA FY2021-FY2028e, ejercicio a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https://marketscreener.com/quote/stock/LOGISTA-HOLDINGS-184385162/valuation-dividend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Holdings: valorisation (capitalización 2022 2.459 M y 2023 3.190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https://www.zonebourse.com/cours/action/LOGISTA-HOLDINGS-120797837/valorisation/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2020: creación de valor para el accionista (cotización al cierre del ejercicio 2020: 14,6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https://www.logista.com/es/ia/en/creating-value-for-shareholders-and-investors.html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(LOG): consenso de analistas (11 analistas, objetivo medio 32,54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https://it.investing.com/equities/logista-consensus-estimates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logística (Kuehne+Nagel, DHL, GXO, NX, ID Logistics) del informe de DSV del repositorio (7-oct-2026,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Imperial Brands (IMBBF): forward P/E 9,50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https://uk.finance.yahoo.com/quote/IMBBF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LOG/EUR: cierres anuales (diciembre)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https://tradersunion.com/currencies/price-history/log-eur/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Seguimiento de Logista (LOG)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https://www.rankia.com/foros/bolsa/temas/2355570-seguimiento-logista-log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dudas de algunos analistas sobre la guía y poca tracción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https://es.benzinga.com/?p=313340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 rendimento de 6,7 %, as ações da Logista são uma opção de compra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https://www.tikr.com/pt/blog/yielding-6-7-is-logista-stock-a-buy-for-2026?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un valor al alza cotizando muy por encima de la media móvil de 100 periodos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Alicante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https://alicanteplaza.es/alicanteplaza/logistaunvaloralalzacotizandomuyporencimadelamediamovilde100periodos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LOGISTA: confirmación alcista cierre &gt;32,50 EUR; alerta cierre &lt;28,50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Bolsa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https://www.bolsamania.com/capitalbolsa/noticias/analisis-tecnico/logista-confirmacion-alcista-cierre-3250-euro-alerta-cierre-2850-euro--21454203.html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72,5 %</w:t>
      </w:r>
      <w:r>
        <w:t xml:space="preserve"> · Secciones con menos del 60 % de campos cubiertos: </w:t>
      </w:r>
      <w:r>
        <w:rPr>
          <w:b/>
          <w:bCs/>
        </w:rPr>
        <w:t xml:space="preserve">directivos, gobierno, transacciones, calidad, balance, bolsa</w:t>
      </w:r>
      <w:r>
        <w:t xml:space="preserve"> · Generado el 14 oct 2026.</w:t>
      </w:r>
    </w:p>
    <w:p>
      <w:pPr>
        <w:pStyle w:val="Nota"/>
        <w:spacing w:after="100"/>
      </w:pPr>
      <w:r>
        <w:t xml:space="preserve">Análisis hecho desde la nube con la red limitada a la búsqueda web: la web de Logista, la CNMV y los proveedores de datos no se pudieron abrir, así que las cifras salen de extractos de búsqueda de las notas de resultados, de la prensa económica (Europa Press, Alimarket, Merca2) y de agregadores (Stock Analysis, MarketScreener, roic.ai, TipRanks, Fintel), cruzadas cuando fue posible; lo que no cuadró está en null y en los huecos. Confianza de los datos de núcleo: baja. Precio: 35,86 EUR del 13-oct-2026 (XTB, por la mañana), no un cierre oficial de la Bolsa de Madrid. Ejercicio de octubre a septiembre, con la etiqueta del año en que termina (FY2025 = oct-24 a sep-25). Ingresos brutos con impuestos especiales y producto repercutidos: los márgenes sobre ingresos son bajos por construcción; la medida de gestión son las ventas económicas. EBITDA = EBIT publicado + amortización (estimación propia). El balance de los agregadores no separa el crédito a Imperial (la caja flotante, ≈2.000-2.700 M) ni el circulante. La caja del puente es la tesorería en bancos más el valor de la renta de intereses de la caja flotante (estimación propia, 730 M), no su importe nominal. Comparables tomados de los informes de DSV y Rentokil del repositorio (7-oct).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Compañía de Distribución Integral Logista Holdings, S.A. (LOG)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Hoja1!$B$2:$B$8</c:f>
              <c:numCache>
                <c:formatCode>#,##0.0</c:formatCode>
                <c:ptCount val="7"/>
                <c:pt idx="0">
                  <c:v>28.74</c:v>
                </c:pt>
                <c:pt idx="1">
                  <c:v>26.7</c:v>
                </c:pt>
                <c:pt idx="2">
                  <c:v>29.75</c:v>
                </c:pt>
                <c:pt idx="3">
                  <c:v>39.41</c:v>
                </c:pt>
                <c:pt idx="4">
                  <c:v>30.92</c:v>
                </c:pt>
                <c:pt idx="5">
                  <c:v>45.14</c:v>
                </c:pt>
                <c:pt idx="6">
                  <c:v>35.68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Hoja1!$C$2:$C$8</c:f>
              <c:numCache>
                <c:formatCode>#,##0.0</c:formatCode>
                <c:ptCount val="7"/>
                <c:pt idx="0">
                  <c:v>8.16</c:v>
                </c:pt>
                <c:pt idx="1">
                  <c:v>8.3</c:v>
                </c:pt>
                <c:pt idx="2">
                  <c:v>17.439999999999998</c:v>
                </c:pt>
                <c:pt idx="3">
                  <c:v>9.560000000000002</c:v>
                </c:pt>
                <c:pt idx="4">
                  <c:v>21.989999999999995</c:v>
                </c:pt>
                <c:pt idx="5">
                  <c:v>7.549999999999997</c:v>
                </c:pt>
                <c:pt idx="6">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2</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Logista</c:v>
                </c:pt>
                <c:pt idx="1">
                  <c:v>Distribución propia de los fabricantes</c:v>
                </c:pt>
                <c:pt idx="2">
                  <c:v>Distribuidores farmacéuticos (Cofares, Alliance Healthcare)</c:v>
                </c:pt>
                <c:pt idx="3">
                  <c:v>Operadores de transporte (DHL, GXO, ID Logistics)</c:v>
                </c:pt>
              </c:strCache>
            </c:strRef>
          </c:cat>
          <c:val>
            <c:numRef>
              <c:f>Hoja1!$B$2:$B$5</c:f>
              <c:numCache>
                <c:formatCode>0.0"%"</c:formatCode>
                <c:ptCount val="4"/>
                <c:pt idx="0">
                  <c:v>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10816</c:v>
                </c:pt>
                <c:pt idx="1">
                  <c:v>11464</c:v>
                </c:pt>
                <c:pt idx="2">
                  <c:v>12427</c:v>
                </c:pt>
                <c:pt idx="3">
                  <c:v>12985</c:v>
                </c:pt>
                <c:pt idx="4">
                  <c:v>13535</c:v>
                </c:pt>
                <c:pt idx="5">
                  <c:v>13873</c:v>
                </c:pt>
                <c:pt idx="6">
                  <c:v>14220</c:v>
                </c:pt>
                <c:pt idx="7">
                  <c:v>14576</c:v>
                </c:pt>
                <c:pt idx="8">
                  <c:v>14940</c:v>
                </c:pt>
                <c:pt idx="9">
                  <c:v>15239</c:v>
                </c:pt>
                <c:pt idx="10">
                  <c:v>15544</c:v>
                </c:pt>
                <c:pt idx="11">
                  <c:v>15855</c:v>
                </c:pt>
                <c:pt idx="12">
                  <c:v>16092</c:v>
                </c:pt>
                <c:pt idx="13">
                  <c:v>16334</c:v>
                </c:pt>
                <c:pt idx="14">
                  <c:v>16579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3">
                  <c:v>490</c:v>
                </c:pt>
                <c:pt idx="4">
                  <c:v>488</c:v>
                </c:pt>
                <c:pt idx="5">
                  <c:v>499</c:v>
                </c:pt>
                <c:pt idx="6">
                  <c:v>512</c:v>
                </c:pt>
                <c:pt idx="7">
                  <c:v>525</c:v>
                </c:pt>
                <c:pt idx="8">
                  <c:v>538</c:v>
                </c:pt>
                <c:pt idx="9">
                  <c:v>549</c:v>
                </c:pt>
                <c:pt idx="10">
                  <c:v>560</c:v>
                </c:pt>
                <c:pt idx="11">
                  <c:v>571</c:v>
                </c:pt>
                <c:pt idx="12">
                  <c:v>579</c:v>
                </c:pt>
                <c:pt idx="13">
                  <c:v>588</c:v>
                </c:pt>
                <c:pt idx="14">
                  <c:v>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3.8</c:v>
                </c:pt>
                <c:pt idx="4">
                  <c:v>3.6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3">
                  <c:v>2.5</c:v>
                </c:pt>
                <c:pt idx="4">
                  <c:v>2.3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1.6</c:v>
                </c:pt>
                <c:pt idx="1">
                  <c:v>1.7</c:v>
                </c:pt>
                <c:pt idx="2">
                  <c:v>2.2</c:v>
                </c:pt>
                <c:pt idx="3">
                  <c:v>2.4</c:v>
                </c:pt>
                <c:pt idx="4">
                  <c:v>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1T26</c:v>
                </c:pt>
                <c:pt idx="1">
                  <c:v>1S26</c:v>
                </c:pt>
                <c:pt idx="2">
                  <c:v>9M26</c:v>
                </c:pt>
              </c:strCache>
            </c:strRef>
          </c:cat>
          <c:val>
            <c:numRef>
              <c:f>Hoja1!$B$2:$B$4</c:f>
              <c:numCache>
                <c:formatCode>0.0"%"</c:formatCode>
                <c:ptCount val="3"/>
                <c:pt idx="1">
                  <c:v>2.6</c:v>
                </c:pt>
                <c:pt idx="2">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FY2024</c:v>
                </c:pt>
                <c:pt idx="1">
                  <c:v>FY2025</c:v>
                </c:pt>
              </c:strCache>
            </c:strRef>
          </c:cat>
          <c:val>
            <c:numRef>
              <c:f>Hoja1!$B$2:$B$3</c:f>
              <c:numCache>
                <c:formatCode>#,##0</c:formatCode>
                <c:ptCount val="2"/>
                <c:pt idx="1">
                  <c:v>483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FY2024</c:v>
                </c:pt>
                <c:pt idx="1">
                  <c:v>FY2025</c:v>
                </c:pt>
              </c:strCache>
            </c:strRef>
          </c:cat>
          <c:val>
            <c:numRef>
              <c:f>Hoja1!$C$2:$C$3</c:f>
              <c:numCache>
                <c:formatCode>#,##0</c:formatCode>
                <c:ptCount val="2"/>
                <c:pt idx="0">
                  <c:v>308</c:v>
                </c:pt>
                <c:pt idx="1">
                  <c:v>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55.7</c:v>
                </c:pt>
                <c:pt idx="4">
                  <c:v>49.6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7.3</c:v>
                </c:pt>
                <c:pt idx="1">
                  <c:v>7.3</c:v>
                </c:pt>
                <c:pt idx="2">
                  <c:v>7.3</c:v>
                </c:pt>
                <c:pt idx="3">
                  <c:v>7.3</c:v>
                </c:pt>
                <c:pt idx="4">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33.4</c:v>
                </c:pt>
                <c:pt idx="1">
                  <c:v>36.7</c:v>
                </c:pt>
                <c:pt idx="2">
                  <c:v>47.2</c:v>
                </c:pt>
                <c:pt idx="3">
                  <c:v>49.8</c:v>
                </c:pt>
                <c:pt idx="4">
                  <c:v>43.7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3">
                  <c:v>-0.34</c:v>
                </c:pt>
                <c:pt idx="4">
                  <c:v>-0.32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1">
                  <c:v>277</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Imperial Brands (Imperial Tobacco Ltd.)</c:v>
                </c:pt>
              </c:strCache>
            </c:strRef>
          </c:cat>
          <c:val>
            <c:numRef>
              <c:f>Hoja1!$B$2</c:f>
              <c:numCache>
                <c:formatCode>0.0"%"</c:formatCode>
                <c:ptCount val="1"/>
                <c:pt idx="0">
                  <c:v>50.01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-21.1</c:v>
                </c:pt>
                <c:pt idx="1">
                  <c:v>10.5</c:v>
                </c:pt>
                <c:pt idx="2">
                  <c:v>34.6</c:v>
                </c:pt>
                <c:pt idx="3">
                  <c:v>3.7</c:v>
                </c:pt>
                <c:pt idx="4">
                  <c:v>19.3</c:v>
                </c:pt>
                <c:pt idx="5">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Logista</c:v>
                </c:pt>
                <c:pt idx="1">
                  <c:v>Kuehne+Nagel</c:v>
                </c:pt>
                <c:pt idx="2">
                  <c:v>DHL Group</c:v>
                </c:pt>
                <c:pt idx="3">
                  <c:v>GXO Logistics</c:v>
                </c:pt>
                <c:pt idx="4">
                  <c:v>NX Holdings</c:v>
                </c:pt>
                <c:pt idx="5">
                  <c:v>ID Logistics</c:v>
                </c:pt>
                <c:pt idx="6">
                  <c:v>Bunzl</c:v>
                </c:pt>
                <c:pt idx="7">
                  <c:v>Imperial Brands</c:v>
                </c:pt>
              </c:strCache>
            </c:strRef>
          </c:cat>
          <c:val>
            <c:numRef>
              <c:f>Hoja1!$B$2:$B$9</c:f>
              <c:numCache>
                <c:formatCode>0.0"x"</c:formatCode>
                <c:ptCount val="8"/>
                <c:pt idx="1">
                  <c:v>12.2</c:v>
                </c:pt>
                <c:pt idx="2">
                  <c:v>6.8</c:v>
                </c:pt>
                <c:pt idx="3">
                  <c:v>7.3</c:v>
                </c:pt>
                <c:pt idx="4">
                  <c:v>5.3</c:v>
                </c:pt>
                <c:pt idx="5">
                  <c:v>4.7</c:v>
                </c:pt>
                <c:pt idx="6">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Kuehne+Nagel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2.9</c:v>
                </c:pt>
              </c:numCache>
            </c:numRef>
          </c:xVal>
          <c:yVal>
            <c:numRef>
              <c:f>Hoja1!$C$2</c:f>
              <c:numCache>
                <c:formatCode>0.0"x"</c:formatCode>
                <c:ptCount val="1"/>
                <c:pt idx="0">
                  <c:v>12.2</c:v>
                </c:pt>
              </c:numCache>
            </c:numRef>
          </c:yVal>
          <c:smooth val="0"/>
        </c:ser>
        <c:ser>
          <c:idx val="1"/>
          <c:order val="1"/>
          <c:tx>
            <c:strRef>
              <c:f>Hoja1!$A$3</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4.2</c:v>
                </c:pt>
              </c:numCache>
            </c:numRef>
          </c:xVal>
          <c:yVal>
            <c:numRef>
              <c:f>Hoja1!$C$3</c:f>
              <c:numCache>
                <c:formatCode>0.0"x"</c:formatCode>
                <c:ptCount val="1"/>
                <c:pt idx="0">
                  <c:v>6.8</c:v>
                </c:pt>
              </c:numCache>
            </c:numRef>
          </c:yVal>
          <c:smooth val="0"/>
        </c:ser>
        <c:ser>
          <c:idx val="2"/>
          <c:order val="2"/>
          <c:tx>
            <c:strRef>
              <c:f>Hoja1!$A$4</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7.3</c:v>
                </c:pt>
              </c:numCache>
            </c:numRef>
          </c:yVal>
          <c:smooth val="0"/>
        </c:ser>
        <c:ser>
          <c:idx val="3"/>
          <c:order val="3"/>
          <c:tx>
            <c:strRef>
              <c:f>Hoja1!$A$5</c:f>
              <c:strCache>
                <c:ptCount val="1"/>
                <c:pt idx="0">
                  <c:v>NX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5.3</c:v>
                </c:pt>
              </c:numCache>
            </c:numRef>
          </c:yVal>
          <c:smooth val="0"/>
        </c:ser>
        <c:ser>
          <c:idx val="4"/>
          <c:order val="4"/>
          <c:tx>
            <c:strRef>
              <c:f>Hoja1!$A$6</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12.5</c:v>
                </c:pt>
              </c:numCache>
            </c:numRef>
          </c:xVal>
          <c:yVal>
            <c:numRef>
              <c:f>Hoja1!$C$6</c:f>
              <c:numCache>
                <c:formatCode>0.0"x"</c:formatCode>
                <c:ptCount val="1"/>
                <c:pt idx="0">
                  <c:v>4.7</c:v>
                </c:pt>
              </c:numCache>
            </c:numRef>
          </c:yVal>
          <c:smooth val="0"/>
        </c:ser>
        <c:ser>
          <c:idx val="5"/>
          <c:order val="5"/>
          <c:tx>
            <c:strRef>
              <c:f>Hoja1!$A$7</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2.4</c:v>
                </c:pt>
              </c:numCache>
            </c:numRef>
          </c:xVal>
          <c:yVal>
            <c:numRef>
              <c:f>Hoja1!$C$7</c:f>
              <c:numCache>
                <c:formatCode>0.0"x"</c:formatCode>
                <c:ptCount val="1"/>
                <c:pt idx="0">
                  <c:v>8.9</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279</c:v>
                </c:pt>
                <c:pt idx="1">
                  <c:v>286</c:v>
                </c:pt>
                <c:pt idx="2">
                  <c:v>293</c:v>
                </c:pt>
                <c:pt idx="3">
                  <c:v>301</c:v>
                </c:pt>
                <c:pt idx="4">
                  <c:v>307</c:v>
                </c:pt>
                <c:pt idx="5">
                  <c:v>313</c:v>
                </c:pt>
                <c:pt idx="6">
                  <c:v>319</c:v>
                </c:pt>
                <c:pt idx="7">
                  <c:v>324</c:v>
                </c:pt>
                <c:pt idx="8">
                  <c:v>329</c:v>
                </c:pt>
                <c:pt idx="9">
                  <c:v>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2049</c:v>
                </c:pt>
                <c:pt idx="1">
                  <c:v>2824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35,86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30.92</c:v>
                </c:pt>
                <c:pt idx="1">
                  <c:v>43.45</c:v>
                </c:pt>
                <c:pt idx="2">
                  <c:v>52.91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35,86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Hoja1!$B$2:$B$8</c:f>
              <c:numCache>
                <c:formatCode>#,##0.0</c:formatCode>
                <c:ptCount val="7"/>
                <c:pt idx="0">
                  <c:v>28.74</c:v>
                </c:pt>
                <c:pt idx="1">
                  <c:v>26.7</c:v>
                </c:pt>
                <c:pt idx="2">
                  <c:v>29.75</c:v>
                </c:pt>
                <c:pt idx="3">
                  <c:v>39.41</c:v>
                </c:pt>
                <c:pt idx="4">
                  <c:v>30.92</c:v>
                </c:pt>
                <c:pt idx="5">
                  <c:v>45.14</c:v>
                </c:pt>
                <c:pt idx="6">
                  <c:v>35.68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(28,74 – 36,90)</c:v>
                </c:pt>
                <c:pt idx="1">
                  <c:v>Precio objetivo de los analistas (26,70 – 35,00)</c:v>
                </c:pt>
                <c:pt idx="2">
                  <c:v>Comparables: PER NTM (29,75 – 47,19)</c:v>
                </c:pt>
                <c:pt idx="3">
                  <c:v>DCF (WACC y g ± 0,5) (39,41 – 48,97)</c:v>
                </c:pt>
                <c:pt idx="4">
                  <c:v>Escenarios (bajista – alcista) (30,92 – 52,91)</c:v>
                </c:pt>
                <c:pt idx="5">
                  <c:v>DCF con la prima implícita del mercado (4,2 %)</c:v>
                </c:pt>
                <c:pt idx="6">
                  <c:v>Precio actual (35,86)</c:v>
                </c:pt>
              </c:strCache>
            </c:strRef>
          </c:cat>
          <c:val>
            <c:numRef>
              <c:f>Hoja1!$C$2:$C$8</c:f>
              <c:numCache>
                <c:formatCode>#,##0.0</c:formatCode>
                <c:ptCount val="7"/>
                <c:pt idx="0">
                  <c:v>8.16</c:v>
                </c:pt>
                <c:pt idx="1">
                  <c:v>8.3</c:v>
                </c:pt>
                <c:pt idx="2">
                  <c:v>17.439999999999998</c:v>
                </c:pt>
                <c:pt idx="3">
                  <c:v>9.560000000000002</c:v>
                </c:pt>
                <c:pt idx="4">
                  <c:v>21.989999999999995</c:v>
                </c:pt>
                <c:pt idx="5">
                  <c:v>7.549999999999997</c:v>
                </c:pt>
                <c:pt idx="6">
                  <c:v>0.35999999999999943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