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China Resources Sanjiu Medical &amp; Pharmaceutical Co., Ltd. (华润三九医药股份有限公司)</w:t>
      </w:r>
    </w:p>
    <w:p>
      <w:pPr>
        <w:spacing w:after="60"/>
        <w:rPr>
          <w:color w:val="52514E"/>
          <w:sz w:val="22"/>
          <w:szCs w:val="22"/>
        </w:rPr>
      </w:pPr>
      <w:r>
        <w:rPr>
          <w:color w:val="52514E"/>
          <w:sz w:val="22"/>
          <w:szCs w:val="22"/>
        </w:rPr>
        <w:t xml:space="preserve">000999 · Bolsa de Shenzhen, mercado principal (acciones A en CNY; en el Stock Connect hacia el norte) · ISIN CNE0000011K8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25,81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29,91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+19,8 % (base +21,3 %)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33,27 CNY · mercado 39,19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42.954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China Resources Sanjiu Medical &amp; Pharmaceutical Co., Ltd. (华润三九医药股份有限公司)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000999 / CNE0000011K8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Shenzhen, mercado principal (acciones A en CNY; en el Stock Connect hacia el norte)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 (medicina china y OTC)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Shenzhen (Guangdong) · 1985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https://www.999.com.cn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25,81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21,60 – 30,65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42.954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59.255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279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29,91 CNY</w:t>
      </w:r>
      <w:r>
        <w:t xml:space="preserve"> frente a 25,81 · Rentabilidad a 12 meses </w:t>
      </w:r>
      <w:r>
        <w:rPr>
          <w:b/>
          <w:bCs/>
        </w:rPr>
        <w:t xml:space="preserve">+19,8 % (base +21,3 %)</w:t>
      </w:r>
      <w:r>
        <w:t xml:space="preserve"> · Valor intrínseco 33,27 CNY · con la prima implícita del mercado: 39,19 (+51,8 %) · Alcista / bajista +49,7 % / -5,3 %</w:t>
      </w:r>
    </w:p>
    <w:p>
      <w:pPr>
        <w:spacing w:after="100"/>
      </w:pPr>
      <w:r>
        <w:rPr>
          <w:b/>
        </w:rPr>
        <w:t xml:space="preserve">La recomendación y por qué.</w:t>
      </w:r>
      <w:r>
        <w:t xml:space="preserve"> Comprar según la regla a 12 meses, con convicción baja, y </w:t>
      </w:r>
      <w:r>
        <w:rPr>
          <w:b/>
        </w:rPr>
        <w:t xml:space="preserve">no como compra robusta</w:t>
      </w:r>
      <w:r>
        <w:t xml:space="preserve">. Nuestro objetivo a 12 meses es de 29,91 CNY: +19,8 % con dividendo (+21,3 % en el caso base) frente a un precio de 25,81 CNY (cierre del 20-oct-2026 en Shenzhen) [33]. Pasa los umbrales con la regla vigente (v3), pero no con la de control (v2, historia al cierre: 14,9 %) ni con un BPA un 10 % peor (8,2 %): la acción robusta es Mantener. El límite de compra es de 26,88 CNY y el robusto, de 24,29 CNY, un 6 % bajo el precio. El valor intrínseco (33,27 CNY) está un 29 % por encima. La convicción es baja (el motor sugiere «alta») porque la compra no aguanta esas dos pruebas y la sostenibilidad es solo «en parte»; subiría si el 3T26 (24-oct) muestra que el CHC y KPC dejan de caer [43].</w:t>
      </w:r>
    </w:p>
    <w:p>
      <w:pPr>
        <w:spacing w:after="100"/>
      </w:pPr>
      <w:r>
        <w:rPr>
          <w:b/>
        </w:rPr>
        <w:t xml:space="preserve">El negocio.</w:t>
      </w:r>
      <w:r>
        <w:t xml:space="preserve"> CR Sanjiu es la mayor farmacéutica china de medicamentos sin receta (CHC): la marca 999 (Ganmaoling para el resfriado, Piyanping para la piel) se vende en casi todas las farmacias del país [1]. La otra mitad es receta (inyectables de medicina china, y desde 2025 Tasly, con Dantonic para el corazón) y KPC (Kunming Pharma, antipalúdicos y Sanqi), de la que tiene el 28 % [1, 3, 14]. La controla el Estado a través de China Resources Pharmaceutical (63,22 %) [6]. En 2025 vendió 31.603 M CNY (+14,4 %) y ganó 3.421 M (+1,6 %) [1]. </w:t>
      </w:r>
      <w:r>
        <w:rPr>
          <w:b/>
        </w:rPr>
        <w:t xml:space="preserve">Calidad: ROIC del 14,0 % frente a un WACC del 7,58 % (+6,4 puntos, pasa)</w:t>
      </w:r>
      <w:r>
        <w:t xml:space="preserve">, pero la </w:t>
      </w:r>
      <w:r>
        <w:rPr>
          <w:b/>
        </w:rPr>
        <w:t xml:space="preserve">sostenibilidad del crecimiento no pasa del todo («en parte»)</w:t>
      </w:r>
      <w:r>
        <w:t xml:space="preserve">: proyectamos +4,0-4,5 % al año en 2027-2029e en un mercado que crece un 1,7 % y eso exige que el CHC y KPC se recuperen, algo que aún no se ve [6].</w:t>
      </w:r>
    </w:p>
    <w:p>
      <w:pPr>
        <w:spacing w:after="100"/>
      </w:pPr>
      <w:r>
        <w:rPr>
          <w:b/>
        </w:rPr>
        <w:t xml:space="preserve">Finanzas y el ajuste.</w:t>
      </w:r>
      <w:r>
        <w:t xml:space="preserve"> El beneficio creció un 13 % anual en 2021-2025 con las compras de KPC y Tasly [1, 2, 3, 4, 5, 10]. En 2026 se frena: 1S26 con ventas +1,4 % y beneficio −8,0 %, y un 2T26 con ventas −13,5 % ya con Tasly en las dos bases; el CHC cae un 23,3 % por la ola de gripe débil y la menor afluencia a farmacias, la receta sube un 42,1 % por Tasly y KPC pierde ≈ 370 M [6, 7, 9, 22, 23]. Fondo de comercio de 7.063 M (KPC 1.129) [6, 13]. Tras pagar Tasly (6.212 M) la caja casi iguala a la deuda y reparte la mitad del beneficio [11, 12].</w:t>
      </w:r>
    </w:p>
    <w:p>
      <w:pPr>
        <w:spacing w:after="100"/>
      </w:pPr>
      <w:r>
        <w:rPr>
          <w:b/>
        </w:rPr>
        <w:t xml:space="preserve">Sector y gobierno.</w:t>
      </w:r>
      <w:r>
        <w:t xml:space="preserve"> Las compras centralizadas (VBP) bajan los precios de la receta y el CHC sufre la caída del tráfico en farmacias [20]; el nuevo prospecto de Ganmaoling (NMPA, julio) es ruido, no una retirada [19]. Empresa estatal: 4 independientes de 11 consejeros, 8 de 13 criterios de gobierno y operaciones con el grupo (factoring) aprobadas por la junta [1, 29, 30, 31].</w:t>
      </w:r>
    </w:p>
    <w:p>
      <w:pPr>
        <w:spacing w:after="100"/>
      </w:pPr>
      <w:r>
        <w:rPr>
          <w:b/>
        </w:rPr>
        <w:t xml:space="preserve">Valoración.</w:t>
      </w:r>
      <w:r>
        <w:t xml:space="preserve"> El DCF da 32,91 CNY; el precio descuenta ventas que caen un 1,0 % al año. El objetivo a 12 meses es nuestro BPA de 2028e (2,15 CNY, 12-17 % bajo el consenso) por un PER de 14,1x (el de hoy, 12,9x, con el tope de ×1,1), más el dividendo [15, 16, 34, 35]. Los analistas apuntan a 35,15 CNY.</w:t>
      </w:r>
    </w:p>
    <w:p>
      <w:pPr>
        <w:spacing w:after="100"/>
      </w:pPr>
      <w:r>
        <w:rPr>
          <w:b/>
        </w:rPr>
        <w:t xml:space="preserve">Qué puede ir mal y qué vigilar.</w:t>
      </w:r>
      <w:r>
        <w:t xml:space="preserve"> Que el CHC pierda tráfico de forma duradera y que las compras centralizadas alcancen a Dantonic: el bajista a 12 meses es de 21,24 CNY (−17,7 %). Riesgo de IA bajo: no sustituye medicamentos. Se compra desde IBKR por Stock Connect (000999, placa principal, comprable y vendible en la lista del 20-oct) [38, 39]. Veredicto de precio y noticias: </w:t>
      </w:r>
      <w:r>
        <w:rPr>
          <w:b/>
        </w:rPr>
        <w:t xml:space="preserve">no cambia</w:t>
      </w:r>
      <w:r>
        <w:t xml:space="preserve"> (la caída de 2026 se explica por la gripe, KPC y el CHC, ya en la tesis) [32].</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29,91 CNY</w:t>
      </w:r>
      <w:r>
        <w:t xml:space="preserve"> (rentabilidad +19,8 % (base +21,3 %)) · Valor intrínseco: 33,27 CNY (+28,9 % sobre 25,81) · con la prima implícita del mercado: 39,19 (+51,8 %)</w:t>
      </w:r>
    </w:p>
    <w:p>
      <w:pPr>
        <w:spacing w:after="100"/>
      </w:pPr>
      <w:r>
        <w:t xml:space="preserve">CR Sanjiu tiene la primera marca de medicamentos sin receta de China y un ROIC del 14 %, y cotiza a 12,9 veces nuestro BPA de 2027e, por debajo de su mínimo de cinco años (13,8x), con un 3,9 % de dividendo. El mercado descuenta ventas en caída; nosotros proyectamos un 2026 malo (−3,6 %) y una vuelta al +4 %. Con eso el objetivo a 12 meses da un 19,8 %, pero no aguanta la regla de control ni un BPA un 10 % peor: es una compra frágil, que solo sería robusta por debajo de 24,29 CNY.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1,88 = 21,24 · 14,1x × 2,15 = 30,32 · 16,0x × 2,36 = 37,76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 / 21,3 %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35,15 (nuestro base -13,7 %)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33,27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 /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7,6 %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39,19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frente a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32,8 %, asimetría de 9,38, bajista del -5,3 % y el precio descuenta 4,4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26,88 y 34,34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34,34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26,88 CNY: pasaríamos a Mantener; por encima de 28,11 CNY dejaría de pasar el filtro de mantener.</w:t>
      </w:r>
    </w:p>
    <w:p>
      <w:pPr>
        <w:pStyle w:val="ListParagraph"/>
        <w:numPr>
          <w:ilvl w:val="0"/>
          <w:numId w:val="2"/>
        </w:numPr>
        <w:spacing w:after="60"/>
      </w:pPr>
      <w:r>
        <w:t xml:space="preserve">Precio por debajo de 24,29 CNY: la compra sería robusta (pasa v3 y v2 con un BPA un 10 % peor).</w:t>
      </w:r>
    </w:p>
    <w:p>
      <w:pPr>
        <w:pStyle w:val="ListParagraph"/>
        <w:numPr>
          <w:ilvl w:val="0"/>
          <w:numId w:val="2"/>
        </w:numPr>
        <w:spacing w:after="60"/>
      </w:pPr>
      <w:r>
        <w:t xml:space="preserve">CHC del 3T26 por debajo del −20 % o KPC con más pérdidas que en el 1S26: bajaríamos el base y la recomendación a Mantener.</w:t>
      </w:r>
    </w:p>
    <w:p>
      <w:pPr>
        <w:pStyle w:val="ListParagraph"/>
        <w:numPr>
          <w:ilvl w:val="0"/>
          <w:numId w:val="2"/>
        </w:numPr>
        <w:spacing w:after="60"/>
      </w:pPr>
      <w:r>
        <w:t xml:space="preserve">Compras centralizadas para Dantonic o una nueva compra grande con deuda: subiríamos la prima de riesgo.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las ventas caen un 1,0 % al año para siempre: el CHC pierde tráfico y la receta se encoge con las compras centralizadas.</w:t>
      </w:r>
    </w:p>
    <w:p>
      <w:pPr>
        <w:keepNext/>
        <w:spacing w:after="100"/>
      </w:pPr>
      <w:r>
        <w:rPr>
          <w:b/>
          <w:bCs/>
        </w:rPr>
        <w:t xml:space="preserve">Lo que creemos nosotros.</w:t>
      </w:r>
    </w:p>
    <w:p>
      <w:pPr>
        <w:spacing w:after="100"/>
      </w:pPr>
      <w:r>
        <w:t xml:space="preserve">El 2026 es un mal año de gripe y de KPC, no un declive: el CHC vuelve al +2-3 % y Tasly aporta margen, con un margen EBITDA del 21 % desde 2028e.</w:t>
      </w:r>
    </w:p>
    <w:p>
      <w:pPr>
        <w:keepNext/>
        <w:spacing w:after="100"/>
      </w:pPr>
      <w:r>
        <w:rPr>
          <w:b/>
          <w:bCs/>
        </w:rPr>
        <w:t xml:space="preserve">Por qué podemos tener razón.</w:t>
      </w:r>
    </w:p>
    <w:p>
      <w:pPr>
        <w:spacing w:after="100"/>
      </w:pPr>
      <w:r>
        <w:t xml:space="preserve">El 4T25, con ola de gripe, el CHC creció un 22 %; la marca 999 sigue siendo la primera del país y Tasly tiene un margen bruto del 70,6 % [1, 9, 14].</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25,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Marca líder del CHC</w:t>
      </w:r>
      <w:r>
        <w:t xml:space="preserve">: 999 es la primera marca sin receta de China, con red en casi todas las farmacias [1].</w:t>
      </w:r>
    </w:p>
    <w:p>
      <w:pPr>
        <w:pStyle w:val="ListParagraph"/>
        <w:numPr>
          <w:ilvl w:val="0"/>
          <w:numId w:val="2"/>
        </w:numPr>
        <w:spacing w:after="60"/>
      </w:pPr>
      <w:r>
        <w:rPr>
          <w:b/>
        </w:rPr>
        <w:t xml:space="preserve">Barata frente a sí misma</w:t>
      </w:r>
      <w:r>
        <w:t xml:space="preserve">: 12,9 veces el BPA de 2027e frente a una mediana adelantada de 15,5 veces [32].</w:t>
      </w:r>
    </w:p>
    <w:p>
      <w:pPr>
        <w:pStyle w:val="ListParagraph"/>
        <w:numPr>
          <w:ilvl w:val="0"/>
          <w:numId w:val="2"/>
        </w:numPr>
        <w:spacing w:after="60"/>
      </w:pPr>
      <w:r>
        <w:rPr>
          <w:b/>
        </w:rPr>
        <w:t xml:space="preserve">Dividendo</w:t>
      </w:r>
      <w:r>
        <w:t xml:space="preserve">: reparte ≈ 50 % del beneficio (3,9 % de rentabilidad) y paga a cuenta en octubre [11, 12].</w:t>
      </w:r>
    </w:p>
    <w:p>
      <w:pPr>
        <w:pStyle w:val="ListParagraph"/>
        <w:numPr>
          <w:ilvl w:val="0"/>
          <w:numId w:val="2"/>
        </w:numPr>
        <w:spacing w:after="60"/>
      </w:pPr>
      <w:r>
        <w:rPr>
          <w:b/>
        </w:rPr>
        <w:t xml:space="preserve">Asimetría a largo plazo</w:t>
      </w:r>
      <w:r>
        <w:t xml:space="preserve">: el bajista del DCF vale 24,44 CNY (−5,3 %) y el alcista 38,63 (+49,7 %).</w:t>
      </w:r>
    </w:p>
    <w:p>
      <w:pPr>
        <w:pStyle w:val="Heading2"/>
      </w:pPr>
      <w:r>
        <w:t xml:space="preserve">En contra</w:t>
      </w:r>
    </w:p>
    <w:p>
      <w:pPr>
        <w:pStyle w:val="ListParagraph"/>
        <w:numPr>
          <w:ilvl w:val="0"/>
          <w:numId w:val="2"/>
        </w:numPr>
        <w:spacing w:after="60"/>
      </w:pPr>
      <w:r>
        <w:rPr>
          <w:b/>
        </w:rPr>
        <w:t xml:space="preserve">CHC en caída</w:t>
      </w:r>
      <w:r>
        <w:t xml:space="preserve">: −23,3 % en el 1S26 por gripe débil y menos tráfico en farmacias [22].</w:t>
      </w:r>
    </w:p>
    <w:p>
      <w:pPr>
        <w:pStyle w:val="ListParagraph"/>
        <w:numPr>
          <w:ilvl w:val="0"/>
          <w:numId w:val="2"/>
        </w:numPr>
        <w:spacing w:after="60"/>
      </w:pPr>
      <w:r>
        <w:rPr>
          <w:b/>
        </w:rPr>
        <w:t xml:space="preserve">KPC en pérdidas</w:t>
      </w:r>
      <w:r>
        <w:t xml:space="preserve"> (≈ 370 M en el 1S26) y fondo de comercio de 7.063 M que puede deteriorarse [6, 23].</w:t>
      </w:r>
    </w:p>
    <w:p>
      <w:pPr>
        <w:pStyle w:val="ListParagraph"/>
        <w:numPr>
          <w:ilvl w:val="0"/>
          <w:numId w:val="2"/>
        </w:numPr>
        <w:spacing w:after="60"/>
      </w:pPr>
      <w:r>
        <w:rPr>
          <w:b/>
        </w:rPr>
        <w:t xml:space="preserve">Compras centralizadas</w:t>
      </w:r>
      <w:r>
        <w:t xml:space="preserve">: presión de precios en la receta de Tasly y en los inyectables [20].</w:t>
      </w:r>
    </w:p>
    <w:p>
      <w:pPr>
        <w:pStyle w:val="ListParagraph"/>
        <w:numPr>
          <w:ilvl w:val="0"/>
          <w:numId w:val="2"/>
        </w:numPr>
        <w:spacing w:after="60"/>
      </w:pPr>
      <w:r>
        <w:rPr>
          <w:b/>
        </w:rPr>
        <w:t xml:space="preserve">Compra frágil</w:t>
      </w:r>
      <w:r>
        <w:t xml:space="preserve">: no pasa la regla v2 ni aguanta un BPA un 10 % peor; sostenibilidad «en parte».</w:t>
      </w:r>
    </w:p>
    <w:p>
      <w:pPr>
        <w:pStyle w:val="Heading2"/>
      </w:pPr>
      <w:r>
        <w:t xml:space="preserve">Qué tiene que pasar para que la tesis funcione</w:t>
      </w:r>
    </w:p>
    <w:p>
      <w:pPr>
        <w:spacing w:after="100"/>
      </w:pPr>
      <w:r>
        <w:t xml:space="preserve">Ventas del CHC y pérdidas de KPC en el 3T26 (24-oct) y en el 4T26 con la temporada de gripe: un CHC por encima del −10 % confirma el base; por debajo del −20 %, el bajista. La lista nacional de reembolso y los lotes de compras centralizadas de diciembre, y la prueba de deterioro de KPC en marzo.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CHC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de más calidad y la mitad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KPC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−370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Pérdidas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suelo del declive y decide el deterioro.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Ventas &lt; −8 %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suponemos para 2026e.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19,4 %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mezcla y gasto comercial.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de Tasly en compras centralizadas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lote nacional conocido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Entra en un lote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de precio de la receta.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 del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es parte de la rentabilidad.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9,6x / 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Nació en 1985 como la fábrica Nanfang del Ejército en Shenzhen, creadora de Sanjiu Weitai y 999 Ganmaoling; Sanjiu Medical &amp; Pharmaceutical se constituyó en 1999 y salió a bolsa en Shenzhen en 2000 [1]. Tras la crisis de deuda del grupo Sanjiu, China Resources tomó el control en 2008. Desde entonces creció comprando marcas de CHC (Guilin Tianhe, Shunfeng, Aonuo, Zhongyi) y, con el plan de 2021-2025 de «duplicar ventas», dos cotizadas de medicina china: KPC en 2023 y Tasly en 2025 [1, 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Nanfang (南方制药厂) en Shenzhen: Sanjiu Weitai y 999 Ganmaoling.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Shenzhen (000999).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Resources toma el control tras la reestructuración del grupo Sanjiu.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marcas de CHC: Zhongyi (众益) y Aonuo (澳诺)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KPC (昆药集团) con el 28 % por 2.902 M CNY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Ampliaciones liberadas de 3 por 10 en junio de 2024 y junio de 2025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Tasly (天士力) con el 28 % por 6.212 M CNY (27-mar-2025)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KPC entra en pérdidas; nuevo prospecto obligatorio de Ganmaoling (NMPA, julio) [6,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CR Sanjiu es el primer fabricante chino de medicamentos sin receta por ventas (líder del ranking de OTC durante años) y, desde 2025, un grupo de medicina china con tres cotizadas: la propia Sanjiu, KPC (28 %) y Tasly (28 %) [1, 6]. Vende tres cosas: marcas de farmacia (CHC: 999 Ganmaoling para el resfriado, número uno de los antigripales de medicina china doce años seguidos, con más de 2.000 M de ventas en farmacias urbanas en 2025; Sanjiu Weitai para el estómago; Piyanping para la piel; Aonuo, calcio infantil), medicamentos con receta (inyectables y granulados de medicina china, Dantonic de Tasly para el corazón, Xuesaitong de KPC) y distribución mayorista y farmacias en Yunnan y Tianjin [6, 14, 19]. Tiene unas 30.300 personas, fábricas en Shenzhen, Nanchang, Kunming y Tianjin, y casi todo lo vende en China (exterior 1,1 %) [1].</w:t>
      </w:r>
    </w:p>
    <w:p>
      <w:pPr>
        <w:pStyle w:val="Heading2"/>
      </w:pPr>
      <w:r>
        <w:t xml:space="preserve">Cómo gana dinero</w:t>
      </w:r>
    </w:p>
    <w:p>
      <w:pPr>
        <w:spacing w:after="100"/>
      </w:pPr>
      <w:r>
        <w:t xml:space="preserve">El CHC gana con marca y distribución: margen bruto del 61,7 % en 2025, a cambio de un gasto comercial y de publicidad del 28,8 % de las ventas del grupo [1]. Vende a mayoristas que surten a cadenas de farmacias; las ventas dependen de la temporada de gripe (el 1T y el 4T son los fuertes: 4T25 +22 % por la ola de gripe) y del tráfico en farmacias, que cae desde 2024 [1, 18]. La receta gana con productos protegidos o exclusivos de medicina china (Dantonic, Shenfu) que se venden a hospitales; aquí el precio lo deciden la lista de reembolso y las compras centralizadas (集采), que bajan precios a cambio de volumen [1]. El grupo cobra el 100 % de las ventas de Tasly y KPC pero solo se queda el 28 % de su beneficio. Apalancamiento operativo moderado: un tercio de los costes son de marketing ajustable.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CHC (sin receta y salud de consumo)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Medicamentos con receta (incluye Tasly y la medicina tradicional de KPC)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y farmacias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Envases e impresión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CHC (sin receta y salud de consumo)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Medicamentos con receta (incluye Tasly y la medicina tradicional de KPC)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y farmacias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Envases e impresión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grandes mayoristas (Sinopharm, Shanghai Pharma, China Resources Pharmaceutical Commerce, que es del mismo grupo) y cadenas de farmacias; los cinco primeros clientes no suelen pasar del 15 % de las ventas [1]. Las ventas a sociedades del grupo China Resources son operaciones vinculadas con límite anual aprobado por la junta [1]. Poder de precios: en CHC la marca permite precios de venta al público superiores a los genéricos (en farmacia, Ganmaoling no se paga con la tarjeta del seguro médico en muchas ciudades), pero la revisión de precios de los medicamentos en línea de 2025 y la caída del tráfico en farmacias lo limitan [1, 20]. En receta el poder de precios es bajo: las compras centralizadas de medicina china (tercer lote de Hubei y lotes de piezas de medicina tradicional de Shandong) se aplican en 2025-2026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CHC (criterio anterior, sin KPC)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12.482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11.639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por menos gripe en el 1S25 y canal de farmacias débil; recuperación en el 4T25 [1,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CHC (criterio nuevo)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6.132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CHC de KPC en ajuste de canal y la menor incidencia respiratoria [6,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receta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6.876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Tasly todo el semestre frente a un trimestre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 (2025); 56,8 %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+4,9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Tasly (margen bruto del 70,6 %)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 M (2025); 731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 proyectos de medicamentos nuevos o mejorados, 7 en registro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Productos con ventas de más de 100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ancha de marcas de farmacia [18].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medicamentos de China en todos los canales (hospitales, farmacias y online), donde CR Sanjiu vende CHC sobre todo en farmacias y receta en hospitales [1, 6]. Usamos la cifra de 米内网 (Menet) del total del mercado y, como contraste, la de 中康CMH para farmacias (501.900 M CNY en 2024) [2]. Menet: 12.601.000 M CNY en 9M25 (−1,0 %), del que farmacias y B2C son 3.061.000 M (+5,5 %) y hospitales 8.290.000 M (−2,5 %) [1]. Anualizado, el mercado es de ≈ 1,68 billones (estimación propia: 9M25 ÷ 0,75).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1.680.000 M CNY en 2025 (estimación propia anualizando los 9M25 de Menet [1]); farmacias ≈ 502.000 M en 2024 (中康CMH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NY (estimación propia: 2025 anualizado; 2026e −1,3 %; después 1,7 % anual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(集采) y control del gasto del seguro médico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−2,5 % en 9M25 por compras centralizadas y genéricos a precio por volumen; lotes de medicina china de Hubei y Shandong en vigor en 2025-2026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enfermedades crónicas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22,0 % de la población con 60 años o más en 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Incidencia de gripe y enfermedades respiratorias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4T25 +22,1 % con la ola de gripe; CHC −23,3 % en el 1S26 con menos incidencia [15,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en farmacias y paso a la venta online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B2C +29,1 % y O2O +29,6 % en 9M25 frente a farmacias físicas casi planas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Apoyo a la medicina china y a la innovación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la industria de medicina china 2026-2030 (febrero de 2026); fórmulas clásicas con registro simplificado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Miles de fabricantes de medicina china; en antigripales compiten Baiyunshan, Yiling (Lianhua Qingwen) y genéricos regionales [19,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seguro médico estatal fija precios en hospitales con compras centralizadas; en farmacia, cadenas cada vez más grandes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Hierbas medicinales con precios volátiles pero proveedores fragmentados; Sanjiu tiene bases propias de cultivo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 medicamentos lento y marcas de décadas; una marca nueva de OTC necesita años de publicidad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Genéricos químicos baratos (paracetamol) y productos de las compras centralizadas que llegan a los centros de salud de barrio [1].</w:t>
            </w:r>
          </w:p>
        </w:tc>
      </w:tr>
    </w:tbl>
    <w:p>
      <w:pPr>
        <w:spacing w:after="160" w:before="0"/>
      </w:pPr>
    </w:p>
    <w:p>
      <w:pPr>
        <w:pStyle w:val="Heading2"/>
      </w:pPr>
      <w:r>
        <w:t xml:space="preserve">Ciclo</w:t>
      </w:r>
    </w:p>
    <w:p>
      <w:pPr>
        <w:spacing w:after="100"/>
      </w:pPr>
      <w:r>
        <w:t xml:space="preserve">El mercado chino de medicamentos cae por primera vez en años (−1,0 % en 9M25, −1,3 % en el 1T26) por el control del gasto y los precios, y IQVIA rebaja su crecimiento al 1,7 % anual hasta 2030 [1, 6]. Las marcas de farmacia aguantan mejor que los hospitales, pero el tráfico en farmacias físicas cae. En 2020 la COVID hundió los antigripales de marca (beneficio de Sanjiu −24 %) y en 2022-2023 los disparó; en 2025 el ciclo de la gripe volvió a mover el 4T [1, 18].</w:t>
      </w:r>
    </w:p>
    <w:p>
      <w:pPr>
        <w:pStyle w:val="Heading2"/>
      </w:pPr>
      <w:r>
        <w:t xml:space="preserve">Regulación</w:t>
      </w:r>
    </w:p>
    <w:p>
      <w:pPr>
        <w:spacing w:after="100"/>
      </w:pPr>
      <w:r>
        <w:t xml:space="preserve">Tres frentes. Compras centralizadas de medicina china y genéricos (lotes interprovinciales de Hubei y Shandong aplicados en 2025-2026) y revisión de precios de los medicamentos en plataformas (2025) [1]. Lucha contra la corrupción en la promoción médica (guía de la SAMR de enero de 2025) [1]. Y el nuevo prospecto obligatorio de Ganmaoling (NMPA, anuncio n.º 66 de 20-jul-2026): advierte de no conducir ni beber y prohíbe su uso con insuficiencia grave de hígado o riñón; la empresa debía registrarlo antes del 15-oct-2026 y tiene 9 meses para cambiar el producto ya vendido [19]. No prohíbe la venta, pero puede restar demanda en la temporada 2026-2027.</w:t>
      </w:r>
    </w:p>
    <w:p>
      <w:pPr>
        <w:pStyle w:val="Heading2"/>
      </w:pPr>
      <w:r>
        <w:t xml:space="preserve">Tendencias y disrupción</w:t>
      </w:r>
    </w:p>
    <w:p>
      <w:pPr>
        <w:spacing w:after="100"/>
      </w:pPr>
      <w:r>
        <w:t xml:space="preserve">Las ventas se mueven a internet (B2C y O2O crecen ≈ 30 % al año) y a los centros de salud de barrio con los medicamentos de las compras centralizadas [1]. Sanjiu gana en lo primero (marca conocida, presencia en plataformas) y pierde en lo segundo si sus productos de receta entran en las compras con rebajas de precio. Los grupos estatales concentran el sector comprando cotizadas (Tasly, KPC). La innovación (medicamentos nuevos de medicina china, un GLP-1 en registro con un socio) es todavía pequeña en ventas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de OTC de China; ≈ 1,9 % del mercado total de medicamentos (estimación propia: 31.603 M ÷ ≈ 1.680.000 M) [1]; 999 Ganmaoling es el primer antigripal de medicina china en farmacias desde hace doce años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Yunnan Baiyao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000538.SZ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farmacia y cuidado personal (pasta de dientes), más distribución; rival en CHC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Guangzhou Baiyunshan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600332.SS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Antigripales (incluido su propio Ganmaoling) y gran distribución; margen bajo por la distribución [19,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Beijing Tong Ren Tang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600085.SS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centenaria de medicina china, farmacias propias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Shijiazhuang Yiling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002603.SZ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Lianhua Qingwen (antigripal de medicina china) y cardiovasculares; rival directo en gripe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Jiangzhong Pharmaceutical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600750.SS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OTC digestivo (健胃消食片), del grupo China Resources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Zhangzhou Pien Tze Huang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600436.SS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de lujo de medicina china con precio al alza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Dong-E-E-Jiao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000423.SZ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Gelatina de burro, marca de salud de consumo, del grupo China Resources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consumidor cambia de antigripal sin coste; en hospitales los productos exclusivos dan algo de permanencia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999 Ganmaoling número uno de su categoría doce años, 45 productos de más de 100 M, margen bruto del CHC del 61,7 %; registros de medicamentos exclusivos de Tasly [A1,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Bases propias de hierbas y escala en compras; margen EBIT del 14,7 % en 2025, por debajo de Jiangzhong o Dong-E-E-Jiao (28-31 %) [A1,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que llega a cientos de miles de farmacias, difícil de replicar; gasto comercial de 9.089 M al año [A1].</w:t>
            </w:r>
          </w:p>
        </w:tc>
      </w:tr>
    </w:tbl>
    <w:p>
      <w:pPr>
        <w:spacing w:after="160" w:before="0"/>
      </w:pPr>
    </w:p>
    <w:p>
      <w:pPr>
        <w:pStyle w:val="Heading2"/>
      </w:pPr>
      <w:r>
        <w:t xml:space="preserve">Amenazas</w:t>
      </w:r>
    </w:p>
    <w:p>
      <w:pPr>
        <w:spacing w:after="100"/>
      </w:pPr>
      <w:r>
        <w:t xml:space="preserve">Las amenazas son de política más que de rivales: compras centralizadas que extienden rebajas de precio a la medicina china de receta (Tasly y KPC, probabilidad alta), control del precio de los medicamentos en farmacia y online (media), nuevo prospecto de Ganmaoling que advierte de no conducir (media, efecto en la temporada 2026-27) y menos tráfico en farmacias [1, 19, 20]. Rivales como Yiling y Baiyunshan compiten en la ola de gripe con precio y publicidad. La marca no se erosiona rápido, pero el margen EBIT del grupo (14,7 %) está muy por debajo de las marcas puras (28-31 %) por la receta y la distribución [21].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2021-2025: ingresos </w:t>
      </w:r>
      <w:r>
        <w:rPr>
          <w:b/>
          <w:bCs/>
        </w:rPr>
        <w:t xml:space="preserve">19,4 %</w:t>
      </w:r>
      <w:r>
        <w:t xml:space="preserve">, EBITDA </w:t>
      </w:r>
      <w:r>
        <w:rPr>
          <w:b/>
          <w:bCs/>
        </w:rPr>
        <w:t xml:space="preserve">20,4 %</w:t>
      </w:r>
      <w:r>
        <w:t xml:space="preserve">, BPA </w:t>
      </w:r>
      <w:r>
        <w:rPr>
          <w:b/>
          <w:bCs/>
        </w:rPr>
        <w:t xml:space="preserve">13,5 %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15.544 M CNY en 2021 a 31.603 M en 2025, pero casi todo el crecimiento es comprado: KPC entró en 2023 (+4.087 M) y Tasly en 2025 (5.616 M en nueve meses) [1, 3]. Sin compras, el negocio de siempre creció poco: el CHC (sin receta) con el criterio anterior pasó de 9.276 M (2021) a 12.482 M (2024) y cayó un 6,75 % en 2025, a 11.639 M; KPC cayó un 33,7 % (3.458 M) [1, 2, 5]. El margen EBITDA se ha mantenido entre el 18 % y el 20 %: margen bruto del 54 % en 2025 (+2,1 puntos por la mezcla de Tasly) que se come la publicidad y la red comercial (gasto comercial del 28,8 % de las ventas) y una I+D que sube del 3,6 % al 4,0 % de las ventas [1]. El beneficio atribuido solo creció un 1,6 % en 2025 (3.421 M) porque el 72 % del beneficio de Tasly y KPC es de los minoritarios (745 M frente a 410 M) y la compra se pagó con deuda [1]. En el 1S26 las ventas subieron un 1,4 % con Tasly todo el semestre (el 2T26, ya comparable, cayó un 13,5 %) y el beneficio bajó un 8,0 % por las pérdidas de KPC (≈ 370 M) [6, 15].</w:t>
      </w:r>
    </w:p>
    <w:p>
      <w:pPr>
        <w:pStyle w:val="Heading2"/>
      </w:pPr>
      <w:r>
        <w:t xml:space="preserve">Ajustes y partidas no recurrentes</w:t>
      </w:r>
    </w:p>
    <w:p>
      <w:pPr>
        <w:spacing w:after="100"/>
      </w:pPr>
      <w:r>
        <w:t xml:space="preserve">Cifras publicadas (CAS). En el coste de ventas se suman los impuestos y recargos (税金及附加: 382 M en 2025) [1]. El EBIT excluye el resultado de las inversiones financieras y de las asociadas (投资收益 −3 M y valor razonable +262 M en 2025, que pasan al financiero) e incluye las subvenciones (其他收益, 338 M en 2025, recurrentes cada año entre 217 y 338 M) y los deterioros de cuentas a cobrar, existencias y desarrollo (154 M netos en 2025; 217 M en el 1S26) [1, 6, 13]. El beneficio sin extraordinarios (扣非) es un 8 % menor que el publicado (3.134 M frente a 3.421 M en 2025; 1.597 M frente a 1.671 M en el 1S26): la diferencia son subvenciones y plusvalías de productos financieros [1, 6]. BPA y DPA de 2021-2023 divididos entre 1,69 y 1,3 por las ampliaciones liberadas de 3 por 10 de 2024 y 2025 [11]. I+D capitalizada: 469 M en 2025 (el 27 % de la inversión en I+D, 16 % en 2024)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no publica la transcripción de sus conferencias (la del 1S26 fue en la plataforma de inversores de SZSE a finales de agosto); se siguen por las notas de los brókeres [15, 16]. En marzo de 2026, con las cuentas de 2025, el mensaje era de «resiliencia»: el CHC con el criterio anterior cayó un 6,75 % pero menos que en el 1S25 gracias a la gripe del 4T25 (ventas del 4T25 +22,1 %), 45 productos de más de 100 M y Tasly «estable» (ventas −3,1 %, beneficio +15,6 %) [18]. En agosto el discurso cambió a «presión»: el CHC con el criterio nuevo cayó un 23,3 % en el 1S26 por la menor incidencia respiratoria y por el ajuste de canal de KPC, que perdió ≈ 370 M; la receta subió un 42,1 % por Tasly [6, 15]. Los brókeres preguntan por el suelo de KPC y por el fondo de comercio; la dirección no da guía numérica: en el anual solo promete crecer «por encima del sector» con un beneficio «que acompañe» a las ventas [1,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KPC (昆药集团), 28 % comprado por 2.902 M CNY, consolidado desde enero de 2023: entra en cuenta y balance (ventas de medicina tradicional de 4.087 M en 2023) [3].; 2025: Tasly (天士力), 28 % comprado por 5.990 M CNY de coste de combinación, consolidado desde el 27-mar-2025: nueve meses en la cuenta (5.616 M de ventas) y el balance entero a diciembre; fondo de comercio de 1.939 M [1, 14].).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pasó de caja neta (5.550 M en 2024 con los productos de tesorería) a deuda neta pequeña tras pagar Tasly en efectivo (5.251 M netos de la caja adquirida en 2025): deuda bancaria de ≈ 6.160 M a fin de 2025 y 4.290 M a jun-26, frente a 7.236 M de caja y tesorería [1, 6]. El circulante comercial es alto: existencias de 6.115 M y cuentas y efectos a cobrar de 9.748 M frente a proveedores de 3.153 M a jun-26, un 42 % de las ventas anualizadas (35 % en 2021) [6]. Parte se debe a Tasly y KPC, que venden a hospitales y cobran tarde, y parte al CHC, que vende a mayoristas antes de la temporada de gripe. Los minoritarios del balance ya son 16.303 M (el 42 % de los fondos propios del grupo)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12.908</w:t>
      </w:r>
      <w:r>
        <w:t xml:space="preserve">, conversión </w:t>
      </w:r>
      <w:r>
        <w:rPr>
          <w:b/>
          <w:bCs/>
        </w:rPr>
        <w:t xml:space="preserve">91 %</w:t>
      </w:r>
      <w:r>
        <w:t xml:space="preserve"> del beneficio neto; adquisiciones 5.384, dividendos 7.251, recompras 0.</w:t>
      </w:r>
    </w:p>
    <w:p>
      <w:pPr>
        <w:spacing w:after="100"/>
      </w:pPr>
      <w:r>
        <w:t xml:space="preserve">La conversión en caja es buena: flujo operativo de 5.513 M en 2025 (1,32 veces el beneficio consolidado, 4.166 M) y entre 0,90 y 1,32 veces en 2021-2025 [1, 2, 3, 4, 5]. El capex fue bajo (1.271 M en 2025, el 4,0 % de las ventas; 790-952 M en 2021-2024), pero la empresa prevé ≈ 2.800 M en 2026 con KPC y Tasly (fábricas y modernización), y en el 1S26 solo invirtió 519 M [1, 6]. No separa mantenimiento y crecimiento; estimamos el mantenimiento cerca de la amortización del inmovilizado material y los derechos de uso (≈ 1.080 M en 2025, el 3,4 % de las ventas): estimación propia [1]. Usos de la caja de 2021-2025: 8.670 M en compras (KPC y Tasly, con deuda), 7.252 M de dividendos a sus accionistas y 744 M a minoritarios [1, 2, 3, 4, 5]. El flujo operativo del 1S26 bajó un 15,3 % (2.423 M) por más circulante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Huazhen (毕马威华振)</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cuestión clave de auditoría: el deterioro del fondo de comercio (7.557 M brutos, 495 M ya deteriorados)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CAS auditadas por KPMG Huazhen desde 2023 (antes Ernst &amp; Young Hua Ming), con opinión limpia y el fondo de comercio como cuestión clave [1]. Tres puntos a vigilar. Primero, el fondo de comercio y los intangibles: 7.063 M de fondo de comercio y 8.100 M de intangibles y desarrollo frente a 22.172 M de fondos propios atribuidos; 1.129 M son de KPC, que pierde ≈ 370 M en el 1S26, y 1.411 M de Shengfuo (昆明圣火), y no se deterioró nada en 2025 [1, 6]. Segundo, la I+D capitalizada sube: 469 M en 2025 (27 % del total) y un saldo de desarrollo de 2.164 M, sobre todo de Tasly, con 37 M deteriorados en 2025 [1, 13]. Tercero, el beneficio sin extraordinarios es un 8 % menor que el publicado (subvenciones y plusvalías de tesorería) [1]. No hay pagos en acciones relevantes (el plan de 2021 terminó). Los indicadores del motor deben leerse con los dos cambios de perímetro (2023 y 2025): los saltos del activo y de las cuentas a cobrar no son contables sino de compras.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KPC (1.129 M) con KPC en pérdidas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KPC pierde ≈ 370 M en el 1S26 con ventas −51 %; un deterioro de su fondo de comercio y de sus marcas es probable en el cierre de 2026 si no se recupera [6,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I+D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 de la I+D capitalizada en 2025 frente al 16 % de 2024; saldo de desarrollo de 2.164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Subvenciones y plusvalías financieras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扣非 es 287 M menor que el publicado en 2025 (−8 %)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7.063 M en 2025 (el 21 % del capital invertido medio); ha subido más de un 5 % en 2 de 4 años: compra única grande. ROIC publicado 14,0 %; sin fondo de comercio, 17,8 %.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11,7 % · </w:t>
      </w:r>
      <w:r>
        <w:rPr>
          <w:b/>
          <w:bCs/>
        </w:rPr>
        <w:t xml:space="preserve">WACC</w:t>
      </w:r>
      <w:r>
        <w:t xml:space="preserve">: 7,6 %.</w:t>
      </w:r>
    </w:p>
    <w:p>
      <w:pPr>
        <w:spacing w:after="100"/>
      </w:pPr>
      <w:r>
        <w:t xml:space="preserve">CR Sanjiu crea valor: ROIC del 14,0 % en 2025 frente a un WACC del 7,58 %, y entre el 17,3 % y el 19,2 % en 2021-2024. El ROIC lo mueve el margen (margen EBIT del 14,7 % en 2025) más que la rotación (0,6-0,7 veces el activo), y ha caído en 2025 porque el capital invertido subió de 19.446 M a 28.364 M con Tasly mientras su beneficio solo entraba nueve meses. Sin fondo de comercio el ROIC es del 17,8 %: el negocio de marcas rinde mucho y las compras lo diluyen. El ROIC incremental histórico es del 11,7 %, por encima del WACC pero por debajo del ROIC medio: cada compra rinde menos que el negocio original [1, 14]. Frente a sus comparables (ROIC mediano del 11,7 %) está bien; frente a las marcas puras como Jiangzhong (24,6 %) o Dong-E-E-Jiao (16,9 %), peor [34].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3.203 M + productos de tesorería 4.033 M a 30-jun-2026 (7.236 M) frente a deuda bancaria de 4.290 M (corto 1.233 M, largo 2.848 M, parte corriente del largo 208 M) [6]. El dividendo a cuenta del 1S26 (690,65 M) se pagó el 16-oct-2026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bonos; una filial registró en septiembre de 2026 un programa de pagarés y bonos en el mercado interbancario)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pensiones de prestación definida relevantes (1.510 jubilados a cargo, gasto menor) [1]. Los pasivos que importan: el préstamo de compra de Tasly (préstamo sindicado de largo plazo, signado en marzo de 2025) dentro de la deuda bancaria, avales a filiales de KPC y Tasly aprobados para 2026, y la cesión de cuentas a cobrar sin recurso a la factoría del grupo China Resources (operación vinculada aprobada en agosto de 2026) [1, 6]. Los anticipos de clientes (合同负债) son pequeños: 1.007 M a jun-26 (1.783 M a fin de 2025), de mayoristas antes de la temporada de gripe [6]. Fondo de comercio de 7.063 M (1.939 M de Tasly y 1.129 M de KPC, que pierde dinero en 2026): es el pasivo contingente más relevante, como deterioro [1].</w:t>
      </w:r>
    </w:p>
    <w:p>
      <w:pPr>
        <w:pStyle w:val="Heading1"/>
      </w:pPr>
      <w:r>
        <w:t xml:space="preserve">12. Asignación de capital</w:t>
      </w:r>
    </w:p>
    <w:p>
      <w:pPr>
        <w:pStyle w:val="Confianza"/>
        <w:spacing w:after="100"/>
      </w:pPr>
      <w:r>
        <w:t xml:space="preserve">Confianza: Media</w:t>
      </w:r>
    </w:p>
    <w:p>
      <w:pPr>
        <w:spacing w:after="100"/>
      </w:pPr>
      <w:r>
        <w:t xml:space="preserve">Dividendo de alrededor del 50 % del beneficio atribuido en dos pagos (a cuenta en octubre y final en mayo-junio): 1.731 M en 2025 (50,6 %), 0,45 + 0,59 CNY por acción; a cuenta del 1S26 0,415 CNY (690,65 M, el 41,3 % del beneficio del semestre) [1, 12]. Sin recompras (la autocartera del plan de 2021 se amortizó). Plan de «calidad y rentabilidad» (质量回报双提升) con compromiso genérico de dividendos estables. La prioridad declarada para la caja es integrar Tasly y KPC y comprar productos y empresas en CHC y medicina china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Tasly (天士力), 28 % y control (cardiovascular y medicina china moderna: Dantonic/复方丹参滴丸)</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préstamo bancario de compra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Tasly −3,1 % en 2025 y −2,0 % en el 1S26, pero beneficio +15,6 % y +15,2 %; el BPA pro forma de 2024 subía un 7,9 % (2,63 → 2,84), y el de 2025 solo un 1,6 % por KPC y la deuda. Sin deterioros [1, 14,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KPC (昆药集团), 28 % y control (Xuesaitong, medicina tradicional de Yunnan)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Malo hasta hoy: ventas de medicina tradicional de 5.213 M en 2024 a 3.458 M en 2025 (−33,7 %) y pérdidas en 2026 (≈ −370 M en el 1S26); fondo de comercio de 1.129 M sin deteriorar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Aonuo (澳诺, calcio y vitaminas infantiles) y otras marcas de CHC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integrada en 999 (fondo de comercio de 926 M sin deterioro); «澳诺钙» segunda marca de minerales [5].</w:t>
            </w:r>
          </w:p>
        </w:tc>
      </w:tr>
    </w:tbl>
    <w:p>
      <w:pPr>
        <w:spacing w:after="160" w:before="0"/>
      </w:pPr>
    </w:p>
    <w:p>
      <w:pPr>
        <w:spacing w:after="100"/>
      </w:pPr>
      <w:r>
        <w:t xml:space="preserve">Asignación de capital mediocre en lo reciente. Entre 2021 y 2025 se gastaron 8.670 M en compras y 7.252 M en dividendos, con un flujo operativo acumulado de 19.000 M [1, 2, 3, 4, 5]. Las dos compras grandes dan control con solo el 28 % del capital: el grupo consolida el 100 % de las ventas pero se queda el 28 % del beneficio, y el 72 % va a minoritarios (745 M en 2025). El precio de Tasly (≈ 23 veces su beneficio de 2024) exige que la integración suba el beneficio de Tasly un 50 % para rendir el WACC sobre lo pagado; KPC, comprada a ≈ 27 veces, ha caído a pérdidas [3, 14]. Dilución nula: las ampliaciones de 2024 y 2025 son liberadas, no cambian el valor.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Qiu Huawei (邱华伟)</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secretario del Partido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la carrera en Sanjiu: presidente de la comercializadora, vicepresidente sénior y presidente ejecutivo antes de presidir el consejo; antes, presidente de KPC. Bajo su mandato las ventas se duplicaron con compras y el BPA creció un 66 % de 2021 a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Wenduo (吴文多)</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ejecutivo (总裁)</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China Resources Double-Crane y Jiangzhong; presidente de KPC y director general de Jiangzhong antes de llegar en septiembre de 2024 [1, 2]. En su etapa las ventas de KPC se desplomaron y Tasly se integró.</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Xing Jian (邢健)</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secretario del consejo; consejero desde 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Jiangzhong y de China Resources Network; propuesto como consejero por el accionista de control en septiembre de 2026 [1,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 Yi (麦毅)</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(producción y calidad)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en Sanjiu desde la etapa de Shenzhen Sanjiu: I+D y compras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Wang Liang (王亮)</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con funciones comerciales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«十四五»: duplicar las ventas (de 13.637 M en 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31.603 M en 2025 (×2,3), con KPC y Tasly</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encima del crecimiento del sector y beneficio acorde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+14,4 % (con Tasly); beneficio +1,6 %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encima del sector y beneficio que acompañe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+1,4 %, beneficio −8,0 %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carrera del grupo estatal China Resources, que rota directivos entre sus farmacéuticas (Double-Crane, Jiangzhong, KPC, Sanjiu) [1]. Credibilidad media: cumplió el plan de duplicar ventas, pero con compras que diluyen el beneficio por acción frente a lo prometido (pro forma 2,84 CNY en 2024 frente a 2,06 reales en 2025) [14]. La dirección no da guía numérica anual. Ningún directivo tiene acciones relevantes (la vicepresidenta Zhou Hui tenía 147.593) y el variable depende de la evaluación del grupo estatal. Cambio de CEO en septiembre de 2024 y salida por jubilación de la vicepresidenta jurídica en julio de 2026 [2, 24].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Qiu Huawei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Xiaosong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Shutian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Liang Zhuqiang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Wenduo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Huang Xianfeng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Xing Jian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 Zhendan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Mengjuan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 Jian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Wang Yi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cuestión clave de auditoría: el deterioro del fondo de comercio (7.557 M brutos, 495 M ya deteriorados)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Resources Pharmaceutical Holdings (华润医药控股; grupo China Resources, SASAC)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estatal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HKSCC (inversores de Hong Kong por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−2,76 M acciones en el 1S26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Liu Shaoluan (persona física)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1S26 (13,57 M acciones)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 Fund CSI 300 Health Care ETF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índice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+1,93 M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baja para el tamaño, al estilo de las estatales: el presidente ejecutivo Wu Wenduo cobró 1,67 M CNY en 2025 y el presidente del consejo 3,15 M; el total de consejeros y directivos fue de 16,46 M [1]. La política de 2026 fija un variable anual de al menos el 60 % del salario anual, con una parte diferida y cláusulas de recuperación, pero las métricas son la evaluación anual del grupo estatal, no el ROIC ni el retorno al accionista [27]. No hay plan de acciones vigente (el de 2021 terminó en 2025). Los independientes cobran 0,18 M al año.</w:t>
      </w:r>
    </w:p>
    <w:p>
      <w:pPr>
        <w:pStyle w:val="Heading2"/>
      </w:pPr>
      <w:r>
        <w:t xml:space="preserve">Operaciones vinculadas, estructura de control y defensas</w:t>
      </w:r>
    </w:p>
    <w:p>
      <w:pPr>
        <w:spacing w:after="100"/>
      </w:pPr>
      <w:r>
        <w:t xml:space="preserve">China Resources Pharmaceutical Holdings controla el 63,22 % y propone a casi todo el consejo; el grupo China Resources depende del SASAC central [6, 25]. Una acción, un voto, sin blindajes. Hay muchas operaciones vinculadas: ventas a la distribuidora del grupo, depósitos en el banco del grupo (Guangdong China Resources Bank), compras de energía, factoring con la sociedad de factoring del grupo (agosto de 2026), todas con límite anual aprobado por los minoritarios [28, 29]. Las dos compras grandes (KPC y Tasly) se hicieron a terceros, no al grupo. El riesgo para el minoritario es que el grupo use a Sanjiu como plataforma de compras de medicina china a precios de mercado más que el expolio directo.</w:t>
      </w:r>
    </w:p>
    <w:p>
      <w:pPr>
        <w:pStyle w:val="Heading2"/>
      </w:pPr>
      <w:r>
        <w:t xml:space="preserve">Señales de alerta</w:t>
      </w:r>
    </w:p>
    <w:p>
      <w:pPr>
        <w:pStyle w:val="ListParagraph"/>
        <w:numPr>
          <w:ilvl w:val="0"/>
          <w:numId w:val="2"/>
        </w:numPr>
        <w:spacing w:after="60"/>
      </w:pPr>
      <w:r>
        <w:t xml:space="preserve">Operaciones vinculadas recurrentes con el grupo China Resources (ventas, banco, factoring) [28, 29].</w:t>
      </w:r>
    </w:p>
    <w:p>
      <w:pPr>
        <w:pStyle w:val="ListParagraph"/>
        <w:numPr>
          <w:ilvl w:val="0"/>
          <w:numId w:val="2"/>
        </w:numPr>
        <w:spacing w:after="60"/>
      </w:pPr>
      <w:r>
        <w:t xml:space="preserve">Rotación en la cúpula: CEO nuevo en septiembre de 2024 y dos consejeros sustituidos en diciembre de 2025 y julio de 2026 [2, 24,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Sin guía numérica. En el anual 2025 la empresa prevé para 2026 ventas que crezcan «por encima de la media del sector» y un beneficio «acorde», con 6.900 M de circulante y unos 2.800 M de capex (con KPC y Tasly), supuesto que las compras centralizadas se apliquen «según lo previsto» [1]. No la ha cambiado en el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Southwest Securities, 22-ago-2026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Southwest Securities, 22-ago-2026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Southwest Securities, 22-ago-2026 [16]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37,20</w:t>
            </w:r>
          </w:p>
        </w:tc>
      </w:tr>
    </w:tbl>
    <w:p>
      <w:pPr>
        <w:spacing w:after="160" w:before="0"/>
      </w:pPr>
    </w:p>
    <w:p>
      <w:pPr>
        <w:pStyle w:val="Heading2"/>
      </w:pPr>
      <w:r>
        <w:t xml:space="preserve">Revisiones de estimaciones</w:t>
      </w:r>
    </w:p>
    <w:p>
      <w:pPr>
        <w:spacing w:after="100"/>
      </w:pPr>
      <w:r>
        <w:t xml:space="preserve">Tras el 1S26 los brókeres recortaron: Sinolink bajó el beneficio de 2026e de 3.785 M a 3.436 M (BPA 2,06) y el de 2027e de 4.279 M a 3.840 M (2,31); Southwest queda en 1,92 / 2,31 / 2,44; Orient en 2,26 / 2,48 / 2,76 [15, 16, 22]. La media de Yahoo (2,21 y 2,43) es más alta porque mezcla estimaciones anteriores; hace 90 días era 2,25 y 2,44 [34]. Tendencia de 3 meses: recortes. Solo Southwest publica EBITDA (margen del 17,9 % en 2026e), por eso usamos su fila completa y contrastamos el BPA con los otros dos.</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cinco años la acción ha rentado un 12,8 % anual con dividendos frente al −1,3 % del CSI 300, porque las ampliaciones de perímetro y la ola de gripe de 2022-2023 la subieron un 40 % al año en 2021 y 2022 [32]. Desde el máximo de finales de 2024 (34,11 CNY ajustados) ha caído un 24 %: −14,6 % en 2025 con el CSI 300 a +20,8 %, por la caída del CHC, la deuda de Tasly y las pérdidas de KPC [6, 32]. En 2026 va algo mejor que el índice (−5,5 % frente a −8,9 %) y rebota un 8 % en el último mes con la rotación a valores defensivos de dividendo. La beta mensual frente al CSI 300 sale negativa (−0,16) y la semanal de 5 años ajustada es 0,64: es una acción defensiva que se mueve por su propio ciclo [32].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 +2,4 % / -5,7 % / -9,1 %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 +16,5 %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(25-abr): beneficio atribuido −15,3 % con ventas +18,6 % solo por Tasly; caída del 4,3 % el 27-abr y un mes de −11,6 % hasta el 26-may [8,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 resultados del 1S26 (15-jul): el beneficio del 2T26 sube un 9 % y la caída del semestre (−8 %) es menor de lo temido; rotación del mercado chino hacia valores defensivos de dividendo [15, 17,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producto entra por primera vez en la lista nacional de reembolso tras negociar el precio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beneficio atribuido −15,3 % (1.076 M)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Dimite por jubilación la consejera y vicepresidenta jurídica Zhou Hui (147.593 acciones, sin ventas anunciadas)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NMPA, anuncio n.º 66: nuevo prospecto obligatorio de todos los Ganmaoling orales (no conducir ni beber; contraindicado con insuficiencia grave de hígado o riñón); registro antes del 15-oct-2026 y 9 meses para cambiar el producto vendido. No prohíbe la venta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ventas +1,4 %, beneficio −8,0 %; KPC pierde ≈ 370 M; dividendo a cuenta de 0,415 CNY [6,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Sinolink mantiene «comprar» y recorta el beneficio de 2026e un 9 %; Southwest publica sin recomendación y BPA de 1,92 CNY; Orient mantiene «comprar» con objetivo 37,20 [15, 16,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filial recibe el registro para emitir pagarés y bonos en el mercado interbancario (deuda, no acciones)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dividendo a cuenta (0,415 CNY): el precio de hoy ya no lo incluye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en 4 días [43]. No aplazan la compra (regla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tendencia bajista larga (−35,5 % desde el máximo de 2024 ajustado, −9,1 % en 12 meses) pero ha rebotado un 8 % en el último mes hasta la media de 200 sesiones (−1,7 %), sin avisos P1-P5 ni caídas diarias de −5 % en el año [32]. Las dos subidas y bajadas fuertes las explican sus resultados. No hay hechos pendientes que puedan mover el precio más de un 5 % en contra: ni colocaciones del accionista de control (63,22 %, sin ventas), ni ampliaciones en efectivo, ni ventas de directivos, ni ofertas [6]. El nuevo prospecto de Ganmaoling y las pérdidas de KPC ya están en las cifras del informe. Los resultados del 24-oct no aplazan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Cotiza por debajo de su historia: PER de los últimos 12 meses de 13,1 veces frente a una media de 16,9 veces en cinco años (−22 %) y un EV/EBITDA de 9,6 veces frente a 10,5 [32]. El descuento tiene causas: el beneficio por acción no crece desde 2024 (2,02 → 2,06 → ≈ 1,84 en 2026e), KPC pierde dinero y la mitad del grupo ya es receta expuesta a las compras centralizadas, que el mercado valora menos que las marcas de farmacia. Con el PER adelantado (cierre ÷ BPA del año siguiente) la mediana de cinco años es de 15,5 veces y hoy cotiza a 12,9 veces el BPA de 2027e [32].</w:t>
      </w:r>
    </w:p>
    <w:p>
      <w:pPr>
        <w:pStyle w:val="Heading1"/>
      </w:pPr>
      <w:r>
        <w:t xml:space="preserve">18. Comparables cotizados</w:t>
      </w:r>
    </w:p>
    <w:p>
      <w:pPr>
        <w:pStyle w:val="Confianza"/>
        <w:spacing w:after="100"/>
      </w:pPr>
      <w:r>
        <w:t xml:space="preserve">Confianza: Media</w:t>
      </w:r>
    </w:p>
    <w:p>
      <w:pPr>
        <w:spacing w:after="100"/>
      </w:pPr>
      <w:r>
        <w:t xml:space="preserve">Nueve farmacéuticas chinas de medicina tradicional y marcas de farmacia cotizadas en Shanghái y Shenzhen, en CNY y con el mismo calendario de consenso (Yahoo, misma fecha) [34]. Fuera Tasly y KPC, que son filiales de Sanjiu (se citan aparte), y las multinacionales de OTC (Haleon, Kenvue), que cotizan en otro mercado con otros tipos de interés.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 Sanjiu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Yunnan Baiyao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Zhangzhou Pien Tze Huang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Beijing Tong Ren Tang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Guangzhou Baiyunshan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Jiangzhong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Shijiazhuang Yiling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Dong-E-E-Jiao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Taiji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Jiangsu Kanion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11,0x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16,0x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2,1x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CR Sanjiu cotiza a 11,6 veces el beneficio de los próximos 12 meses, frente a una mediana de 16,0 veces de las nueve comparables, y a 9,6 veces el EBITDA frente a 11,0 [34]. Parte del descuento se justifica: su crecimiento esperado (consenso) es menor que el de la mediana (13,3 %), su margen EBIT (14,7 %) está muy por debajo de las marcas puras y el 72 % del beneficio de Tasly y KPC es de otros. Pero la empresa tiene un ROIC igual o mejor que la mediana (14,0 % frente a 11,7 %) y la marca de farmacia más fuerte del país. Los valores implícitos por comparables (≈ 31-36 CNY por PER y EV/EBITDA) están por encima del precio; los usamos con un 20 % de peso porque el mercado chino de farmacéuticas cotiza alto frente a su crecimiento.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Tasly (天士力), 28 % con control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 Sanjiu</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14,85 CNY por acción × 1.494 M acciones (valor del 100 % del capital; Tasly casi sin deuda neta); 23,2 veces el beneficio de 2024 (955,6 M) y 2,61 veces las ventas (8.498 M)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KPC (昆药集团), 28 % con control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 Sanjiu (a Huali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2.902 M por el 28 % (valor del 100 % del capital 10.364 M); ventas de KPC de ≈ 8.282 M en 2022 [3, 20].</w:t>
            </w:r>
          </w:p>
        </w:tc>
      </w:tr>
    </w:tbl>
    <w:p>
      <w:pPr>
        <w:spacing w:after="160" w:before="0"/>
      </w:pPr>
    </w:p>
    <w:p>
      <w:pPr>
        <w:spacing w:after="160" w:before="0"/>
      </w:pPr>
    </w:p>
    <w:p>
      <w:pPr>
        <w:spacing w:after="100"/>
      </w:pPr>
      <w:r>
        <w:t xml:space="preserve">Las dos compras de control del sector que conocemos con cifras son las de la propia Sanjiu: Tasly a 23 veces su beneficio y 2,6 veces las ventas, y KPC a 1,25 veces las ventas [3, 14]. Pagaron una prima sobre su cotización por el control con el 28 %. Sanjiu no puede ser objeto de una oferta: el grupo estatal tiene el 63 % y la usa como plataforma de compras.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30.465 M (−3,6 %): 1S26 real (15.014 M) y un 2S un 8 % por debajo del 2S25, entre el 2T26 (ventas −13,5 % ya con Tasly en las dos bases) y un 4T con gripe normal [6, 15]. Después, +4,0 % en 2027e y +4,5 % en 2028e-2029e por la recuperación de KPC desde una base hundida (−51 % en el 1S26) y por Tasly, bajando al 2 % en 2035e. Es menos que el consenso (Southwest +4,9 % y +3,6 %; Sinolink +9,2 % y +8,5 % en 2027-2028e) [15, 16], porque no suponemos que el CHC vuelva a su nivel de 2024.</w:t>
      </w:r>
    </w:p>
    <w:p>
      <w:pPr>
        <w:keepNext/>
        <w:spacing w:after="100"/>
      </w:pPr>
      <w:r>
        <w:rPr>
          <w:b/>
          <w:bCs/>
        </w:rPr>
        <w:t xml:space="preserve">Márgenes.</w:t>
      </w:r>
    </w:p>
    <w:p>
      <w:pPr>
        <w:spacing w:after="100"/>
      </w:pPr>
      <w:r>
        <w:t xml:space="preserve">Margen EBITDA del 19,9 % en 2026e (22,3 % en el 1S26 y un 17,5 % en el 2S, más gasto comercial en la temporada de gripe), 20,5 % en 2027e y 21,0 % desde 2028e [6]. En 2021-2025 estuvo entre el 18,6 % y el 19,7 %; la subida viene de la mezcla de Tasly (margen bruto del 70,6 %) y de que KPC deje de perder. Southwest espera un 17,9 % en 2026e y un 20,3 % en 2028e [16].</w:t>
      </w:r>
    </w:p>
    <w:p>
      <w:pPr>
        <w:keepNext/>
        <w:spacing w:after="100"/>
      </w:pPr>
      <w:r>
        <w:rPr>
          <w:b/>
          <w:bCs/>
        </w:rPr>
        <w:t xml:space="preserve">Inversión y circulante.</w:t>
      </w:r>
    </w:p>
    <w:p>
      <w:pPr>
        <w:spacing w:after="100"/>
      </w:pPr>
      <w:r>
        <w:t xml:space="preserve">Capex del 5,5 % de las ventas en 2026e (la empresa anuncia ≈ 2.800 M con KPC y Tasly, pero en el 1S26 solo invirtió 519 M) bajando al 4,5 % (4,0 % en 2025) [1, 6]. Amortización del 5,1 % al 4,3 % de las ventas: incluye intangibles comprados de Tasly. Circulante comercial del 40 % de las ventas (42 % a jun-26 anualizado; 31-34 % antes de Tasly), constante [6].</w:t>
      </w:r>
    </w:p>
    <w:p>
      <w:pPr>
        <w:keepNext/>
        <w:spacing w:after="100"/>
      </w:pPr>
      <w:r>
        <w:rPr>
          <w:b/>
          <w:bCs/>
        </w:rPr>
        <w:t xml:space="preserve">Coste del capital.</w:t>
      </w:r>
    </w:p>
    <w:p>
      <w:pPr>
        <w:spacing w:after="100"/>
      </w:pPr>
      <w:r>
        <w:t xml:space="preserve">Tasa libre del 1,65 % (bono chino a 10 años, 1,6497 % el 19-oct [36]); beta 0,8 (la semanal de 5 años ajustada frente al CSI 300 es 0,64 y la mensual sale negativa: la subimos por la deuda de la compra) [32]; prima de mercado del 5,5 % y prima adicional de 2,0 puntos por China, control estatal y precios regulados. Coste de la deuda del 2,6 % (117,6 M de intereses sobre ≈ 4.500 M) y un 8 % de deuda. WACC del 7,58 %. Con la prima implícita del mercado (4,2 %), el WACC baja al 6,6 % [37].</w:t>
      </w:r>
    </w:p>
    <w:p>
      <w:pPr>
        <w:keepNext/>
        <w:spacing w:after="100"/>
      </w:pPr>
      <w:r>
        <w:rPr>
          <w:b/>
          <w:bCs/>
        </w:rPr>
        <w:t xml:space="preserve">Valor terminal.</w:t>
      </w:r>
    </w:p>
    <w:p>
      <w:pPr>
        <w:spacing w:after="100"/>
      </w:pPr>
      <w:r>
        <w:t xml:space="preserve">Crecimiento terminal del 1,0 %, igual que la inflación china esperada y por debajo de la tasa libre menos medio punto (1,15 %): coherente con un bono al 1,65 %. El valor terminal pesa el 59 % del valor. El múltiplo de salida implícito es razonable frente al EV/EBITDA de los comparables (11,0 veces) [34].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(reinvierte el 44 %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(histórico: 11,7 %)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frente al 2,7 %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(hoy: 1,9 %)</w:t>
            </w:r>
          </w:p>
        </w:tc>
      </w:tr>
    </w:tbl>
    <w:p>
      <w:pPr>
        <w:spacing w:after="160" w:before="0"/>
      </w:pPr>
    </w:p>
    <w:p>
      <w:pPr>
        <w:spacing w:after="100"/>
      </w:pPr>
      <w:r>
        <w:t xml:space="preserve">La proyección apenas necesita inversión neta de la amortización (reinversión acumulada de 4.959 M, el 10 % del NOPAT, con un capex bruto medio del 4,7 % de las ventas). En un negocio de activos ligeros, el crecimiento medio del 2,7 % tiene que salir de subir precios y de ganar volumen sin capital nuevo, y la prueba es el poder de precios y la cuota (2,0 % del mercado en 2030e, frente al 1,9 %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−9,2 %: KPC −51 % en el 1S26 y menos gripe en el CHC; precio −1 % por compras centralizadas y revisión de precios; otros +6,6 % por el primer trimestre de Tasly, que no estaba en 2025 [6,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KPC sale de la base hundida y temporada de gripe normal; precio +0,5 % con la mezcla de Tasly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+4,0 %: productos nuevos (55 en desarrollo, 7 en registro) y Tasly; precio +0,5 %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+4,0 % por envejecimiento y medicamentos crónicos; precio +0,5 %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precio +0,5 % [1].</w:t>
            </w:r>
          </w:p>
        </w:tc>
      </w:tr>
    </w:tbl>
    <w:p>
      <w:pPr>
        <w:spacing w:after="160" w:before="0"/>
      </w:pPr>
    </w:p>
    <w:p>
      <w:pPr>
        <w:spacing w:after="100"/>
      </w:pPr>
      <w:r>
        <w:t xml:space="preserve">Las pruebas del motor pasan (crecimiento medio del 2,7 % con poca inversión neta y cuota del 1,9 % al 2,0 %), pero el veredicto es «En parte». La marca 999 y la red de farmacias sostienen el nivel de ventas, no el ritmo: proyectamos +4,0-4,5 % al año en 2027-2029 en un mercado que crece un 1,7 % [6], y eso exige que KPC salga de pérdidas y que el CHC vuelva a crecer, dos cosas que no se ven aún (CHC con el criterio anterior −6,8 % en 2025; ventas orgánicas ≈ −10 % en 2026e) [1, 6]. El poder de precios no está demostrado: la receta va a compras centralizadas y el CHC compite con genéricos baratos en un canal que pierde tráfico. Un ROIC del 14,0 % frente a un WACC del 7,58 % da margen, pero el ROIC incremental (11,7 %) baja con cada compra.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7,6 %)</w:t>
            </w:r>
          </w:p>
        </w:tc>
      </w:tr>
    </w:tbl>
    <w:p>
      <w:pPr>
        <w:spacing w:after="160" w:before="0"/>
      </w:pPr>
    </w:p>
    <w:p>
      <w:pPr>
        <w:spacing w:after="100"/>
      </w:pPr>
      <w:r>
        <w:t xml:space="preserve">El DCF da 32,91 CNY por acción (+27,5 %), con el valor terminal en el 59 % del total y un WACC del 7,58 %. El DCF inverso dice que el precio de 25,81 CNY descuenta que las ventas caigan un 1,0 % al año en 2027-2035 (frente al +3,4 % de nuestro caso base) o un margen EBITDA del 18,5 % en vez del 21 %, y ofrece una rentabilidad implícita del 8,9 % anual frente a un WACC del 7,6 %. Es una expectativa conservadora: supone que el CHC y KPC no se recuperan nunca y que la mitad de receta se va encogiendo con las compras centralizadas. La historia la apoya en parte (ventas orgánicas negativas en 2025 y 2026), pero el beneficio de 2021-2025 creció un 13 % anual con compras incluidas y la marca sigue siendo la primera del país. El valor depende mucho del margen y del valor dado a los minoritarios: con los minoritarios a valor contable (16.303 M en vez de 20.444 M) el valor sube ≈ 2,5 CNY.</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centralizadas alcanzan a Dantonic y a los inyectables de Shenfu, KPC sigue en pérdidas y el CHC pierde un 2-3 % al año con menos tráfico en farmacias: −2 puntos de crecimiento y −1,5 de margen cada año, crecimiento terminal del 0,5 %. Es lo que ya le pasó a KPC en 2025-2026 [6].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KPC toca suelo en 2026, el CHC vuelve a crecer al 2-3 % con la gripe normal y Tasly crece al 5 %: ventas +4,0-4,5 % en 2027-2029e y margen EBITDA del 21 %.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Ola de gripe fuerte, recuperación rápida de KPC y productos nuevos (antigripal TCM2219, GLP-1 del socio): +1,5 puntos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CNY) · precio actual 25,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32,22 CNY (+24,8 %).</w:t>
      </w:r>
    </w:p>
    <w:p>
      <w:pPr>
        <w:spacing w:after="100"/>
      </w:pPr>
      <w:r>
        <w:t xml:space="preserve">La asimetría es favorable: el bajista vale 24,44 CNY (−5,3 %) y el alcista 38,63 (+49,7 %), una asimetría de 9,38 veces. El bajista pierde poco porque el precio ya descuenta ventas en caída. Pero el bajista de 12 meses es peor que el del DCF: con un PER de 11,3 veces y un BPA de 1,88 CNY en 2028e, el precio sería 21,24 CNY (−17,7 %). Compensa a largo plazo; a un año, depende de que el BPA de 2028e no baje del 2,0.</w:t>
      </w:r>
    </w:p>
    <w:p>
      <w:pPr>
        <w:pStyle w:val="Heading1"/>
      </w:pPr>
      <w:r>
        <w:t xml:space="preserve">22. Suma de partes</w:t>
      </w:r>
    </w:p>
    <w:p>
      <w:pPr>
        <w:pStyle w:val="Confianza"/>
        <w:spacing w:after="100"/>
      </w:pPr>
      <w:r>
        <w:t xml:space="preserve">Confianza: Media</w:t>
      </w:r>
    </w:p>
    <w:p>
      <w:pPr>
        <w:spacing w:after="100"/>
      </w:pPr>
      <w:r>
        <w:t xml:space="preserve">No aplica: los tres negocios (CHC, receta y distribución) se gestionan y cotizan juntos dentro del grupo; Tasly y KPC cotizan aparte y se reflejan con sus minoritarios a valor de mercado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CNY) · precio actual 25,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33,27 CNY (+28,9 % sobre 25,81).</w:t>
      </w:r>
    </w:p>
    <w:p>
      <w:pPr>
        <w:spacing w:after="100"/>
      </w:pPr>
      <w:r>
        <w:t xml:space="preserve">Pesamos el DCF al 50 %, los escenarios al 30 % y los comparables al 20 %. El DCF es el método más fiable porque recoge la estructura de minoritarios (72 % de Tasly y KPC) y el circulante alto; los comparables chinos cotizan a 16 veces beneficio con más crecimiento y sin esa estructura, y por eso dan valores mayores (≈ 31-36 CNY). Transacciones con peso cero: solo las dos compras de la propia Sanjiu, con prima de control. La dispersión es moderada: todos los métodos salvo el bajista dan más que el precio, y el bajista del DCF (24,44) apenas pierde un 5 %. El valor objetivo es 33,27 CNY (+28,9 %).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(12.9x) a mitad de camino hacia la mediana de 5 años (15.5x)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r>
    </w:tbl>
    <w:p>
      <w:pPr>
        <w:spacing w:after="160" w:before="0"/>
      </w:pPr>
    </w:p>
    <w:p>
      <w:pPr>
        <w:spacing w:after="100"/>
      </w:pPr>
      <w:r>
        <w:rPr>
          <w:b/>
          <w:bCs/>
        </w:rPr>
        <w:t xml:space="preserve">Objetivo a 12 meses (ponderado):</w:t>
      </w:r>
      <w:r>
        <w:t xml:space="preserve"> 29,91 CNY · rentabilidad +19,8 % (base +21,3 %) · señal Comprar.</w:t>
      </w:r>
    </w:p>
    <w:p>
      <w:pPr>
        <w:spacing w:after="100"/>
      </w:pPr>
      <w:r>
        <w:t xml:space="preserve">Para comparar, con la regla v2 (historia al cierre, mismo precio): 11,0x / 12,9x / 16,3x, 14,9 %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(2,00 CNY) y 2028e (2,15) queda un 13 % y un 17 % por debajo de Sinolink (2,31 y 2,58) y un 13 % y un 12 % por debajo de Southwest (2,31 y 2,44) [15, 16]. La diferencia está en las ventas (proyectamos 31.683 M en 2027e frente a 34.555-35.105 M) y en los minoritarios: los brókeres suponen que el CHC deja de caer en 2026 y que KPC vuelve rápido a beneficio. Nuestro precio base (30,32 CNY) queda un 13,7 % por debajo del objetivo medio de 10 analistas (35,15) [34]. Lo mantenemos: las ventas del 2T26 cayeron un 13,5 % ya con Tasly en las dos bases, y los recortes de agosto van en nuestra dirección.</w:t>
      </w:r>
    </w:p>
    <w:p>
      <w:pPr>
        <w:keepNext/>
        <w:spacing w:after="100"/>
      </w:pPr>
      <w:r>
        <w:rPr>
          <w:b/>
          <w:bCs/>
        </w:rPr>
        <w:t xml:space="preserve">Del valor intrínseco al objetivo a 12 meses.</w:t>
      </w:r>
    </w:p>
    <w:p>
      <w:pPr>
        <w:spacing w:after="100"/>
      </w:pPr>
      <w:r>
        <w:t xml:space="preserve">El objetivo a 12 meses (29,91 CNY, ponderado) queda un 10 % por debajo del valor intrínseco (33,27 CNY). Cerrar la distancia exige ver dos cosas en 2027: que KPC deje de perder dinero y que el CHC vuelva a crecer tras la temporada de gripe. Los resultados del 3T26 (24-oct) y del 4T26 (marzo) son los catalizadores con fecha. El dividendo (≈ 4 %) paga la espera.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comparable con Tasly en las dos bases; mide el suelo de KPC y del CHC antes de la gripe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gripe 2026-27 con el nuevo prospecto de Ganmaoling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 y el 1T son la mitad del beneficio del CHC; una ola fuerte (como el 4T25, +22 %) lo mueve ±10 %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2026 y prueba de deterioro del fondo de comercio de KPC (1.129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total restaría ≈ 0,68 CNY de BPA contable de una vez (no de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 TCM2219 (antigripal nuevo) y del GLP-1 BGM0504 para obesidad (socio)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productos para 2027-2028; pequeño en ventas al principio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lista nacional de reembolso y lotes de compras centralizadas de medicina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los productos de receta de Tasly y KPC</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final de 2026 (≈ 0,55-0,60 CNY)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 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KPC no toca suelo: pérdidas en 2027 y deterioro de su fondo de comercio y marcas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(pérdida de KPC de 400 M más en 2027e: −0,07 CNY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el 28 % de la pérdida es de Sanjiu; KPC tiene marca (Xuesaitong, 777) y el grupo la reestructura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KPC del 3T26 y 4T26 aún −30 % o peor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y control de precios en la receta (Tasly, KPC, inyectables de medicina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(escenario bajista: −1,5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CHC (sin receta) queda fuera de las compras; Tasly tiene productos exclusivos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Dantonic o Shenfu incluidos en un lote con rebaja &gt;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tráfico en farmacias y caída estructural del CHC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(bajista de crecimiento: −2 puntos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online creciendo ≈ 30 % y marca líder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CHC con el criterio anterior por debajo de 11.000 M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prospecto de Ganmaoling (no conducir, no beber) que reste demanda en la temporada 2026-27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(−10 % de ventas de Ganmaoling, ≈ 2.000 M en farmacia)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 todos los fabricantes de Ganmaoling; no prohíbe la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CHC del 4T26 por debajo del 4T24 (año de gripe normal)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Tasly y rendimiento de lo pagado (6.212 M a 23 veces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Tasly sube beneficio un 15 % en 2025 y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Tasly de 2026 por debajo de 1.100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vinculadas y uso de Sanjiu como plataforma de compras del grupo estatal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los minoritarios en las operaciones vinculadas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un activo del propio grupo China Resources a múltiplo alto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Gripe débil dos inviernos seguidos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de 45 productos de más de 100 M fuera de la gripe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la CDC china de positividad de gripe por debajo de la media en diciembre</w:t>
            </w:r>
          </w:p>
        </w:tc>
      </w:tr>
    </w:tbl>
    <w:p>
      <w:pPr>
        <w:spacing w:after="160" w:before="0"/>
      </w:pPr>
    </w:p>
    <w:p>
      <w:pPr>
        <w:pStyle w:val="Heading2"/>
      </w:pPr>
      <w:r>
        <w:t xml:space="preserve">Pre-mortem</w:t>
      </w:r>
    </w:p>
    <w:p>
      <w:pPr>
        <w:spacing w:after="100"/>
      </w:pPr>
      <w:r>
        <w:t xml:space="preserve">Octubre de 2029: la acción ha perdido un 40 %, a 15 CNY. La historia más probable empieza con KPC: sus ventas no se recuperaron tras el ajuste de canal de 2026, el grupo deterioró en 2027 su fondo de comercio (1.129 M) y sus marcas, y siguió perdiendo 300-400 M al año. A la vez, el lote nacional de compras de medicina china de 2027 incluyó Dantonic y los inyectables de Shenfu con rebajas del 40 %, y Tasly pasó de ganar 1.100 M a 700 M. El CHC no compensó: el tráfico en farmacias siguió cayendo, el nuevo prospecto de Ganmaoling restó demanda y la gripe fue débil. El BPA cayó de 2,06 a 1,50 CNY y el mercado lo pagó a 10 veces. Indicadores que lo habrían anticipado: ventas de KPC del 3T26 y 4T26, el resultado de las listas de compras de diciembre de 2026 y el CHC del 4T26 frente al 4T24.</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a +2 %</w:t>
      </w:r>
    </w:p>
    <w:p>
      <w:pPr>
        <w:spacing w:after="100"/>
      </w:pPr>
      <w:r>
        <w:t xml:space="preserve">El riesgo de IA es bajo. CR Sanjiu vende medicamentos físicos con marca y registro sanitario: la IA no sustituye un antigripal ni un medicamento para el corazón, y el canal (farmacias y hospitales) no se desintermedia por ella. Toca el lado del coste y de la I+D: la empresa usa IA en la fábrica (planta inteligente de Tasly reconocida por el Ministerio de Industria) y en el descubrimiento de medicamentos, y su plan 2026-2030 incluye «AI 智数化» [1, 6]. El riesgo indirecto es que los asistentes de IA en las plataformas de venta online recomienden genéricos más baratos que una marca: vigilarlo con la cuota de 999 en B2C. Señal: ventas online del CHC creciendo menos que el mercado online (≈ 30 %).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la calidad y la seguridad de los medicamentos (el nuevo prospecto de Ganmaoling nace de la vigilancia de reacciones adversas) y el cumplimiento en la promoción médica, que el regulador persigue desde 2023 [1, 19]. En medio ambiente, la empresa declara emisiones dentro de límites y sin sanciones en el 1S26, con plantas solares en varias fábricas [6]. Informe de sostenibilidad y ESG de 2025 publicado con el anual [1].</w:t>
      </w:r>
    </w:p>
    <w:p>
      <w:pPr>
        <w:pStyle w:val="Heading2"/>
      </w:pPr>
      <w:r>
        <w:t xml:space="preserve">Controversias</w:t>
      </w:r>
    </w:p>
    <w:p>
      <w:pPr>
        <w:spacing w:after="100"/>
      </w:pPr>
      <w:r>
        <w:t xml:space="preserve">No encontramos sanciones relevantes a CR Sanjiu en tres años en los informes anuales y anuncios de CNINFO. La controversia de 2026 es el nuevo prospecto de Ganmaoling (NMPA, 20-jul-2026), que la prensa presentó como «no se puede tomar a la ligera»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 la dirección que KPC vuelva a beneficio y qué parte de la caída de 2026 es de canal (existencias) y cuál de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KPC pierde ≈ 370 M en el 1S26; su fondo de comercio es de 1.129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cayó el CHC sin KPC en el 1S26 y cuánto de la caída es gripe frente a tráfico en farmacias?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CHC con el criterio nuevo cae un 23,3 %; la empresa no separa KPC.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productos de Tasly y KPC están en lotes de compras centralizadas o en listas de 2026-2027 y con qué rebaja?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 las ventas ya es receta.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Ganmaoling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ha registrado ya el nuevo prospecto y qué efecto ve la empresa en los pedidos de la temporada 2026-27?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del 15-oct-2026; 999 Ganmaoling vende más de 2.000 M en farmacia.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2.800 M de capex en 2026 (el doble que en 2025) y cuánto se ha comprometido ya?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solo se invirtieron 519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¿Subirá el grupo su participación en Tasly o KPC por encima del 28 %?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72 % del beneficio de las filiales es de minoritarios; comprarlos puede crear o destruir valor según el precio.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000999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análisis técnico (la media de 250 sesiones, el hueco del 27 de abril) y alivio de quienes compraron a 28-30 CNY; unos venden en el rebote y otros esperan «50 CNY» [40,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hilos sobre KPC y el grupo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hijo arrastra al padre»: KPC como lastre; dudas sobre si comprar KPC a 8,2 CNY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hilos de dividendo y rotación defensiva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cobrado el 16-oct y la caída del bono chino atraen a quien busca rentas; «buena acción para el particular a largo plazo»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(Jiemian, Securities Star)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prospecto de Ganmaoling («no se puede tomar a la ligera») y CHC en caída [19,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KPC como lastre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KPC pierde ≈ 370 M en el 1S26 y su fondo de comercio (1.129 M) está en riesgo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refugio defensivo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 4 % (1,04 CNY en 2025) con el bono a 10 años al 1,65 % [1, 36].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Gripe y Ganmaoling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 depende de la ola de gripe; el nuevo prospecto añade riesgo a la temporada 2026-27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 y compras centralizadas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lector señala que Ganmaoling no entra en el seguro médico ni en las compras en farmacia: el riesgo de precio está en la receta (Tasly, KPC), no en el CHC [1, 40].</w:t>
            </w:r>
          </w:p>
        </w:tc>
      </w:tr>
    </w:tbl>
    <w:p>
      <w:pPr>
        <w:spacing w:after="160" w:before="0"/>
      </w:pPr>
    </w:p>
    <w:p>
      <w:pPr>
        <w:spacing w:after="100"/>
      </w:pPr>
      <w:r>
        <w:t xml:space="preserve">El sentimiento del particular es tibio y técnico: no hay euforia ni capitulación, y la acción vuelve a la media de 250 sesiones tras dos años de caída [40]. Lo que más preocupa (KPC) es lo mismo que señala el informe; lo que gusta (dividendo frente al bono al 1,65 %) es real. No contradice a los analistas, que siguen en «comprar» con objetivos de 35-37 CNY. No aporta información nueva sobre las cifras.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44 (24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2,0 % en 2030e frente al 1,9 %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40,0 % frente a 38,0 % real: genera una variación de circulante de 187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14,9 %: para comprar o ampliar hace falta motivo de negocio propio; para mantener basta la vigente. Explicación: La regla v2 (historia al cierre) da 14,9 %, por debajo del 15 %: no hay compra robusta y la acción robusta es Mantener. Se dice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32,8 %, asimetría de 9,38, bajista del -5,3 % y el precio descuenta 4,4 puntos menos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 de segmentos (la empresa da ventas, coste y margen bruto por producto, no resultado de explotación); 2) informe semestral 2026; 3) notas de Sinolink y Southwest (solo margen bruto)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margen bruto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préstamos del semestral 2026 (solo corto, largo y parte corriente); 2) anuncio del préstamo de compra de Tasly (sin calendario); 3) informe anual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2024-2025 (solo cuotas de producto); 2) informes de Menet y 中康 citados por la empresa (sin cuota conjunta);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2025 de la empresa; 2) página de MSCI ESG Ratings (no abre sin JavaScript); 3) búsqueda de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CNINFO de 12 meses (sin compras ni ventas de directivos); 2) informe semestral 2026 (variación de acciones de directivos: ninguna); 3) base de Eastmoney de operaciones de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(no hubo operaciones; no hemos podido confirmar en el registro de SZSE)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 3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compra de Tasly (su tabla de comparables es de cotizadas, no de transacciones) [14]; 2) anuarios de compras del sector (Yunnan Baiyao, Jiangzhong) en prensa; 3) compras de marcas de CHC de Sanjiu (precio sin beneficio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dos con múltiplo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SZSE (préstamo de valores, sin dato de posición corta neta); 2) Eastmoney (solo saldo de financiación: 844 M); 3) Yahoo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normas chinas CAS): estados consolidados 2025 y 2024, ventas por producto y región (con el criterio nuevo y el anterior), fondo de comercio, compra de Tasly, minoritarios por filial, I+D,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http://static.cninfo.com.cn/finalpage/2026-03-21/1225023101.PDF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CAS): estados 2024 y 2023, segmentos CHC, receta y medicina tradicional (KPC), cambios en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http://static.cninfo.com.cn/finalpage/2025-03-13/1222778310.PDF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CAS): estados 2023 y 2022, compra del 28 % de KPC (2.902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http://static.cninfo.com.cn/finalpage/2024-03-23/1219390439.PDF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CAS): estados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http://static.cninfo.com.cn/finalpage/2023-03-29/1216247003.PDF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CAS): estados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http://static.cninfo.com.cn/finalpage/2022-03-26/1212687881.PDF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CAS): balance a 30-jun-2026, cuenta y flujos del 1S26, ventas por producto, Tasly y KPC, deuda por tipo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http://static.cninfo.com.cn/finalpage/2026-08-22/1225492182.PDF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2025年半年度报告 (informe semestral 2025, CAS): cuenta y flujos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http://static.cninfo.com.cn/finalpage/2025-08-16/1224498660.PDF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2026年一季度报告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http://static.cninfo.com.cn/finalpage/2026-04-25/1225178865.PDF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2025年三季度报告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http://static.cninfo.com.cn/finalpage/2025-10-25/1224733660.PDF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estructurados de 000999 (利润表, 资产负债表, 现金流量表) 1996-1S26: copia de los CAS usada para no transcribir a mano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F10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https://emweb.securities.eastmoney.com/PC_HSF10/NewFinanceAnalysis/Index?code=SZ000999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repartos de 000999 (dividendos y ampliaciones liberadas de 3 por 10 en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(datos de los anuncios de reparto)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https://data.eastmoney.com/yjfp/detail/000999.html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2026年半年度权益分派实施公告 (dividendo a cuenta del 1S26: 0,415 CNY por acción, 690,65 M, fecha ex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http://static.cninfo.com.cn/finalpage/2026-10-09/1225598051.PDF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关于2025年度计提各项资产减值准备的公告 (deterioros de 2025: 338 M dotados, 184 M revertidos)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http://static.cninfo.com.cn/finalpage/2026-03-21/1225023112.PDF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重大资产购买报告书（草案）（修订稿） (compra del 28 % de Tasly: 14,85 CNY por acción, 6.211,8 M; ventas y beneficio de Tasly 2023-2024; cuentas pro forma)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http://static.cninfo.com.cn/finalpage/2025-03-18/1222822415.PDF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1S26: «内生稳健，期待并购成效释放» (2T26, CHC y receta por separado, previsiones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 (国金证券), vía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https://pdf.dfcfw.com/pdf/H3_AP202608241828349107_1.pdf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1S26: «上半年利润承压» (supuestos por negocio y previsiones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Southwest Securities (西南证券), vía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https://pdf.dfcfw.com/pdf/H3_AP202609011828846588_1.pdf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2026年半年度业绩快报 (avance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http://static.cninfo.com.cn/finalpage/2026-07-15/1225424829.PDF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 2025: «业绩表现韧性十足» (CHC con el criterio anterior, KPC y Tasly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 (国金证券), vía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https://pdf.dfcfw.com/pdf/H3_AP202603221820687960_1.pdf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«“国民感冒药”感冒灵不能随便吃了» (NMPA, anuncio n.º 66 de 2026: nuevo prospecto de Ganmaoling; ventas de 999 Ganmaoling en farmacias urbanas &gt; 2.000 M en 2025, 米内网)</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Jiemian (界面新闻)</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https://www.jiemian.com/article/14844540.html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«华润三九营收...» (CHC presionado por farmacias y control del gasto sanitario; KPC con ventas del 1T26 −48 % y pérdidas)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Securities Star (证券之星)</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https://stock.stockstar.com/SS2026072200022973.shtml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(ventas, EBIT, beneficio 2025) de Yunnan Baiyao, Pien Tze Huang, Tong Ren Tang, Baiyunshan, Jiangzhong, Yiling, Dong-E-E-Jiao, Tasly y KPC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https://finance.yahoo.com/quote/000538.SZ/financials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Orient Securities sobre el 1S26 (CHC −23,3 % «sobre todo por el ajuste de KPC»; objetivo 37,20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Orient Securities (东方证券),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https://m.gelonghui.com/news/5305913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2026年半年报 (蓝鲸新闻): KPC pierde ≈ 370 M en el 1S26; receta +42,1 %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Lanjing (蓝鲸财经)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https://www.lanjinger.com/d/1787320763170450820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关于董事、高级管理人员离任的公告 (dimisión por jubilación de la consejera y vicepresidenta Zhou Hui, 147.593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http://static.cninfo.com.cn/finalpage/2026-07-15/1225424830.PDF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董事会2026年第九次会议决议公告 (el accionista de control propone a Xing Jian, director financiero,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http://static.cninfo.com.cn/finalpage/2026-09-02/1225541165.PDF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关于变更董事的公告 (Cui Xingpin dimite; Huang Xianfeng consejero por los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http://static.cninfo.com.cn/finalpage/2025-12-27/1224901483.PDF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关于2026年度董事、高级管理人员薪酬方案的公告 (variable ≥ 60 % de la retribución anual, con diferimiento)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http://static.cninfo.com.cn/finalpage/2026-06-09/1225357642.PDF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2026年度日常关联交易预计金额的公告 (límites de operaciones con el grupo China Resources)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http://static.cninfo.com.cn/finalpage/2025-12-10/1224861970.PDF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关于子公司与华润商业保理开展应收账款保理业务暨关联交易的公告 (factoring con la sociedad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http://static.cninfo.com.cn/finalpage/2026-08-22/1225492186.PDF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2025年年度股东会决议公告 (resultados de las votaciones de la junta de abril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http://static.cninfo.com.cn/finalpage/2026-04-17/1225111465.PDF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2026年第二次临时股东会决议公告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http://static.cninfo.com.cn/finalpage/2026-09-11/1225558080.PDF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000999.SZ, 510300.SS (CSI 300) y 512010.SS (CSI 300 salud) con `herramientas/bolsa.mjs`: precio, rango, volatilidad, betas y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https://finance.yahoo.com/quote/000999.SZ/history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en tiempo real de 000999 (cierre del 20-oct-2026: 25,81 CNY, 15:35:45 de Pekín)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https://hq.sinajs.cn/list=sz000999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Yahoo Finance (earningsTrend y objetivo medio de 10 analistas: 35,15 CNY) y fichas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https://finance.yahoo.com/quote/000999.SZ/analysis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informes de analistas de 000999 de los últimos 12 meses (seis notas: Sinolink, Southwest, China Post Securities)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https://data.eastmoney.com/report/stock.jshtml?code=000999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bonos del Estado chino (中债国债收益率曲线), 10 años: 1,6497 %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https://yield.chinabond.com.cn/cbweb-mn/yield_main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SZSE Securities / China Connect Securities (comprables y vendibles): 000999, CCASS 70999, actualizada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https://www.hkex.com.hk/-/media/HKEX-Market/Mutual-Market/Stock-Connect/Eligible-Stocks/View-All-Eligible-Securities_xls/SZSE_Securities.xls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Connect en IBKR (acceso de particulares a acciones A de Shanghái y Shenzhen)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 (base de conocimiento)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https://ibkb.interactivebrokers.com/article/2267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000999 en Guba (股吧), dos primeras páginas (≈ 100 mensajes del 13 al 20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https://guba.eastmoney.com/list,000999.html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000999 en Guba, página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https://guba.eastmoney.com/list,000999_2.html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Securities Star: «CHC presionado» (artículo y lectura de la prensa económica)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Securities Star (证券之星)</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https://stock.stockstar.com/SS2026072200022973.shtml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publicación de resultados (预约披露): 3T26 el 24-oct-2026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(calendario de 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https://data.eastmoney.com/bbsj/yysj.html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关于公司产品通过谈判首次纳入国家医保目录的公告 (producto incluido por primera vez en la lista nacional de reembolso)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Sanjiu (CNINFO/SZSE)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http://static.cninfo.com.cn/finalpage/2025-12-09/1224857271.PDF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85,9 %</w:t>
      </w:r>
      <w:r>
        <w:t xml:space="preserve"> · Secciones con menos del 60 % de campos cubiertos: </w:t>
      </w:r>
      <w:r>
        <w:rPr>
          <w:b/>
          <w:bCs/>
        </w:rPr>
        <w:t xml:space="preserve">gobierno</w:t>
      </w:r>
      <w:r>
        <w:t xml:space="preserve"> · Generado el 20 oct 2026.</w:t>
      </w:r>
    </w:p>
    <w:p>
      <w:pPr>
        <w:pStyle w:val="Nota"/>
        <w:spacing w:after="100"/>
      </w:pPr>
      <w:r>
        <w:t xml:space="preserve">Línea cotizada: acción A de Shenzhen (000999), en CNY; no tiene acciones H ni ADR; se compra desde el extranjero por el Stock Connect (Shenzhen-Hong Kong, lista de HKEX del 20-oct-2026, CCASS 70999) [38]. Cuentas en normas chinas (CAS) de los informes de CNINFO, leídas de la copia estructurada de Eastmoney y cotejadas con los anuales. Perímetro: KPC desde 2023 y Tasly desde el 27-mar-2025 (nueve meses en 2025): 2025 y 2026 no son comparables con los años anteriores. BPA, DPA y precios de cierre de 2018-2023 llevados a la base de acciones de hoy (ampliaciones liberadas de 3 por 10 en 2024 y 2025). La empresa no publica resultado por segmento ni transcripciones; usamos las notas de los brókeres. Minoritarios del puente a valor de mercado de Tasly y KPC (20.444 M frente a 16.303 M contables). Precio: cierre del 20-oct-2026 (25,81 CNY, Sina 15:35:45 de Pekín; Yahoo igual).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China Resources Sanjiu Medical &amp; Pharmaceutical Co., Ltd. (华润三九医药股份有限公司) (000999)</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25,81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(21,60 – 30,65)</c:v>
                </c:pt>
                <c:pt idx="1">
                  <c:v>Comparables: PER NTM (32,60 – 42,88)</c:v>
                </c:pt>
                <c:pt idx="2">
                  <c:v>DCF (WACC y g ± 0,5) (28,23 – 39,22)</c:v>
                </c:pt>
                <c:pt idx="3">
                  <c:v>Escenarios (bajista – alcista) (24,44 – 38,63)</c:v>
                </c:pt>
                <c:pt idx="4">
                  <c:v>DCF con la prima implícita del mercado (4,2 %)</c:v>
                </c:pt>
                <c:pt idx="5">
                  <c:v>Precio actual (25,81)</c:v>
                </c:pt>
              </c:strCache>
            </c:strRef>
          </c:cat>
          <c:val>
            <c:numRef>
              <c:f>Hoja1!$B$2:$B$7</c:f>
              <c:numCache>
                <c:formatCode>#,##0.0</c:formatCode>
                <c:ptCount val="6"/>
                <c:pt idx="0">
                  <c:v>21.6</c:v>
                </c:pt>
                <c:pt idx="1">
                  <c:v>32.6</c:v>
                </c:pt>
                <c:pt idx="2">
                  <c:v>28.23</c:v>
                </c:pt>
                <c:pt idx="3">
                  <c:v>24.44</c:v>
                </c:pt>
                <c:pt idx="4">
                  <c:v>36.19</c:v>
                </c:pt>
                <c:pt idx="5">
                  <c:v>25.68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(21,60 – 30,65)</c:v>
                </c:pt>
                <c:pt idx="1">
                  <c:v>Comparables: PER NTM (32,60 – 42,88)</c:v>
                </c:pt>
                <c:pt idx="2">
                  <c:v>DCF (WACC y g ± 0,5) (28,23 – 39,22)</c:v>
                </c:pt>
                <c:pt idx="3">
                  <c:v>Escenarios (bajista – alcista) (24,44 – 38,63)</c:v>
                </c:pt>
                <c:pt idx="4">
                  <c:v>DCF con la prima implícita del mercado (4,2 %)</c:v>
                </c:pt>
                <c:pt idx="5">
                  <c:v>Precio actual (25,81)</c:v>
                </c:pt>
              </c:strCache>
            </c:strRef>
          </c:cat>
          <c:val>
            <c:numRef>
              <c:f>Hoja1!$C$2:$C$7</c:f>
              <c:numCache>
                <c:formatCode>#,##0.0</c:formatCode>
                <c:ptCount val="6"/>
                <c:pt idx="0">
                  <c:v>9.049999999999997</c:v>
                </c:pt>
                <c:pt idx="1">
                  <c:v>10.280000000000001</c:v>
                </c:pt>
                <c:pt idx="2">
                  <c:v>10.989999999999998</c:v>
                </c:pt>
                <c:pt idx="3">
                  <c:v>14.190000000000001</c:v>
                </c:pt>
                <c:pt idx="4">
                  <c:v>9.260000000000005</c:v>
                </c:pt>
                <c:pt idx="5">
                  <c:v>0.26000000000000156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CHC (sin receta y salud de consumo)</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17707.66</c:v>
                </c:pt>
                <c:pt idx="1">
                  <c:v>15110.57</c:v>
                </c:pt>
              </c:numCache>
            </c:numRef>
          </c:val>
        </c:ser>
        <c:ser>
          <c:idx val="1"/>
          <c:order val="1"/>
          <c:tx>
            <c:strRef>
              <c:f>Hoja1!$C$1</c:f>
              <c:strCache>
                <c:ptCount val="1"/>
                <c:pt idx="0">
                  <c:v>Medicamentos con receta (incluye Tasly y la medicina tradicional de KPC)</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6005.7</c:v>
                </c:pt>
                <c:pt idx="1">
                  <c:v>12094.04</c:v>
                </c:pt>
              </c:numCache>
            </c:numRef>
          </c:val>
        </c:ser>
        <c:ser>
          <c:idx val="2"/>
          <c:order val="2"/>
          <c:tx>
            <c:strRef>
              <c:f>Hoja1!$D$1</c:f>
              <c:strCache>
                <c:ptCount val="1"/>
                <c:pt idx="0">
                  <c:v>Distribución y farmacias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3372.54</c:v>
                </c:pt>
                <c:pt idx="1">
                  <c:v>3897.4</c:v>
                </c:pt>
              </c:numCache>
            </c:numRef>
          </c:val>
        </c:ser>
        <c:ser>
          <c:idx val="3"/>
          <c:order val="3"/>
          <c:tx>
            <c:strRef>
              <c:f>Hoja1!$E$1</c:f>
              <c:strCache>
                <c:ptCount val="1"/>
                <c:pt idx="0">
                  <c:v>Envases e impresión y otros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530.71</c:v>
                </c:pt>
                <c:pt idx="1">
                  <c:v>500.57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CHC (sin receta y salud de consumo)</c:v>
                </c:pt>
                <c:pt idx="1">
                  <c:v>Medicamentos con receta (incluye Tasly y la medicina tradicional de KPC)</c:v>
                </c:pt>
                <c:pt idx="2">
                  <c:v>Distribución y farmacias</c:v>
                </c:pt>
                <c:pt idx="3">
                  <c:v>Envases e impresión y otros</c:v>
                </c:pt>
              </c:strCache>
            </c:strRef>
          </c:cat>
          <c:val>
            <c:numRef>
              <c:f>Hoja1!$B$2:$B$5</c:f>
              <c:numCache>
                <c:formatCode>General</c:formatCode>
                <c:ptCount val="4"/>
                <c:pt idx="0">
                  <c:v>47.8</c:v>
                </c:pt>
                <c:pt idx="1">
                  <c:v>38.3</c:v>
                </c:pt>
                <c:pt idx="2">
                  <c:v>12.3</c:v>
                </c:pt>
                <c:pt idx="3">
                  <c:v>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Oeste de China</c:v>
                </c:pt>
                <c:pt idx="1">
                  <c:v>Este de China</c:v>
                </c:pt>
                <c:pt idx="2">
                  <c:v>Sur de China</c:v>
                </c:pt>
                <c:pt idx="3">
                  <c:v>Norte de China</c:v>
                </c:pt>
                <c:pt idx="4">
                  <c:v>Exterior</c:v>
                </c:pt>
              </c:strCache>
            </c:strRef>
          </c:cat>
          <c:val>
            <c:numRef>
              <c:f>Hoja1!$B$2:$B$6</c:f>
              <c:numCache>
                <c:formatCode>0"%"</c:formatCode>
                <c:ptCount val="5"/>
                <c:pt idx="0">
                  <c:v>28.93</c:v>
                </c:pt>
                <c:pt idx="1">
                  <c:v>27.44</c:v>
                </c:pt>
                <c:pt idx="2">
                  <c:v>22.85</c:v>
                </c:pt>
                <c:pt idx="3">
                  <c:v>19.64</c:v>
                </c:pt>
                <c:pt idx="4">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CNY (estimación propia: 2025 anualizado; 2026e −1,3 %; después 1,7 % anual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1680000</c:v>
                </c:pt>
                <c:pt idx="1">
                  <c:v>1658000</c:v>
                </c:pt>
                <c:pt idx="2">
                  <c:v>1686000</c:v>
                </c:pt>
                <c:pt idx="3">
                  <c:v>1715000</c:v>
                </c:pt>
                <c:pt idx="4">
                  <c:v>1744000</c:v>
                </c:pt>
                <c:pt idx="5">
                  <c:v>1774000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CR Sanjiu</c:v>
                </c:pt>
                <c:pt idx="1">
                  <c:v>Yunnan Baiyao</c:v>
                </c:pt>
                <c:pt idx="2">
                  <c:v>Guangzhou Baiyunshan</c:v>
                </c:pt>
                <c:pt idx="3">
                  <c:v>Beijing Tong Ren Tang</c:v>
                </c:pt>
                <c:pt idx="4">
                  <c:v>Shijiazhuang Yiling</c:v>
                </c:pt>
                <c:pt idx="5">
                  <c:v>Jiangzhong Pharmaceutical</c:v>
                </c:pt>
                <c:pt idx="6">
                  <c:v>Zhangzhou Pien Tze Huang</c:v>
                </c:pt>
                <c:pt idx="7">
                  <c:v>Dong-E-E-Jiao</c:v>
                </c:pt>
              </c:strCache>
            </c:strRef>
          </c:cat>
          <c:val>
            <c:numRef>
              <c:f>Hoja1!$B$2:$B$9</c:f>
              <c:numCache>
                <c:formatCode>0.0"%"</c:formatCode>
                <c:ptCount val="8"/>
                <c:pt idx="0">
                  <c:v>14.7</c:v>
                </c:pt>
                <c:pt idx="1">
                  <c:v>14.7</c:v>
                </c:pt>
                <c:pt idx="2">
                  <c:v>5.3</c:v>
                </c:pt>
                <c:pt idx="3">
                  <c:v>12.5</c:v>
                </c:pt>
                <c:pt idx="4">
                  <c:v>20.3</c:v>
                </c:pt>
                <c:pt idx="5">
                  <c:v>28.8</c:v>
                </c:pt>
                <c:pt idx="6">
                  <c:v>28.5</c:v>
                </c:pt>
                <c:pt idx="7">
                  <c:v>30.8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15544.4</c:v>
                </c:pt>
                <c:pt idx="1">
                  <c:v>18079.46</c:v>
                </c:pt>
                <c:pt idx="2">
                  <c:v>24738.96</c:v>
                </c:pt>
                <c:pt idx="3">
                  <c:v>27616.61</c:v>
                </c:pt>
                <c:pt idx="4">
                  <c:v>31602.58</c:v>
                </c:pt>
                <c:pt idx="5">
                  <c:v>30465</c:v>
                </c:pt>
                <c:pt idx="6">
                  <c:v>31683</c:v>
                </c:pt>
                <c:pt idx="7">
                  <c:v>33109</c:v>
                </c:pt>
                <c:pt idx="8">
                  <c:v>34599</c:v>
                </c:pt>
                <c:pt idx="9">
                  <c:v>35983</c:v>
                </c:pt>
                <c:pt idx="10">
                  <c:v>37243</c:v>
                </c:pt>
                <c:pt idx="11">
                  <c:v>38360</c:v>
                </c:pt>
                <c:pt idx="12">
                  <c:v>39511</c:v>
                </c:pt>
                <c:pt idx="13">
                  <c:v>40498</c:v>
                </c:pt>
                <c:pt idx="14">
                  <c:v>41308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2891.89</c:v>
                </c:pt>
                <c:pt idx="1">
                  <c:v>3493.15</c:v>
                </c:pt>
                <c:pt idx="2">
                  <c:v>4594.37</c:v>
                </c:pt>
                <c:pt idx="3">
                  <c:v>5429.17</c:v>
                </c:pt>
                <c:pt idx="4">
                  <c:v>6070.69</c:v>
                </c:pt>
                <c:pt idx="5">
                  <c:v>6063</c:v>
                </c:pt>
                <c:pt idx="6">
                  <c:v>6495</c:v>
                </c:pt>
                <c:pt idx="7">
                  <c:v>6953</c:v>
                </c:pt>
                <c:pt idx="8">
                  <c:v>7266</c:v>
                </c:pt>
                <c:pt idx="9">
                  <c:v>7556</c:v>
                </c:pt>
                <c:pt idx="10">
                  <c:v>7821</c:v>
                </c:pt>
                <c:pt idx="11">
                  <c:v>8056</c:v>
                </c:pt>
                <c:pt idx="12">
                  <c:v>8297</c:v>
                </c:pt>
                <c:pt idx="13">
                  <c:v>8505</c:v>
                </c:pt>
                <c:pt idx="14">
                  <c:v>8675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57.8</c:v>
                </c:pt>
                <c:pt idx="1">
                  <c:v>52.9</c:v>
                </c:pt>
                <c:pt idx="2">
                  <c:v>52.1</c:v>
                </c:pt>
                <c:pt idx="3">
                  <c:v>50.8</c:v>
                </c:pt>
                <c:pt idx="4">
                  <c:v>52.8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18.6</c:v>
                </c:pt>
                <c:pt idx="1">
                  <c:v>19.3</c:v>
                </c:pt>
                <c:pt idx="2">
                  <c:v>18.6</c:v>
                </c:pt>
                <c:pt idx="3">
                  <c:v>19.7</c:v>
                </c:pt>
                <c:pt idx="4">
                  <c:v>19.2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15.2</c:v>
                </c:pt>
                <c:pt idx="1">
                  <c:v>16.2</c:v>
                </c:pt>
                <c:pt idx="2">
                  <c:v>15.1</c:v>
                </c:pt>
                <c:pt idx="3">
                  <c:v>16.4</c:v>
                </c:pt>
                <c:pt idx="4">
                  <c:v>14.7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13.2</c:v>
                </c:pt>
                <c:pt idx="1">
                  <c:v>13.5</c:v>
                </c:pt>
                <c:pt idx="2">
                  <c:v>11.5</c:v>
                </c:pt>
                <c:pt idx="3">
                  <c:v>12.2</c:v>
                </c:pt>
                <c:pt idx="4">
                  <c:v>10.8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3.2</c:v>
                </c:pt>
                <c:pt idx="1">
                  <c:v>28.5</c:v>
                </c:pt>
                <c:pt idx="2">
                  <c:v>-6</c:v>
                </c:pt>
                <c:pt idx="3">
                  <c:v>16.8</c:v>
                </c:pt>
                <c:pt idx="4">
                  <c:v>27.4</c:v>
                </c:pt>
                <c:pt idx="5">
                  <c:v>22.1</c:v>
                </c:pt>
                <c:pt idx="6">
                  <c:v>18.6</c:v>
                </c:pt>
                <c:pt idx="7">
                  <c:v>-13.5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127</c:v>
                </c:pt>
                <c:pt idx="1">
                  <c:v>114</c:v>
                </c:pt>
                <c:pt idx="2">
                  <c:v>117</c:v>
                </c:pt>
                <c:pt idx="3">
                  <c:v>117</c:v>
                </c:pt>
                <c:pt idx="4">
                  <c:v>126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132</c:v>
                </c:pt>
                <c:pt idx="1">
                  <c:v>107</c:v>
                </c:pt>
                <c:pt idx="2">
                  <c:v>158</c:v>
                </c:pt>
                <c:pt idx="3">
                  <c:v>132</c:v>
                </c:pt>
                <c:pt idx="4">
                  <c:v>153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83</c:v>
                </c:pt>
                <c:pt idx="1">
                  <c:v>77</c:v>
                </c:pt>
                <c:pt idx="2">
                  <c:v>95</c:v>
                </c:pt>
                <c:pt idx="3">
                  <c:v>85</c:v>
                </c:pt>
                <c:pt idx="4">
                  <c:v>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749.6500000000001</c:v>
                </c:pt>
                <c:pt idx="1">
                  <c:v>1931.86</c:v>
                </c:pt>
                <c:pt idx="2">
                  <c:v>3217.0899999999997</c:v>
                </c:pt>
                <c:pt idx="3">
                  <c:v>3506.6099999999997</c:v>
                </c:pt>
                <c:pt idx="4">
                  <c:v>3502.69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2055.1</c:v>
                </c:pt>
                <c:pt idx="1">
                  <c:v>2448.8</c:v>
                </c:pt>
                <c:pt idx="2">
                  <c:v>2852.93</c:v>
                </c:pt>
                <c:pt idx="3">
                  <c:v>3367.89</c:v>
                </c:pt>
                <c:pt idx="4">
                  <c:v>3421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17.3</c:v>
                </c:pt>
                <c:pt idx="1">
                  <c:v>18.6</c:v>
                </c:pt>
                <c:pt idx="2">
                  <c:v>18.7</c:v>
                </c:pt>
                <c:pt idx="3">
                  <c:v>19.2</c:v>
                </c:pt>
                <c:pt idx="4">
                  <c:v>14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7.6</c:v>
                </c:pt>
                <c:pt idx="1">
                  <c:v>7.6</c:v>
                </c:pt>
                <c:pt idx="2">
                  <c:v>7.6</c:v>
                </c:pt>
                <c:pt idx="3">
                  <c:v>7.6</c:v>
                </c:pt>
                <c:pt idx="4">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13.4</c:v>
                </c:pt>
                <c:pt idx="1">
                  <c:v>15.2</c:v>
                </c:pt>
                <c:pt idx="2">
                  <c:v>15.9</c:v>
                </c:pt>
                <c:pt idx="3">
                  <c:v>17.3</c:v>
                </c:pt>
                <c:pt idx="4">
                  <c:v>16.3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c:v>
                </c:pt>
                <c:pt idx="1">
                  <c:v>-0.79</c:v>
                </c:pt>
                <c:pt idx="2">
                  <c:v>-1.14</c:v>
                </c:pt>
                <c:pt idx="3">
                  <c:v>-0.99</c:v>
                </c:pt>
                <c:pt idx="4">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120.63</c:v>
                </c:pt>
                <c:pt idx="1">
                  <c:v>11.76</c:v>
                </c:pt>
                <c:pt idx="2">
                  <c:v>0.05</c:v>
                </c:pt>
                <c:pt idx="3">
                  <c:v>0</c:v>
                </c:pt>
                <c:pt idx="4">
                  <c:v>5251.06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538.51</c:v>
                </c:pt>
                <c:pt idx="1">
                  <c:v>900.02</c:v>
                </c:pt>
                <c:pt idx="2">
                  <c:v>1184.35</c:v>
                </c:pt>
                <c:pt idx="3">
                  <c:v>2960.01</c:v>
                </c:pt>
                <c:pt idx="4">
                  <c:v>1668.6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4</c:v>
                </c:pt>
                <c:pt idx="1">
                  <c:v>3</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China Resources Pharmaceutical Holdings (华润医药控股; grupo China Resources, SASAC)</c:v>
                </c:pt>
                <c:pt idx="1">
                  <c:v>HKSCC (inversores de Hong Kong por Stock Connect)</c:v>
                </c:pt>
                <c:pt idx="2">
                  <c:v>Liu Shaoluan (persona física)</c:v>
                </c:pt>
                <c:pt idx="3">
                  <c:v>E Fund CSI 300 Health Care ETF</c:v>
                </c:pt>
              </c:strCache>
            </c:strRef>
          </c:cat>
          <c:val>
            <c:numRef>
              <c:f>Hoja1!$B$2:$B$5</c:f>
              <c:numCache>
                <c:formatCode>0.0"%"</c:formatCode>
                <c:ptCount val="4"/>
                <c:pt idx="0">
                  <c:v>63.22</c:v>
                </c:pt>
                <c:pt idx="1">
                  <c:v>1.81</c:v>
                </c:pt>
                <c:pt idx="2">
                  <c:v>0.82</c:v>
                </c:pt>
                <c:pt idx="3">
                  <c:v>0.65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-8.9</c:v>
                </c:pt>
                <c:pt idx="1">
                  <c:v>10.6</c:v>
                </c:pt>
                <c:pt idx="2">
                  <c:v>-7.1</c:v>
                </c:pt>
                <c:pt idx="3">
                  <c:v>29.2</c:v>
                </c:pt>
                <c:pt idx="4">
                  <c:v>-20.2</c:v>
                </c:pt>
                <c:pt idx="5">
                  <c:v>40</c:v>
                </c:pt>
                <c:pt idx="6">
                  <c:v>39.8</c:v>
                </c:pt>
                <c:pt idx="7">
                  <c:v>8</c:v>
                </c:pt>
                <c:pt idx="8">
                  <c:v>22.4</c:v>
                </c:pt>
                <c:pt idx="9">
                  <c:v>-14.6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-9.7</c:v>
                </c:pt>
                <c:pt idx="1">
                  <c:v>23.4</c:v>
                </c:pt>
                <c:pt idx="2">
                  <c:v>-24.2</c:v>
                </c:pt>
                <c:pt idx="3">
                  <c:v>38.6</c:v>
                </c:pt>
                <c:pt idx="4">
                  <c:v>29.1</c:v>
                </c:pt>
                <c:pt idx="5">
                  <c:v>-4</c:v>
                </c:pt>
                <c:pt idx="6">
                  <c:v>-20.1</c:v>
                </c:pt>
                <c:pt idx="7">
                  <c:v>-9.8</c:v>
                </c:pt>
                <c:pt idx="8">
                  <c:v>17.4</c:v>
                </c:pt>
                <c:pt idx="9">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10.3</c:v>
                </c:pt>
                <c:pt idx="1">
                  <c:v>12.6</c:v>
                </c:pt>
                <c:pt idx="2">
                  <c:v>10.7</c:v>
                </c:pt>
                <c:pt idx="3">
                  <c:v>10.5</c:v>
                </c:pt>
                <c:pt idx="4">
                  <c:v>10.2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10.5</c:v>
                </c:pt>
                <c:pt idx="1">
                  <c:v>10.5</c:v>
                </c:pt>
                <c:pt idx="2">
                  <c:v>10.5</c:v>
                </c:pt>
                <c:pt idx="3">
                  <c:v>10.5</c:v>
                </c:pt>
                <c:pt idx="4">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CR Sanjiu</c:v>
                </c:pt>
                <c:pt idx="1">
                  <c:v>Yunnan Baiyao</c:v>
                </c:pt>
                <c:pt idx="2">
                  <c:v>Zhangzhou Pien Tze Huang</c:v>
                </c:pt>
                <c:pt idx="3">
                  <c:v>Beijing Tong Ren Tang</c:v>
                </c:pt>
                <c:pt idx="4">
                  <c:v>Guangzhou Baiyunshan</c:v>
                </c:pt>
                <c:pt idx="5">
                  <c:v>Jiangzhong Pharmaceutical</c:v>
                </c:pt>
                <c:pt idx="6">
                  <c:v>Shijiazhuang Yiling</c:v>
                </c:pt>
                <c:pt idx="7">
                  <c:v>Dong-E-E-Jiao</c:v>
                </c:pt>
                <c:pt idx="8">
                  <c:v>Taiji Group</c:v>
                </c:pt>
                <c:pt idx="9">
                  <c:v>Jiangsu Kanion</c:v>
                </c:pt>
              </c:strCache>
            </c:strRef>
          </c:cat>
          <c:val>
            <c:numRef>
              <c:f>Hoja1!$B$2:$B$11</c:f>
              <c:numCache>
                <c:formatCode>0.0"x"</c:formatCode>
                <c:ptCount val="10"/>
                <c:pt idx="0">
                  <c:v>8.8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3411</c:v>
                </c:pt>
                <c:pt idx="1">
                  <c:v>3583</c:v>
                </c:pt>
                <c:pt idx="2">
                  <c:v>3882</c:v>
                </c:pt>
                <c:pt idx="3">
                  <c:v>4085</c:v>
                </c:pt>
                <c:pt idx="4">
                  <c:v>4344</c:v>
                </c:pt>
                <c:pt idx="5">
                  <c:v>4597</c:v>
                </c:pt>
                <c:pt idx="6">
                  <c:v>4800</c:v>
                </c:pt>
                <c:pt idx="7">
                  <c:v>4937</c:v>
                </c:pt>
                <c:pt idx="8">
                  <c:v>5137</c:v>
                </c:pt>
                <c:pt idx="9">
                  <c:v>5319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29356</c:v>
                </c:pt>
                <c:pt idx="1">
                  <c:v>41712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25,81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24.44</c:v>
                </c:pt>
                <c:pt idx="1">
                  <c:v>32.91</c:v>
                </c:pt>
                <c:pt idx="2">
                  <c:v>38.63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25,81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(21,60 – 30,65)</c:v>
                </c:pt>
                <c:pt idx="1">
                  <c:v>Comparables: PER NTM (32,60 – 42,88)</c:v>
                </c:pt>
                <c:pt idx="2">
                  <c:v>DCF (WACC y g ± 0,5) (28,23 – 39,22)</c:v>
                </c:pt>
                <c:pt idx="3">
                  <c:v>Escenarios (bajista – alcista) (24,44 – 38,63)</c:v>
                </c:pt>
                <c:pt idx="4">
                  <c:v>DCF con la prima implícita del mercado (4,2 %)</c:v>
                </c:pt>
                <c:pt idx="5">
                  <c:v>Precio actual (25,81)</c:v>
                </c:pt>
              </c:strCache>
            </c:strRef>
          </c:cat>
          <c:val>
            <c:numRef>
              <c:f>Hoja1!$B$2:$B$7</c:f>
              <c:numCache>
                <c:formatCode>#,##0.0</c:formatCode>
                <c:ptCount val="6"/>
                <c:pt idx="0">
                  <c:v>21.6</c:v>
                </c:pt>
                <c:pt idx="1">
                  <c:v>32.6</c:v>
                </c:pt>
                <c:pt idx="2">
                  <c:v>28.23</c:v>
                </c:pt>
                <c:pt idx="3">
                  <c:v>24.44</c:v>
                </c:pt>
                <c:pt idx="4">
                  <c:v>36.19</c:v>
                </c:pt>
                <c:pt idx="5">
                  <c:v>25.68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(21,60 – 30,65)</c:v>
                </c:pt>
                <c:pt idx="1">
                  <c:v>Comparables: PER NTM (32,60 – 42,88)</c:v>
                </c:pt>
                <c:pt idx="2">
                  <c:v>DCF (WACC y g ± 0,5) (28,23 – 39,22)</c:v>
                </c:pt>
                <c:pt idx="3">
                  <c:v>Escenarios (bajista – alcista) (24,44 – 38,63)</c:v>
                </c:pt>
                <c:pt idx="4">
                  <c:v>DCF con la prima implícita del mercado (4,2 %)</c:v>
                </c:pt>
                <c:pt idx="5">
                  <c:v>Precio actual (25,81)</c:v>
                </c:pt>
              </c:strCache>
            </c:strRef>
          </c:cat>
          <c:val>
            <c:numRef>
              <c:f>Hoja1!$C$2:$C$7</c:f>
              <c:numCache>
                <c:formatCode>#,##0.0</c:formatCode>
                <c:ptCount val="6"/>
                <c:pt idx="0">
                  <c:v>9.049999999999997</c:v>
                </c:pt>
                <c:pt idx="1">
                  <c:v>10.280000000000001</c:v>
                </c:pt>
                <c:pt idx="2">
                  <c:v>10.989999999999998</c:v>
                </c:pt>
                <c:pt idx="3">
                  <c:v>14.190000000000001</c:v>
                </c:pt>
                <c:pt idx="4">
                  <c:v>9.260000000000005</c:v>
                </c:pt>
                <c:pt idx="5">
                  <c:v>0.26000000000000156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