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Grupo Aeroportuario del Centro Norte, S.A.B. de C.V. (OMA)</w:t>
      </w:r>
    </w:p>
    <w:p>
      <w:pPr>
        <w:spacing w:after="60"/>
        <w:rPr>
          <w:color w:val="52514E"/>
          <w:sz w:val="22"/>
          <w:szCs w:val="22"/>
        </w:rPr>
      </w:pPr>
      <w:r>
        <w:rPr>
          <w:color w:val="52514E"/>
          <w:sz w:val="22"/>
          <w:szCs w:val="22"/>
        </w:rPr>
        <w:t xml:space="preserve">OMAB · Bolsa Mexicana de Valores (OMA B); ADS en el Nasdaq (OMAB, 8 acciones B por ADS) · ISIN MX01OM000018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MXN</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204,78 MXN</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222,70 MXN</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+14,9 % (base +15,9 %)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143,08 MXN · mercado 151,33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79.080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Grupo Aeroportuario del Centro Norte, S.A.B. de C.V. (OMA)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OMAB / MX01OM000018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Mexicana de Valores (OMA B); ADS en el Nasdaq (OMAB, 8 acciones B por ADS)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S&amp;P/BMV IPC</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Infraestructuras de transporte (aeropuertos)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Monterrey y Ciudad de México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www.oma.aero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204,78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199,75 – 289,74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79.080 M MXN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94.020 M MXN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180 M MXN/día en la BMV (3 meses)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222,70 MXN</w:t>
      </w:r>
      <w:r>
        <w:t xml:space="preserve"> frente a 204,78 · Rentabilidad a 12 meses </w:t>
      </w:r>
      <w:r>
        <w:rPr>
          <w:b/>
          <w:bCs/>
        </w:rPr>
        <w:t xml:space="preserve">+14,9 % (base +15,9 %)</w:t>
      </w:r>
      <w:r>
        <w:t xml:space="preserve"> · Valor intrínseco 143,08 MXN · con la prima implícita del mercado: 151,33 (-26,1 %) · Alcista / bajista -36,9 % / -62,2 %</w:t>
      </w:r>
    </w:p>
    <w:p>
      <w:pPr>
        <w:spacing w:after="100"/>
      </w:pPr>
      <w:r>
        <w:rPr>
          <w:b/>
        </w:rPr>
        <w:t xml:space="preserve">La recomendación y por qué.</w:t>
      </w:r>
      <w:r>
        <w:t xml:space="preserve"> Mantener, con convicción media. El objetivo a 12 meses es de 222,70 MXN (nuestro BPA de 2028 por un PER de 13,4 veces), con una rentabilidad ponderada del 14,9 % y del 15,9 % en el caso base, dividendo incluido; pero el valor intrínseco es de 143,08, un 30,1 % por debajo de los 204,78 del cierre del 14-oct, y la regla no deja comprar por encima del valor intrínseco. El objetivo medio de los analistas (259,60) queda entre nuestro base (224,85) y nuestro alcista (276,74) a 12 meses, y muy por encima de nuestro valor intrínseco. La convicción es media porque las dos lecturas no coinciden; subiría si la empresa obtuviera la prórroga de la concesión más allá de 2048 y bajaría con un tráfico negativo en el 4T26.</w:t>
      </w:r>
    </w:p>
    <w:p>
      <w:pPr>
        <w:spacing w:after="100"/>
      </w:pPr>
      <w:r>
        <w:rPr>
          <w:b/>
        </w:rPr>
        <w:t xml:space="preserve">El negocio.</w:t>
      </w:r>
      <w:r>
        <w:t xml:space="preserve"> Trece aeropuertos en concesión exclusiva hasta 2048, con Monterrey como 54 % del tráfico [1]. ROIC del 29,7 % frente a un WACC del 13,33 % (16,4 puntos) y margen EBITDA ajustado del 74,5 %, de los más altos del sector [5]. Veredicto de calidad: </w:t>
      </w:r>
      <w:r>
        <w:rPr>
          <w:b/>
        </w:rPr>
        <w:t xml:space="preserve">Sí</w:t>
      </w:r>
      <w:r>
        <w:t xml:space="preserve">. La sostenibilidad del crecimiento es «Sí»: el 6,1 % anual proyectado es menor que el 7,6 % que financia su reinversión, y la tarifa máxima 2026-2030 está aprobada para remunerar el Plan Maestro [1].</w:t>
      </w:r>
    </w:p>
    <w:p>
      <w:pPr>
        <w:spacing w:after="100"/>
      </w:pPr>
      <w:r>
        <w:rPr>
          <w:b/>
        </w:rPr>
        <w:t xml:space="preserve">Sector y ciclo.</w:t>
      </w:r>
      <w:r>
        <w:t xml:space="preserve"> Las aerolíneas recortan capacidad por el queroseno y los motores de Pratt &amp; Whitney: tráfico del +0,4 % en el 2T26 y −4,8 % en septiembre [4, 9]. Viva y Volaris, el 62,9 % de los ingresos aeronáuticos, se fusionan [1].</w:t>
      </w:r>
    </w:p>
    <w:p>
      <w:pPr>
        <w:spacing w:after="100"/>
      </w:pPr>
      <w:r>
        <w:rPr>
          <w:b/>
        </w:rPr>
        <w:t xml:space="preserve">Finanzas.</w:t>
      </w:r>
      <w:r>
        <w:t xml:space="preserve"> Ingresos sin construcción de 13.651 M en 2025 (+11,8 %), BPA de 13,83 y deuda neta de 1,07 veces el EBITDA [1]. Reparte el 90 % del beneficio mientras invierte unos 4.000 M al año del Plan Maestro: la deuda subirá.</w:t>
      </w:r>
    </w:p>
    <w:p>
      <w:pPr>
        <w:spacing w:after="100"/>
      </w:pPr>
      <w:r>
        <w:rPr>
          <w:b/>
        </w:rPr>
        <w:t xml:space="preserve">Equipo y gobierno.</w:t>
      </w:r>
      <w:r>
        <w:t xml:space="preserve"> VINCI controla con el 29,99 % y la serie BB, preside el consejo y cobra una comisión de asistencia técnica de 261 M [1]. Gestión profesional; el cambio de auditor a EY en 2026 no muestra desacuerdos [14].</w:t>
      </w:r>
    </w:p>
    <w:p>
      <w:pPr>
        <w:spacing w:after="100"/>
      </w:pPr>
      <w:r>
        <w:rPr>
          <w:b/>
        </w:rPr>
        <w:t xml:space="preserve">Valoración.</w:t>
      </w:r>
      <w:r>
        <w:t xml:space="preserve"> El DCF (108,73) exige respetar el fin de la concesión en 2048 y un coste del capital en pesos del 13 %: el precio implica una rentabilidad del 8,8 % con nuestros flujos, por debajo del bono mexicano (9,16 %), o un crecimiento del 14,5 % anual frente a nuestro 6,2 %. Los múltiplos dicen lo contrario: PER de 14,6 veces, en su media histórica, y por debajo de los comparables (15,7). Nuestro BPA de 2028 (16,78) está un 21,8 % por debajo del consenso, que creemos alto.</w:t>
      </w:r>
    </w:p>
    <w:p>
      <w:pPr>
        <w:spacing w:after="100"/>
      </w:pPr>
      <w:r>
        <w:rPr>
          <w:b/>
        </w:rPr>
        <w:t xml:space="preserve">Riesgos y catalizadores.</w:t>
      </w:r>
      <w:r>
        <w:t xml:space="preserve"> El riesgo mayor es regulatorio: en octubre de 2023 el cambio de tarifas y del derecho de concesión costó un 26 % en un día [15]. Después, la fusión Viva-Volaris (−10 % en el bajista) y los tipos (±7 % por medio punto de WACC). El riesgo de que la IA se coma el negocio es bajo: el ingreso depende de aviones que aterrizan en una concesión física. Catalizadores: resultados del 3T26 hacia el 26-oct y el tráfico mensual. En foros el tono es dividido y empeora.</w:t>
      </w:r>
    </w:p>
    <w:p>
      <w:pPr>
        <w:spacing w:after="100"/>
      </w:pPr>
      <w:r>
        <w:rPr>
          <w:b/>
        </w:rPr>
        <w:t xml:space="preserve">Qué cambiaría la decisión.</w:t>
      </w:r>
      <w:r>
        <w:t xml:space="preserve"> Compraríamos por debajo de 143,08 y venderíamos por encima de 261,40. Pasaríamos a Vender si el tráfico cae dos trimestres seguidos o si el Gobierno toca de nuevo las tarifas, y revisaríamos al alza si se prorroga la concesión.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222,70 MXN</w:t>
      </w:r>
      <w:r>
        <w:t xml:space="preserve"> (rentabilidad +14,9 % (base +15,9 %)) · Valor intrínseco: 143,08 MXN (-30,1 % sobre 204,78) · con la prima implícita del mercado: 151,33 (-26,1 %)</w:t>
      </w:r>
    </w:p>
    <w:p>
      <w:pPr>
        <w:spacing w:after="100"/>
      </w:pPr>
      <w:r>
        <w:t xml:space="preserve">OMA es el operador de 13 aeropuertos del centro-norte de México, con Monterrey (15,6 M de pasajeros, el 54 % del grupo) en el centro industrial del nearshoring [1]. Gana un ROIC del 29,7 % con un margen EBITDA ajustado del 74,5 %, reparte el 90 % del beneficio y tiene la tarifa máxima aprobada hasta 2030 [1, 5].</w:t>
      </w:r>
    </w:p>
    <w:p>
      <w:pPr>
        <w:spacing w:after="100"/>
      </w:pPr>
      <w:r>
        <w:t xml:space="preserve">El precio (204,78) descuenta un negocio casi perpetuo: un PER de 14,6 veces y una rentabilidad implícita del 8,8 % con nuestros flujos, por debajo del bono mexicano a 10 años (9,16 %) [24]. El DCF, que respeta el fin de la concesión en 2048 y un coste del capital del 13,33 %, da 108,73.</w:t>
      </w:r>
    </w:p>
    <w:p>
      <w:pPr>
        <w:spacing w:after="100"/>
      </w:pPr>
      <w:r>
        <w:t xml:space="preserve">Para invertir hay que creer que la concesión se prorrogará en condiciones parecidas o que el coste del capital en pesos bajará hacia el 10 %, y que la fusión de Viva y Volaris no se comerá el tráfico de Monterrey. A 12 meses la rentabilidad ponderada (14,9 %) roza el umbral de compra, pero el valor intrínseco no la acompaña.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222,70 MXN</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 × 15,36 = 164,35 · 13,4x × 16,78 = 224,85 · 15,6x × 17,74 = 276,74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259,60 (nuestro base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143,08 MXN</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 / -62,2 %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13,3 % y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12,6 %)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151,33 MXN</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(6,1 % anual proyectado; financiable al ROIC actual: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143,08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143,08 y 261,40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261,40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143,08 MXN: pasaría a Comprar (valor intrínseco por encima del precio y rentabilidad a 12 meses por encima del 15 %).</w:t>
      </w:r>
    </w:p>
    <w:p>
      <w:pPr>
        <w:pStyle w:val="ListParagraph"/>
        <w:numPr>
          <w:ilvl w:val="0"/>
          <w:numId w:val="2"/>
        </w:numPr>
        <w:spacing w:after="60"/>
      </w:pPr>
      <w:r>
        <w:t xml:space="preserve">Precio por encima de 261,40 MXN: pasaría a Vender.</w:t>
      </w:r>
    </w:p>
    <w:p>
      <w:pPr>
        <w:pStyle w:val="ListParagraph"/>
        <w:numPr>
          <w:ilvl w:val="0"/>
          <w:numId w:val="2"/>
        </w:numPr>
        <w:spacing w:after="60"/>
      </w:pPr>
      <w:r>
        <w:t xml:space="preserve">Tráfico negativo en el 4T26 y el 1T27: revisaríamos el BPA de 2028 a la baja y la recomendación a Vender.</w:t>
      </w:r>
    </w:p>
    <w:p>
      <w:pPr>
        <w:pStyle w:val="ListParagraph"/>
        <w:numPr>
          <w:ilvl w:val="0"/>
          <w:numId w:val="2"/>
        </w:numPr>
        <w:spacing w:after="60"/>
      </w:pPr>
      <w:r>
        <w:t xml:space="preserve">Cualquier cambio de las bases tarifarias o del derecho de concesión: Vender.</w:t>
      </w:r>
    </w:p>
    <w:p>
      <w:pPr>
        <w:pStyle w:val="ListParagraph"/>
        <w:numPr>
          <w:ilvl w:val="0"/>
          <w:numId w:val="2"/>
        </w:numPr>
        <w:spacing w:after="60"/>
      </w:pPr>
      <w:r>
        <w:t xml:space="preserve">Prórroga de la concesión más allá de 2048 en condiciones parecidas: revisaríamos el valor terminal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PER de 13,3 veces nuestro BPA de 2027 y el consenso de analistas en «Outperform» con un objetivo de 259,60: el mercado trata a OMA como un activo perpetuo de calidad que ha caído un 29 % por un mal año de tráfico, y espera un BPA de 18,76 en 2027 [23].</w:t>
      </w:r>
    </w:p>
    <w:p>
      <w:pPr>
        <w:keepNext/>
        <w:spacing w:after="100"/>
      </w:pPr>
      <w:r>
        <w:rPr>
          <w:b/>
          <w:bCs/>
        </w:rPr>
        <w:t xml:space="preserve">Lo que creemos nosotros.</w:t>
      </w:r>
    </w:p>
    <w:p>
      <w:pPr>
        <w:spacing w:after="100"/>
      </w:pPr>
      <w:r>
        <w:t xml:space="preserve">Compartimos la calidad (ROIC del 29,7 %) pero no el plazo ni el beneficio: nuestro BPA de 2027 es de 15,45, un 17,6 % por debajo del consenso, y el valor de una concesión que acaba en 2048, descontado al 13,33 %, es de 108,73.</w:t>
      </w:r>
    </w:p>
    <w:p>
      <w:pPr>
        <w:keepNext/>
        <w:spacing w:after="100"/>
      </w:pPr>
      <w:r>
        <w:rPr>
          <w:b/>
          <w:bCs/>
        </w:rPr>
        <w:t xml:space="preserve">Por qué podemos tener razón.</w:t>
      </w:r>
    </w:p>
    <w:p>
      <w:pPr>
        <w:spacing w:after="100"/>
      </w:pPr>
      <w:r>
        <w:t xml:space="preserve">El tráfico de 2026 no acompaña (−4,8 % en septiembre), la provisión de mantenimiento se duplicó y el Plan Maestro absorbe un cuarto de las ventas en inversión hasta 2030 [1, 4]. El final de la concesión es un hecho contractual, no una opinión.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MXN) · precio actual 204,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Concesión exclusiva y rentable</w:t>
      </w:r>
      <w:r>
        <w:t xml:space="preserve">: ROIC del 29,7 % y margen EBITDA ajustado del 74,5 % [1].</w:t>
      </w:r>
    </w:p>
    <w:p>
      <w:pPr>
        <w:pStyle w:val="ListParagraph"/>
        <w:numPr>
          <w:ilvl w:val="0"/>
          <w:numId w:val="2"/>
        </w:numPr>
        <w:spacing w:after="60"/>
      </w:pPr>
      <w:r>
        <w:rPr>
          <w:b/>
        </w:rPr>
        <w:t xml:space="preserve">Tarifas aprobadas hasta 2030</w:t>
      </w:r>
      <w:r>
        <w:t xml:space="preserve">, con una subida real del 4-7 % en 2026 y margen para cobrar hasta el 99 % del tope [1].</w:t>
      </w:r>
    </w:p>
    <w:p>
      <w:pPr>
        <w:pStyle w:val="ListParagraph"/>
        <w:numPr>
          <w:ilvl w:val="0"/>
          <w:numId w:val="2"/>
        </w:numPr>
        <w:spacing w:after="60"/>
      </w:pPr>
      <w:r>
        <w:rPr>
          <w:b/>
        </w:rPr>
        <w:t xml:space="preserve">Dividendo del 6,1 %</w:t>
      </w:r>
      <w:r>
        <w:t xml:space="preserve">: 4.900 M aprobados para 2026 [13].</w:t>
      </w:r>
    </w:p>
    <w:p>
      <w:pPr>
        <w:pStyle w:val="ListParagraph"/>
        <w:numPr>
          <w:ilvl w:val="0"/>
          <w:numId w:val="2"/>
        </w:numPr>
        <w:spacing w:after="60"/>
      </w:pPr>
      <w:r>
        <w:rPr>
          <w:b/>
        </w:rPr>
        <w:t xml:space="preserve">Monterrey y el nearshoring</w:t>
      </w:r>
      <w:r>
        <w:t xml:space="preserve">: 15,6 M de pasajeros en 2025 (+14,7 %) y nuevas rutas a Europa [1].</w:t>
      </w:r>
    </w:p>
    <w:p>
      <w:pPr>
        <w:pStyle w:val="ListParagraph"/>
        <w:numPr>
          <w:ilvl w:val="0"/>
          <w:numId w:val="2"/>
        </w:numPr>
        <w:spacing w:after="60"/>
      </w:pPr>
      <w:r>
        <w:rPr>
          <w:b/>
        </w:rPr>
        <w:t xml:space="preserve">Múltiplos en su media</w:t>
      </w:r>
      <w:r>
        <w:t xml:space="preserve">: PER de 14,6 veces frente a una media de 14,5.</w:t>
      </w:r>
    </w:p>
    <w:p>
      <w:pPr>
        <w:pStyle w:val="Heading2"/>
      </w:pPr>
      <w:r>
        <w:t xml:space="preserve">En contra</w:t>
      </w:r>
    </w:p>
    <w:p>
      <w:pPr>
        <w:pStyle w:val="ListParagraph"/>
        <w:numPr>
          <w:ilvl w:val="0"/>
          <w:numId w:val="2"/>
        </w:numPr>
        <w:spacing w:after="60"/>
      </w:pPr>
      <w:r>
        <w:rPr>
          <w:b/>
        </w:rPr>
        <w:t xml:space="preserve">Fin de la concesión en 2048</w:t>
      </w:r>
      <w:r>
        <w:t xml:space="preserve">: el DCF que lo respeta da 108,73, un 46,9 % por debajo del precio.</w:t>
      </w:r>
    </w:p>
    <w:p>
      <w:pPr>
        <w:pStyle w:val="ListParagraph"/>
        <w:numPr>
          <w:ilvl w:val="0"/>
          <w:numId w:val="2"/>
        </w:numPr>
        <w:spacing w:after="60"/>
      </w:pPr>
      <w:r>
        <w:rPr>
          <w:b/>
        </w:rPr>
        <w:t xml:space="preserve">Riesgo regulatorio probado</w:t>
      </w:r>
      <w:r>
        <w:t xml:space="preserve">: −26 % en un día en octubre de 2023 [15].</w:t>
      </w:r>
    </w:p>
    <w:p>
      <w:pPr>
        <w:pStyle w:val="ListParagraph"/>
        <w:numPr>
          <w:ilvl w:val="0"/>
          <w:numId w:val="2"/>
        </w:numPr>
        <w:spacing w:after="60"/>
      </w:pPr>
      <w:r>
        <w:rPr>
          <w:b/>
        </w:rPr>
        <w:t xml:space="preserve">Cliente concentrado</w:t>
      </w:r>
      <w:r>
        <w:t xml:space="preserve">: Viva y Volaris, el 62,9 % de los ingresos aeronáuticos, se fusionan [1].</w:t>
      </w:r>
    </w:p>
    <w:p>
      <w:pPr>
        <w:pStyle w:val="ListParagraph"/>
        <w:numPr>
          <w:ilvl w:val="0"/>
          <w:numId w:val="2"/>
        </w:numPr>
        <w:spacing w:after="60"/>
      </w:pPr>
      <w:r>
        <w:rPr>
          <w:b/>
        </w:rPr>
        <w:t xml:space="preserve">Tráfico flojo</w:t>
      </w:r>
      <w:r>
        <w:t xml:space="preserve">: −4,8 % en septiembre de 2026 y guía de crecimiento plano o bajo [8, 9].</w:t>
      </w:r>
    </w:p>
    <w:p>
      <w:pPr>
        <w:pStyle w:val="ListParagraph"/>
        <w:numPr>
          <w:ilvl w:val="0"/>
          <w:numId w:val="2"/>
        </w:numPr>
        <w:spacing w:after="60"/>
      </w:pPr>
      <w:r>
        <w:rPr>
          <w:b/>
        </w:rPr>
        <w:t xml:space="preserve">Deuda al alza</w:t>
      </w:r>
      <w:r>
        <w:t xml:space="preserve">: inversión de unos 4.000 M al año con un reparto del 90 % del beneficio.</w:t>
      </w:r>
    </w:p>
    <w:p>
      <w:pPr>
        <w:pStyle w:val="Heading2"/>
      </w:pPr>
      <w:r>
        <w:t xml:space="preserve">Qué tiene que pasar para que la tesis funcione</w:t>
      </w:r>
    </w:p>
    <w:p>
      <w:pPr>
        <w:spacing w:after="100"/>
      </w:pPr>
      <w:r>
        <w:t xml:space="preserve">La tesis depende de que el tráfico vuelva a crecer por encima del 3 % en 2027 con la fusión Viva-Volaris y de que la empresa cobre el 99 % de la tarifa máxima a mediados de 2028. La señal de que no se cumple: dos trimestres seguidos de tráfico negativo o un cumplimiento de la tarifa por debajo del 93 % en 2027. A más largo plazo, cualquier noticia sobre la prórroga de las concesiones.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mensual de pasajeros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en septiembre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seguidos negativos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75 %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Cumplimiento de la tarifa máxima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93-95 % previsto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93 %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2028 supone el 99 %.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provisión de mantenimiento y los costes del Plan Maestro.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1,8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reparto del 90 %, la deuda financia la inversión.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Viva y Volaris en los ingresos aeronáuticos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Cierre de rutas solapadas en Monterrey</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Poder del cliente tras la fusión.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 Gobierno federal dividió en 1998 los principales aeropuertos del país en cuatro grupos y dio a OMA las concesiones de 13 del centro-norte por 50 años [1]. En 2000 vendió el 15 % (acciones serie BB, con derechos de gestión) a SETA, sociedad formada por ICA, Aéroports de Paris y Vinci, que firmó el contrato de asistencia técnica [1]. En noviembre de 2006 el Gobierno colocó en bolsa el 48 % del capital en Nueva York y México [1]. ICA salió y Fintech Holdings se hizo con SETA; en diciembre de 2022 VINCI Airports compró a Fintech el 29,99 % del capital por 1.170 M USD y tomó el control de la gestión [1]. En octubre de 2023 el Gobierno cambió las reglas de tarifas y subió el derecho de concesión al 9 % [15,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de 13 aeropuertos por 50 años (hasta 2048)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SETA compra el 15 % (serie BB) y firma la asistencia técnica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BMV y el Nasdaq (48 % del capital)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 11,1 M de pasajeros frente a 23,2 M en 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VINCI Airports compra el 29,99 % por 1.170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las bases tarifarias y derecho de concesión del 5 % al 9 %: −26 % en bolsa en un día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28,8 M de pasajeros; aprobado el Plan Maestro 2026-2030 y las tarifas hasta 2030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OMA tiene la concesión de 13 aeropuertos internacionales del centro y norte de México (Monterrey, Acapulco, Mazatlán, Zihuatanejo, Ciudad Juárez, Chihuahua, Culiacán, Durango, Reynosa, San Luis Potosí, Tampico, Torreón y Zacatecas) hasta 2048, prorrogable hasta 50 años más [1]. En 2025 atendió 28,8 millones de pasajeros, 24,5 millones nacionales y 4,3 millones internacionales; Monterrey, tercera área metropolitana del país y su principal centro industrial, aporta 15,6 millones (54 %) [1]. Cobra a aerolíneas y pasajeros servicios aeronáuticos regulados (75 % de los ingresos sin construcción) y explota negocios comerciales y de diversificación: aparcamientos, restauración, tiendas, salas VIP, la carga (OMA Carga), dos hoteles (NH Collection en la T2 del aeropuerto de Ciudad de México y Hilton Garden Inn en Monterrey) y un parque industrial con VYNMSA [1, 4].</w:t>
      </w:r>
    </w:p>
    <w:p>
      <w:pPr>
        <w:pStyle w:val="Heading2"/>
      </w:pPr>
      <w:r>
        <w:t xml:space="preserve">Cómo gana dinero</w:t>
      </w:r>
    </w:p>
    <w:p>
      <w:pPr>
        <w:spacing w:after="100"/>
      </w:pPr>
      <w:r>
        <w:t xml:space="preserve">Tres cuartas partes de los ingresos (10.191 M de 13.651 M en 2025) son servicios aeronáuticos regulados: la TUA que paga cada pasajero de salida, más aterrizaje, plataforma y seguridad [1]. Su precio lo limita una tarifa máxima por unidad de carga que la autoridad fija cada cinco años con un flujo descontado que remunera el Plan Maestro de inversiones; dentro del tope, OMA decide cuándo sube [1]. El resto (3.460 M) son ingresos comerciales (aparcamiento, restaurantes, tiendas, salas VIP) con regalías sobre las ventas de los inquilinos y mínimo garantizado, más la diversificación: carga, dos hoteles y el parque industrial [1, 4]. Casi todos los costes son fijos, así que cada pasajero adicional cae casi entero al margen (EBITDA ajustado del 74,5 %); los costes variables son el derecho de concesión, el 9 % de los ingresos brutos desde 2024, y la comisión de asistencia técnica a VINCI, ligada al EBITDA [1, 16]. La TUA internacional se cobra en dólares: un peso fuerte resta ingresos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aeronáuticos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MX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aeronáuticos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en 2025 Viva Aerobus generó el 41,4 % de los ingresos aeronáuticos, Volaris el 21,5 % y Grupo Aeroméxico el 18,6 %; las de bajo coste llevaron el 73,7 % del tráfico comercial [1]. Viva y Volaris anunciaron el 18-dic-2025 su fusión en un grupo con marcas y certificados separados, pendiente de autorizaciones [1]: el nuevo grupo tendría alrededor del 63 % de los ingresos aeronáuticos de OMA. Ningún contrato obliga a las aerolíneas a mantener vuelos [1]. El poder de precios no es libre: la tarifa máxima por unidad de carga la fija la autoridad cada cinco años con un flujo descontado que remunera el Plan Maestro; para 2026-2030 Monterrey sube de 337,39 a 360,63 pesos constantes (+6,9 %), y después baja un 0,8 % real al año por eficiencia [1]. Los ingresos comerciales son contratos de regalía con mínimo garantizado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terminales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13,96 M (+2,4 %); julio +3,9 %, agosto +4,0 %, septiembre −4,8 % [4, 9, 10,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Monterrey (millones de pasajeros)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 del tráfico del grupo; 1S26 +2,6 %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aeronáutico por unidad de carga (MXN)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Limitado por la tarifa máxima; cumplimiento previsto del 93-95 % en 2026 tras la nueva tarifa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no aeronáutico por pasajero (MXN)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 por pasajero 66,4 MXN en el 2T26 (+6,3 %)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construcción, con la provisión de mantenimiento sumada)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74,3 %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Ocupación del espacio comercial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servicios aeroportuarios en México, prestados por concesionarios en régimen de monopolio local regulado por precio máximo (ASUR en el sureste, GAP en el Pacífico, OMA en el centro-norte, el Aeropuerto de la Ciudad de México y los aeropuertos del Estado y de empresas militares) [1]. Cada aeropuerto es el único de su ciudad: la competencia es por la capacidad que asignan las aerolíneas entre destinos y, en el centro del país, frente al AIFA y Toluca. El tamaño se mide en pasajeros; no hay una cifra oficial de ingresos del sector y la cuota se da en tráfico.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OMA atendió 28,8 M de pasajeros en 2025 [1]; las estadísticas de la AFAC y la prensa dan entre 120 y 190 M de pasajeros al año en los aeropuertos del país según el criterio (transportados en vuelos regulares o atendidos en terminal), por lo que no se usa una cifra única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nacional de bajo coste (Viva y Volaris)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 bajo coste llevan el 73,7 % del tráfico comercial de OMA; su fusión y los motores Pratt &amp; Whitney GTF limitan la capacidad: asientos −0,3 % en el 2T26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Nearshoring y economía de Monterrey</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Monterrey pasó de 13,6 a 15,6 M de pasajeros en 2025 (+14,7 %) y abrió rutas a París, Madrid y Nueva York en 2026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máxima regulada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2026-2030 entre un 4 % y un 7 % por encima de las de 2025 en pesos constantes, con −0,8 % real anual de eficiencia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combustible de aviación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del queroseno en el 1S26 llevó a las aerolíneas a recortar capacidad; la empresa espera tráfico plano o de un dígito bajo en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peso-dólar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TUA internacional se cobra en dólares: cayó un 8,7 % en el 2T26 por la apreciación del peso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local en cada ciudad; solo compite por la asignación de capacidad de las aerolíneas y, en algunas rutas, con el AIFA y Toluca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Viva y Volaris suman el 62,9 % de los ingresos aeronáuticos y se fusionan; pueden mover aviones entre aeropuertos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Constructoras y servicios contratados en competencia; la asistencia técnica la presta VINCI (SETA) por contrato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federales hasta 2048; un aeropuerto nuevo en la misma ciudad exige una decisión del Gobierno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Autobús de larga distancia en trayectos cortos; el tren de pasajeros solo en proyecto [1]</w:t>
            </w:r>
          </w:p>
        </w:tc>
      </w:tr>
    </w:tbl>
    <w:p>
      <w:pPr>
        <w:spacing w:after="160" w:before="0"/>
      </w:pPr>
    </w:p>
    <w:p>
      <w:pPr>
        <w:pStyle w:val="Heading2"/>
      </w:pPr>
      <w:r>
        <w:t xml:space="preserve">Ciclo</w:t>
      </w:r>
    </w:p>
    <w:p>
      <w:pPr>
        <w:spacing w:after="100"/>
      </w:pPr>
      <w:r>
        <w:t xml:space="preserve">El tráfico de OMA creció a un TCAC del 4,4 % entre 2018 (21,6 M de pasajeros) y 2025 (28,8 M) [1, 3], con un hundimiento en 2020 (11,1 M, −52 %) y la recuperación completa en 2022 (23,2 M) [2]. En 2022-2023 la subida de tipos no tocó el tráfico, pero sí la valoración, y en 2023 el golpe fue regulatorio, no cíclico [15]. En 2026 el ciclo de las aerolíneas pesa: el queroseno caro y los motores de Pratt &amp; Whitney recortan capacidad, y el tráfico pasó de +4,7 % en el 1T a +0,4 % en el 2T y −4,8 % en septiembre [4, 9, 17]. Lo vemos en la madurez del ciclo: demanda sana (nearshoring en Monterrey) y oferta limitada.</w:t>
      </w:r>
    </w:p>
    <w:p>
      <w:pPr>
        <w:pStyle w:val="Heading2"/>
      </w:pPr>
      <w:r>
        <w:t xml:space="preserve">Regulación</w:t>
      </w:r>
    </w:p>
    <w:p>
      <w:pPr>
        <w:spacing w:after="100"/>
      </w:pPr>
      <w:r>
        <w:t xml:space="preserve">Ley de Aeropuertos y títulos de concesión de 1998: tarifa máxima por unidad de carga (un pasajero o 100 kg de carga) fijada cada cinco años con el Plan Maestro de Desarrollo; el 18-dic-2025 se aprobaron el Plan 2026-2030 (16.634 M de inversión comprometida) y las tarifas hasta 2030 [1]. En octubre de 2023 la AFAC cambió sin aviso las bases de regulación y el Gobierno subió el derecho de concesión del 5 % al 9 % de los ingresos brutos (en vigor desde 2024); las acciones de OMA cayeron un 26 % en un día [15, 16]. El exceso pagado en 2024-2025 se incorporó al valor de referencia de las tarifas 2026-2030 [1]. Entre 2023 y 2024 el Gobierno dio aeropuertos a empresas militares [1].</w:t>
      </w:r>
    </w:p>
    <w:p>
      <w:pPr>
        <w:pStyle w:val="Heading2"/>
      </w:pPr>
      <w:r>
        <w:t xml:space="preserve">Tendencias y disrupción</w:t>
      </w:r>
    </w:p>
    <w:p>
      <w:pPr>
        <w:spacing w:after="100"/>
      </w:pPr>
      <w:r>
        <w:t xml:space="preserve">Tres cambios tocan a OMA. Primero, la concentración de las aerolíneas: Viva y Volaris, que suman el 62,9 % de los ingresos aeronáuticos, se fusionan y ganan poder para negociar y para mover capacidad entre aeropuertos [1]. Segundo, la internacionalización de Monterrey: rutas a París (Aeroméxico), Madrid (Iberia) y Nueva York abiertas en 2026, y el tráfico internacional del grupo creció un 11,9 % en 2025 [1, 8]. Tercero, el Estado como competidor y regulador a la vez: el AIFA y los aeropuertos dados a empresas militares compiten por la capacidad que sale de la Ciudad de México [1]. La empresa gana con el segundo y pierde poder con el primero.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grupo aeroportuario privado de México por pasajeros (28,8 M en 2025) tras GAP y ASUR; monopolio regulado en sus 13 ciudades; cuota de alrededor del 15 % de los pasajeros del país (estimación propia con la cifra de la AFAC y la Secretaría de Turismo)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Aeroportuario del Pacífico (GAP)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GAPB.MX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Guadalajara, Tijuana, Los Cabos, Puerto Vallarta y dos aeropuertos en Jamaica; ingresos con construcción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Aeroportuario del Sureste (ASUR)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ASURB.MX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Cancún y otros 8 en México, San Juan (Puerto Rico) y Colombia; más turístico e internacional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Aeropuerto Internacional de la Ciudad de México (AICM)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 destino principal de las rutas de OMA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Aeropuerto Internacional Felipe Ángeles (AIFA)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Estatal-militar; recibe parte del tráfico que antes iba al AICM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Aena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136.809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internacional de operador regulado; dueña de parte de GAP vía AMP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rutas en Monterrey atraen más aerolíneas (24 rutas nuevas en el 2T26), pero no es un centro de conexiones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aerolínea puede mover aviones entre ciudades, pero no puede servir Monterrey desde otro aeropuerto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federal exclusiva de 13 aeropuertos hasta 2048, prorrogable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74,5 % en 2025, de los más altos del mundo entre cotizadas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ciudad solo sostiene un aeropuerto; la red de 13 comparte compras y gestión [1]</w:t>
            </w:r>
          </w:p>
        </w:tc>
      </w:tr>
    </w:tbl>
    <w:p>
      <w:pPr>
        <w:spacing w:after="160" w:before="0"/>
      </w:pPr>
    </w:p>
    <w:p>
      <w:pPr>
        <w:pStyle w:val="Heading2"/>
      </w:pPr>
      <w:r>
        <w:t xml:space="preserve">Amenazas</w:t>
      </w:r>
    </w:p>
    <w:p>
      <w:pPr>
        <w:spacing w:after="100"/>
      </w:pPr>
      <w:r>
        <w:t xml:space="preserve">La ventaja no es tecnológica, es legal: una concesión exclusiva hasta 2048 [1]. Por eso la amenaza principal es el propio concedente. En octubre de 2023 el Gobierno cambió sin aviso las bases tarifarias y subió el derecho de concesión del 5 % al 9 %: las acciones cayeron un 26 % en un día [15, 16]. Lo vemos con probabilidad media en un plazo de 5-10 años, porque la prórroga más allá de 2048 exige aceptar las condiciones que imponga la autoridad [1]. La segunda amenaza es la fusión Viva-Volaris, que concentraría cerca del 63 % de los ingresos aeronáuticos en un solo cliente con capacidad para negociar, alta probabilidad si la autoriza la autoridad de competencia [1]. La tercera, el desvío de tráfico a aeropuertos estatales del centro del país (AIFA), baja para Monterrey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10,5 %</w:t>
      </w:r>
      <w:r>
        <w:t xml:space="preserve">, EBITDA </w:t>
      </w:r>
      <w:r>
        <w:rPr>
          <w:b/>
          <w:bCs/>
        </w:rPr>
        <w:t xml:space="preserve">11,8 %</w:t>
      </w:r>
      <w:r>
        <w:t xml:space="preserve">, BPA </w:t>
      </w:r>
      <w:r>
        <w:rPr>
          <w:b/>
          <w:bCs/>
        </w:rPr>
        <w:t xml:space="preserve">9,7 %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MXN,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sin construcción crecieron un 10,5 % anual entre 2018 y 2025 (de 6.766 M a 13.651 M), con el EBITDA al 11,8 % anual y el BPA al 9,7 % [1, 3]. El crecimiento es todo orgánico: tráfico (+4,4 % anual) y precio, con el salto de 2022-2023 por la recuperación tras el COVID y las tarifas del plan 2021-2025 [1, 2]. El margen EBITDA del informe pasó del 66,3 % en 2018 al 75,3 % en 2023 y bajó al 71,9 % en 2025: el derecho de concesión al 9 % desde 2024 restó unos 450 M al año, cerca de 3,5 puntos [1, 16]. En el 1S26 los ingresos crecieron un 4,8 % y el beneficio de explotación un 1,4 %, porque la provisión de mantenimiento se duplicó (208 M frente a 104 M) con el nuevo Plan Maestro [4]. El año 2020 no es comparable (COVID: ingresos −46 %) [2].</w:t>
      </w:r>
    </w:p>
    <w:p>
      <w:pPr>
        <w:pStyle w:val="Heading2"/>
      </w:pPr>
      <w:r>
        <w:t xml:space="preserve">Ajustes y partidas no recurrentes</w:t>
      </w:r>
    </w:p>
    <w:p>
      <w:pPr>
        <w:spacing w:after="100"/>
      </w:pPr>
      <w:r>
        <w:t xml:space="preserve">El informe usa cifras publicadas con un solo cambio de presentación: fuera los ingresos y costes de construcción de la CINIIF 12, que se compensan (2.313 M en 2025, 2.860 M en 2024) [1]. El coste de ventas agrupa el coste de servicios, la provisión de mantenimiento mayor, el derecho de concesión y la comisión de asistencia técnica; los gastos generales son los de administración. La empresa publica además un «EBITDA ajustado» que suma la provisión de mantenimiento (10.167 M en 2025 frente a 9.819 M del informe) [5]; no lo usamos porque esa provisión es gasto de mantenimiento recurrente. No hay partidas no recurrentes relevantes en 2021-2025; el ingreso por indemnización de seguros de 2025 (82 M) entró por inversión, no por la cuenta [1]. El BPA del XBRL cuadra con el publicado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2T26 (28-jul-2026) la dirección rebajó el tono sobre el tráfico: espera un año «plano o de un dígito bajo» porque las aerolíneas recortan capacidad por el queroseno caro; en febrero hablaba de crecimiento [8]. Viva, el 50 % de los pasajeros, cayó un 2 % en el trimestre, y Volaris (25 %) creció un 7 % [8]. Los analistas preguntaron sobre todo por la tarifa máxima: la empresa cobrará entre el 93 % y el 95 % del tope en 2026 tras subir tarifas a mediados de abril y espera llegar al 99 % a finales de 2027 o mediados de 2028; reconoció que el petróleo caro puede retrasarlo [8]. También preguntaron por la inversión: 3.500-4.000 M en 2026, con obras del plan anterior que se suman al nuevo [8]. La dirección no dio cifra de tráfico para 2027 ni del efecto de la fusión Viva-Volaris. B×+ calificó los resultados de «mixtos», por debajo del consenso en EBITDA y beneficio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bruta pasó de 4.585 M en 2018 a 13.428 M en 2025 y 14.131 M en junio de 2026, porque la empresa reparte casi todo el beneficio (dividendos de 24.548 M entre 2018 y 2025 frente a 15.061 M de caja libre) y financia con deuda el Plan Maestro [1, 4]. La deuda neta sobre EBITDA es baja (1,07 veces en 2025), con una cobertura de intereses de 6,1 veces [1]. En julio de 2026 emitió 3.000 M a tres años para amortizar 2.340 M de vencimientos a corto [12]. El circulante es pequeño y estable: clientes de 54 días frente a proveedores de 97 días [1]. Con 4.000-5.000 M de inversión al año y un reparto de 4.900 M, la deuda neta subirá hacia 1,3-1,5 veces el EBITDA en 2028 (estimación propia).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MX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2018-2025: FCF </w:t>
      </w:r>
      <w:r>
        <w:rPr>
          <w:b/>
          <w:bCs/>
        </w:rPr>
        <w:t xml:space="preserve">15.061</w:t>
      </w:r>
      <w:r>
        <w:t xml:space="preserve">, conversión </w:t>
      </w:r>
      <w:r>
        <w:rPr>
          <w:b/>
          <w:bCs/>
        </w:rPr>
        <w:t xml:space="preserve">52 %</w:t>
      </w:r>
      <w:r>
        <w:t xml:space="preserve"> del beneficio neto; adquisiciones 0, dividendos 24.548, recompras 475.</w:t>
      </w:r>
    </w:p>
    <w:p>
      <w:pPr>
        <w:spacing w:after="100"/>
      </w:pPr>
      <w:r>
        <w:t xml:space="preserve">El flujo operativo subió de 3.709 M en 2018 a 7.446 M en 2025 [1, 3]. La caja libre (operativo menos inversión y arrendamientos) fue de 15.061 M en 2018-2025, el 52 % del beneficio, porque la inversión del Plan Maestro absorbe el 20-30 % de las ventas: 3.064 M en 2023, 2.727 M en 2024 y 2.703 M en 2025 [1, 2]. Casi toda la inversión es de capacidad y calidad exigida por la concesión (terminal de Monterrey, pistas, seguridad); el mantenimiento mayor va aparte, por la provisión, con pagos de 204 M en 2025 [1]. El Plan 2026-2030 prevé 20.417 M en pesos de 2025, unos 4.000 M al año, frente a 2.700 M en 2025 [1]: la caja libre bajará en 2026-2030 aunque el beneficio suba. Los intereses se pagan en financiación (1.208 M en 2025)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Galaz, Yamazaki, Ruiz Urquiza (Deloitte) hasta 2025; Mancera (EY) desde el ejercicio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de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firmó las cuentas de 2025 sin salvedades; desde el ejercicio 2026 audita EY, un cambio que la empresa presenta como mejora de gobierno y que llega con VINCI ya en el control [1, 14]. La contabilidad de la concesión (CINIIF 12) infla los ingresos con la construcción, pero no el beneficio [1]. La amortización de los activos concesionados se hace hasta 2048, y la provisión de mantenimiento se revisa con cada Plan Maestro: en 2026 se duplicó [4]. No hay pagos en acciones ni plan de opciones [1]. El tipo efectivo es normal (29,7 % en 2025). El motor da un Altman Z de 4,31 (zona segura), un Piotroski F de 5 (ROA, endeudamiento y margen no mejoraron en 2025) y un Beneish M de −2,76, lejos del umbral de manipulación. La conversión del beneficio en caja libre (52 %) es baja por la inversión exigida, no por el circulante.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(Deloitte a EY) para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Anunciado el 9-oct-2026 como mejora de gobierno; sin desacuerdos publicados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mantenimiento duplicada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Aumenta el gasto (208 M frente a 104 M) y explica el beneficio de explotación plano; depende de estimaciones del Plan Maestro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inflados por la CINIIF 12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construcción (2.313 M en 2025) se suma a ingresos y costes; el informe la excluye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7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30,2 % · </w:t>
      </w:r>
      <w:r>
        <w:rPr>
          <w:b/>
          <w:bCs/>
        </w:rPr>
        <w:t xml:space="preserve">WACC</w:t>
      </w:r>
      <w:r>
        <w:t xml:space="preserve">: 13,3 %.</w:t>
      </w:r>
    </w:p>
    <w:p>
      <w:pPr>
        <w:spacing w:after="100"/>
      </w:pPr>
      <w:r>
        <w:t xml:space="preserve">OMA crea valor de sobra: el ROIC del motor fue del 29,7 % en 2025 frente a un WACC del 13,33 %, 16,4 puntos por encima, y lleva por encima del 23 % todos los años desde 2018 salvo 2020 (10,7 %) [1]. Lo mueve el margen (EBIT del 65,5 % de las ventas), no la rotación, que es baja (0,4 veces) porque el capital son los activos de la concesión. El ROIC incremental histórico es del 30,2 %: el capital del plan 2021-2025 rindió como el antiguo, porque las tarifas se fijan para remunerarlo [1]. El ROE del 49 % está inflado por el reparto casi total del beneficio y la deuda. Frente a los comparables (ROIC mediano del 13,1 % según Yahoo), OMA es de las más rentables, por la mezcla nacional de bajo coste y el margen [18]. La subida del derecho de concesión al 9 % restó unos 2 puntos de ROIC.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2.577 M MXN al 30-jun-26; el 16-jul-26 emitió 3.000 M en certificados bursátiles a tres años y con ellos amortizó 1.700 M de deuda bancaria a corto y 640 M del OMA 23L [4,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dato verificado en los documentos leídos (emisor de certificados bursátiles en el mercado local)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Pasivos que no son deuda financiera pero se pagan con caja: la provisión de mantenimiento mayor (2.912 M al 30-jun-26, de ellos 629 M a corto), que es el gasto de mantenimiento ya devengado pendiente de ejecutar y que el informe trata como deuda en el puente (−7,54 MXN por acción) [4]; depósitos en garantía de clientes por 419 M; obligaciones laborales de 213 M, que van al puente netas de impuestos [4]. Las cuentas por pagar a VINCI suman 828 M (asistencia técnica y obras) [4]. Los títulos de concesión obligan a devolver los activos al Gobierno en 2048 sin cargas e indemnizar los daños [1]. Los certificados bursátiles ligados a sostenibilidad cumplieron su objetivo de emisiones (−88 % por pasajero frente a 2018) y no tendrán penalización de cupón [4]. No hay derivados [4].</w:t>
      </w:r>
    </w:p>
    <w:p>
      <w:pPr>
        <w:pStyle w:val="Heading1"/>
      </w:pPr>
      <w:r>
        <w:t xml:space="preserve">12. Asignación de capital</w:t>
      </w:r>
    </w:p>
    <w:p>
      <w:pPr>
        <w:pStyle w:val="Confianza"/>
        <w:spacing w:after="100"/>
      </w:pPr>
      <w:r>
        <w:t xml:space="preserve">Confianza: Alta</w:t>
      </w:r>
    </w:p>
    <w:p>
      <w:pPr>
        <w:spacing w:after="100"/>
      </w:pPr>
      <w:r>
        <w:t xml:space="preserve">Dividendo con un componente fijo de 325 M al año y otro variable según la caja disponible, pagado en uno o dos plazos [1]. La junta de abril de 2026 aprobó 4.900 M (12,56 MXN por acción, el 92 % del beneficio de 2025), en dos pagos de 2.450 M antes del 31 de mayo y del 30 de noviembre [13]. Hay una reserva de recompra de 1.500 M que no se usó en 2022-2025 ni en septiembre de 2026 [1, 21]. La prioridad declarada es cumplir el Plan Maestro 2026-2030 (16.634 M comprometidos) con la caja y deuda adicional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MX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 dirección asigna el capital como una concesionaria madura: invierte lo que exige el Plan Maestro, que la tarifa remunera, y devuelve el resto. Entre 2018 y 2025 pagó 24.548 M de dividendos y recompró 475 M (2021), por encima de la caja libre de 15.061 M, con la diferencia financiada con deuda [1]. No ha hecho compras: el crecimiento sale de las 13 concesiones y de negocios propios (carga, hoteles, parque industrial). El ROIC incremental del 30,2 % dice que la inversión crea valor. El riesgo es el contrario: con VINCI al mando, el reparto alto y la deuda creciente dejan menos margen si el Gobierno vuelve a subir cargas. No hay dilución: las acciones bajaron de 393,4 M a 386,2 M.</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Ricardo Dueñas Espriu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del Grupo Aeroportuario de la Ciudad de México y asesor de infraestructuras de la SCT [1]. Con él el tráfico pasó de 21,6 M (2018) a 28,8 M (2025) y el margen EBITDA ajustado al 74,5 %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Ruffo Pérez Pliego del Castillo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25 años en finanzas corporativas; antes director financiero y general de Latin American Airports Holdings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Notebaert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 VINCI y consejero delegado de VINCI Concessions, presidente de VINCI Airports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Raful Zacarías Ezzat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OMA; administró los aeropuertos de Monterrey y Ciudad Juárez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Pierre Grosmaire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comercial de Lyon Airports (VINCI) y director global de desarrollo aeronáutico de VINCI Airports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plano o de un dígito bajo; inversión de 3.500-4.000 M; cumplimiento de la tarifa máxima del 93-95 %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Enero-septiembre: +2,4 % en el 1S, +3,9 % julio, +4,0 % agosto, −4,8 % septiembre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profesional: el director general y el financiero llevan desde 2018 y vienen del sector aeroportuario mexicano [1]. Con VINCI llegaron en 2024-2025 nuevos directores técnico, comercial y de operaciones, dos de ellos de la red de VINCI [1]. La credibilidad de la guía es media: en 2026 ha ido rebajando la expectativa de tráfico de crecimiento a «plano o un dígito bajo» y retrasando la llegada a la tarifa máxima a 2027-2028 [8]. No hay plan de sucesión publicado; el director general lo propone VINCI como titular de la serie BB [1]. El responsable de inversores se fue a otro puesto de VINCI en septiembre [19].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Notebaert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Rémi Maumon de Longevialle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Mathieu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Emmanuelle Huon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Alvaro Leite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Jérôme Havard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Katia Eschenbach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 Prácticas societarias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Martín Werner Wainfeld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 Prácticas societarias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Solórzano Aizpuru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 Prácticas societarias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Federico Patiño Márquez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 Prácticas societarias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Regina García-Cuéllar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 Prácticas societarias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de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 Airports (SETA y CONCESSOC)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(serie BB 12,9 % + serie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dic-2022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(10,2 % de la serie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enero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(3,94 M de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autorizada de hasta 1.500 M sin uso en septiembre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20-F solo da la remuneración agregada: 33,9 M MXN en 2025 para 24 directivos (incluidos los administradores de aeropuerto); no hay plan de opciones ni indemnizaciones por encima de la ley laboral, y existe política de recuperación (clawback) exigida por el Nasdaq [1]. Los consejeros de VINCI no cobran de OMA según el 20-F; no se publica el detalle por persona ni las métricas del variable.</w:t>
      </w:r>
    </w:p>
    <w:p>
      <w:pPr>
        <w:pStyle w:val="Heading2"/>
      </w:pPr>
      <w:r>
        <w:t xml:space="preserve">Operaciones vinculadas, estructura de control y defensas</w:t>
      </w:r>
    </w:p>
    <w:p>
      <w:pPr>
        <w:spacing w:after="100"/>
      </w:pPr>
      <w:r>
        <w:t xml:space="preserve">VINCI controla de hecho con el 29,99 %: la serie BB (12,9 %, solo de SETA) le da tres consejeros, el derecho a proponer al director general y a nombrar al financiero, al de operaciones y al comercial, y vetos mientras tenga al menos el 7,65 % en serie BB y siga el contrato de asistencia técnica [1]. Ese contrato le paga una comisión (261 M MXN en 2025, ligada al EBITDA) y es la principal operación vinculada [1]. Seis de los once consejeros son de VINCI; el presidente es el jefe de concesiones de VINCI [1]. Los estatutos limitan la tenencia y fijan que quien tenga el 10 % de la serie B nombra un consejero [1].</w:t>
      </w:r>
    </w:p>
    <w:p>
      <w:pPr>
        <w:pStyle w:val="Heading2"/>
      </w:pPr>
      <w:r>
        <w:t xml:space="preserve">Señales de alerta</w:t>
      </w:r>
    </w:p>
    <w:p>
      <w:pPr>
        <w:pStyle w:val="ListParagraph"/>
        <w:numPr>
          <w:ilvl w:val="0"/>
          <w:numId w:val="2"/>
        </w:numPr>
        <w:spacing w:after="60"/>
      </w:pPr>
      <w:r>
        <w:t xml:space="preserve">Cambio de auditor de Deloitte a EY para el ejercicio 2026, presentado como mejora de gobierno (9-oct-2026) [14].</w:t>
      </w:r>
    </w:p>
    <w:p>
      <w:pPr>
        <w:pStyle w:val="ListParagraph"/>
        <w:numPr>
          <w:ilvl w:val="0"/>
          <w:numId w:val="2"/>
        </w:numPr>
        <w:spacing w:after="60"/>
      </w:pPr>
      <w:r>
        <w:t xml:space="preserve">Relevo del responsable de relación con inversores, que pasa a otro puesto de VINCI (30-sep-2026) [19].</w:t>
      </w:r>
    </w:p>
    <w:p>
      <w:pPr>
        <w:pStyle w:val="ListParagraph"/>
        <w:numPr>
          <w:ilvl w:val="0"/>
          <w:numId w:val="2"/>
        </w:numPr>
        <w:spacing w:after="60"/>
      </w:pPr>
      <w:r>
        <w:t xml:space="preserve">Comisión de asistencia técnica a VINCI de 261 M MXN en 2025 (+10,9 %)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OMA no publica una guía numérica de ingresos o beneficio. En la conferencia del 2T26 (28-jul-2026) dijo esperar tráfico plano o de un dígito bajo en 2026, una inversión total de 3.500-4.000 M y un cumplimiento de la tarifa máxima del 93-95 % en 2026, con el 99 % a finales de 2027 o mediados de 2028 [8]. El Plan Maestro 2026-2030 fija 16.634 M de inversión comprometida y las tarifas máximas hasta 2030, con una reducción real del 0,8 % anual por eficiencia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EBITDA ajustado de 11.081 M menos 450 M de provisión de mantenimiento (estimación propia)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EBITDA ajustado de 12.738 M menos 480 M de provisión (estimación propia)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EBITDA ajustado de 14.250 M menos 520 M de provisión (estimación propia)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3"/>
        <w:gridCol w:w="1505"/>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Solo hay un proveedor de estimaciones completas (MarketScreener, 15 analistas, objetivo medio de 259,60 MXN, consenso «Outperform») [23]. Su BPA de 2026 (16,02) exige 9,03 MXN en el 2S26 frente a 6,99 en el 1S26 y 7,05 en el 2S25: parece no recoger aún la caída del tráfico de septiembre y la provisión de mantenimiento, por lo que esperamos recortes [4, 23]. No hemos podido medir la variación de las estimaciones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cae un 16,2 % en 2026 y un 29 % desde el máximo de 289,74 del 20-feb-2026, frente a un IPC que sube un 3,9 % [22]. Es un movimiento del sector: ASUR cae un 27,1 % en el año, y GAP baja de 480 a 364 [18, 22]. Lo explican tres hechos: resultados del 4T25 y 2T26 por debajo del consenso por costes, el queroseno caro que recorta la capacidad de las aerolíneas y un tráfico que se frenó hasta el −4,8 % de septiembre [7, 8, 9]. A cinco años, la acción rinde un 9,7 % anual frente al 4,8 % del IPC, sin dividendos [22]. Beta mensual de 1,10 frente al IPC (semanal a 2 años 1,04) y volatilidad del 29,6 % [22]. La peor caída fue en octubre de 2023 (−38,8 %), por el cambio regulatorio [22].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mismo criterio que hoy (EV/EBITDA y PER de los últimos 12 meses al cierre de cada año), OMA cotiza en su media: 9,5 veces EBITDA frente a una media de 9,4 (mínimo 8,6, máximo 10,8) y 14,6 veces beneficio frente a 14,5 (12,9-17,7). La caída de 2026 deshizo la prima de finales de 2025 (PER de 17,7 veces). Excluimos 2020 y 2021 por el COVID. La historia adelantada (cierre ÷ BPA del año siguiente) da una mediana de 13,6 veces en 2021-2025 frente a 13,3 veces hoy con nuestro BPA de 2027 [22]. No ha cambiado el negocio, pero sí el riesgo percibido: el derecho de concesión al 9 % y la fusión de sus dos clientes principales.</w:t>
      </w:r>
    </w:p>
    <w:p>
      <w:pPr>
        <w:pStyle w:val="Heading1"/>
      </w:pPr>
      <w:r>
        <w:t xml:space="preserve">18. Comparables cotizados</w:t>
      </w:r>
    </w:p>
    <w:p>
      <w:pPr>
        <w:pStyle w:val="Confianza"/>
        <w:spacing w:after="100"/>
      </w:pPr>
      <w:r>
        <w:t xml:space="preserve">Confianza: Media</w:t>
      </w:r>
    </w:p>
    <w:p>
      <w:pPr>
        <w:spacing w:after="100"/>
      </w:pPr>
      <w:r>
        <w:t xml:space="preserve">Operadores aeroportuarios cotizados: los otros dos grupos mexicanos (ASUR y GAP), con la misma regulación; los europeos regulados (Aena, ADP, Fraport y Flughafen Zürich); Corporación América (concesiones en Latinoamérica) y Auckland (monopolio regulado). Fraport solo aporta su PER porque la deuda neta de Yahoo sale con signo erróneo. Excluimos a Vinci, el accionista de control, por ser sobre todo constructora y de autopistas. Todas las cifras son de Yahoo Finance al 14-oct-2026, en MXN con el tipo del día; el PER es el adelantado de Yahoo (próximo ejercicio)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GAP (Grupo Aeroportuario del Pacífico)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Aéroports de Paris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Flughafen Zürich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Corporación América Airports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Auckland Airport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Fraport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9,8x / 10,9x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15,6x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5,3x / 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OMA cotiza a 9,5 veces EBITDA de los últimos 12 meses frente a una mediana de 9,8 de los comparables, y a un PER adelantado de 10,7 veces con el consenso (11,3 veces con el de los próximos 12 meses) frente a 15,7 de mediana [18]. Los mexicanos cotizan con descuento por el riesgo regulatorio y el tipo de interés del peso: ASUR a 10,6 veces y GAP a 15,3 [18]. El descuento frente a los europeos se justifica por un bono a 10 años del 9,16 % frente al 2-3 % del euro [24]. Usaríamos el PER, con la mediana de los mexicanos y no la del grupo entero. El valor implícito por PER (256,83-329,10) se apoya en el consenso de BPA, que creemos alto.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(29,99 %, con la serie BB y el contrato de asistencia técnica)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VINCI Airports (a Fintech)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1.170 M USD por 115,8 M de acciones a 19,754 MXN/USD = 199,6 MXN por acción; valor empresa con la deuda neta de dic-2022 (5.856 M) sobre el EBITDA de 2022 (6.616 M) y los ingresos sin construcción (9.285 M); incluye prima de control [2, 27]</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única operación con cifras oficiales sobre la propia OMA es la compra del 29,99 % por VINCI en diciembre de 2022: 199,6 MXN por acción, unas 12,5 veces el EBITDA de 2022, con prima de control porque incluye la serie BB y el contrato de asistencia técnica [2, 27]. Ese precio queda por debajo del de hoy (204,78) pese a tres años más de beneficios, lo que dice que el mercado ya pagaba en 2022 una prima por la gestión de VINCI. Con VINCI en el control, una OPA sobre el resto es posible pero no hay señal de ella. No damos peso a las transacciones en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sin construcción: +5,5 % en 2026 (1S26 +4,8 % y tarifa nueva desde abril), +8,0 % en 2027 y 2028 y bajada hasta el 4,5 % en 2035. El tráfico crece un 2 % en 2026 (guía «plano o un dígito bajo»), un 3-3,5 % en 2027-2029 y un 3 % después, por debajo del 4,4 % anual de 2018-2025 por la fusión Viva-Volaris [1, 8]. El precio añade la inflación mexicana más la recuperación de la tarifa desde el 93-95 % de cumplimiento hasta el 99 % a mediados de 2028 [8]. Es menos que el 10,5 % anual de 2018-2025, inflado por la salida del COVID, y queda por debajo del consenso en BPA [23].</w:t>
      </w:r>
    </w:p>
    <w:p>
      <w:pPr>
        <w:keepNext/>
        <w:spacing w:after="100"/>
      </w:pPr>
      <w:r>
        <w:rPr>
          <w:b/>
          <w:bCs/>
        </w:rPr>
        <w:t xml:space="preserve">Márgenes.</w:t>
      </w:r>
    </w:p>
    <w:p>
      <w:pPr>
        <w:spacing w:after="100"/>
      </w:pPr>
      <w:r>
        <w:t xml:space="preserve">Margen EBITDA del informe (tras la provisión de mantenimiento): 70,5 % en 2026, por la provisión duplicada, 71,5 % en 2027 y 72,5 % desde 2028, frente al 71,9 % de 2025 y el 75,3 % de 2023, antes del derecho de concesión al 9 % [1, 4]. La subida se apoya en tarifas al tope con costes que crecen con la inflación; no volvemos al 75 % porque el derecho de concesión es fijo en el 9 % de los ingresos [16].</w:t>
      </w:r>
    </w:p>
    <w:p>
      <w:pPr>
        <w:keepNext/>
        <w:spacing w:after="100"/>
      </w:pPr>
      <w:r>
        <w:rPr>
          <w:b/>
          <w:bCs/>
        </w:rPr>
        <w:t xml:space="preserve">Inversión y circulante.</w:t>
      </w:r>
    </w:p>
    <w:p>
      <w:pPr>
        <w:spacing w:after="100"/>
      </w:pPr>
      <w:r>
        <w:t xml:space="preserve">Capex del 24-27 % de las ventas en 2026-2030, que reproduce los 20.417 M del Plan Maestro (pesos de 2025) más inflación [1], y bajada al 14 % en 2035, aún por encima de la amortización (11,7 %). La amortización sube del 6,6 % al 11,7 % de las ventas porque los activos nuevos se amortizan hasta 2048. Circulante del 9 % de las ventas (8,9 % en 2025). Tipo impositivo del 30 %, el legal mexicano (29,7 % efectivo en 2025).</w:t>
      </w:r>
    </w:p>
    <w:p>
      <w:pPr>
        <w:keepNext/>
        <w:spacing w:after="100"/>
      </w:pPr>
      <w:r>
        <w:rPr>
          <w:b/>
          <w:bCs/>
        </w:rPr>
        <w:t xml:space="preserve">Coste del capital.</w:t>
      </w:r>
    </w:p>
    <w:p>
      <w:pPr>
        <w:spacing w:after="100"/>
      </w:pPr>
      <w:r>
        <w:t xml:space="preserve">Tasa libre: bono mexicano a 10 años del 9,16 % (OCDE, agosto de 2026), que ya incluye el riesgo país, por lo que no añadimos prima adicional [24]. Beta de 1,07 (mensual a 5 años ajustada frente al IPC; la semanal a 2 años da 1,04 y B×+ da 1,295 a 3 años) [7, 22]. Prima de mercado del 5 %. Coste de la deuda del 9,5 % antes de impuestos (gasto por intereses bancarios de 1.231 M sobre una deuda media de 12.355 M en 2025) [1]. Peso de la deuda del 15 % a valor de mercado. WACC del 13,33 %; con la prima implícita del mercado (4,2 %), del 12,6 % [25].</w:t>
      </w:r>
    </w:p>
    <w:p>
      <w:pPr>
        <w:keepNext/>
        <w:spacing w:after="100"/>
      </w:pPr>
      <w:r>
        <w:rPr>
          <w:b/>
          <w:bCs/>
        </w:rPr>
        <w:t xml:space="preserve">Valor terminal.</w:t>
      </w:r>
    </w:p>
    <w:p>
      <w:pPr>
        <w:spacing w:after="100"/>
      </w:pPr>
      <w:r>
        <w:t xml:space="preserve">Gordon con un crecimiento del 0,5 % nominal. Las concesiones vencen en 2048 y los activos revierten al Estado sin pago [1]: el flujo de 2036-2048 (13 años) creciendo con la inflación vale lo mismo que un Gordon con crecimiento cercano a cero. El medio punto da algo de valor a la prórroga, posible hasta 50 años más pero con las condiciones que imponga la autoridad [1]. El múltiplo implícito es de 4,3 veces el EBITDA de 2035; con un terminal perpetuo de 9 veces, el valor terminal se duplicaría.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MX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MX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21.888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(ROIC 29,7 %)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frente al 6,1 %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 (histórico: 30,2 %)</w:t>
            </w:r>
          </w:p>
        </w:tc>
      </w:tr>
    </w:tbl>
    <w:p>
      <w:pPr>
        <w:spacing w:after="160" w:before="0"/>
      </w:pPr>
    </w:p>
    <w:p>
      <w:pPr>
        <w:spacing w:after="100"/>
      </w:pPr>
      <w:r>
        <w:t xml:space="preserve">La proyección reinvierte el 25 % del NOPAT. Con el ROIC del último ejercicio (29,7 %), eso financia un crecimiento del 7,6 % anual, frente al 6,1 % de ingresos proyectado. Supone que el capital nuevo rinde un 19,2 %, frente a un ROIC incremental histórico del 30,2 %.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+2 % (1S26 +2,4 %, julio-agosto +4 %, septiembre −4,8 %) y precio +3,5 % por la tarifa de abril [4, 9,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+3 % y precio +5 % (inflación más la subida hacia el 99 % del tope)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+3,5 % y precio +4,5 %: se completa el 99 % del tope a mediados de año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+3,5 % y precio +3,5 % (inflación menos el 0,8 % de eficiencia más comerciales)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+3 % y precio +3,5 % [1].</w:t>
            </w:r>
          </w:p>
        </w:tc>
      </w:tr>
    </w:tbl>
    <w:p>
      <w:pPr>
        <w:spacing w:after="160" w:before="0"/>
      </w:pPr>
    </w:p>
    <w:p>
      <w:pPr>
        <w:spacing w:after="100"/>
      </w:pPr>
      <w:r>
        <w:t xml:space="preserve">Sí. El crecimiento proyectado (6,1 % anual) es menor que el que financia la reinversión al ROIC actual (7,6 %) y supone que el capital nuevo rinde un 19,2 %, por debajo del 30,2 % incremental histórico. El foso es legal (concesión exclusiva hasta 2048) y el poder de precios está regulado pero asegurado: la tarifa máxima 2026-2030 se fijó para remunerar el Plan Maestro y sube entre un 4 % y un 7 % real en 2026 [1]. El tráfico crecerá por debajo de su historia por la capacidad de las aerolíneas. No hay prueba de cuota: el aeropuerto es el único de su ciudad y el crecimiento no exige ganar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103 % justifica el precio (base: 72,5 %)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13,3 %)</w:t>
            </w:r>
          </w:p>
        </w:tc>
      </w:tr>
    </w:tbl>
    <w:p>
      <w:pPr>
        <w:spacing w:after="160" w:before="0"/>
      </w:pPr>
    </w:p>
    <w:p>
      <w:pPr>
        <w:spacing w:after="100"/>
      </w:pPr>
      <w:r>
        <w:t xml:space="preserve">El DCF da 108,73 MXN por acción, un 46,9 % por debajo del precio, con un WACC del 13,33 % y un valor terminal que pesa el 43 %. El DCF inverso dice que el precio de 204,78 exige un crecimiento del 14,5 % anual en 2027-2035 frente al 6,2 % de nuestro caso base, o equivale a una rentabilidad implícita del 8,8 % con nuestros flujos, por debajo del propio bono mexicano a 10 años (9,16 %). Es una expectativa exigente. La diferencia con el mercado está en dos supuestos: el fin de la concesión en 2048, que nosotros respetamos (terminal del 0,5 %) y el mercado parece ignorar, y el coste del capital en pesos. Incluso con un WACC del 12,3 % y un terminal del 1,5 %, el DCF no pasa de 131,03. Para llegar al precio hay que suponer la prórroga de la concesión en condiciones parecidas y un coste del capital cercano al 10 %. Con la prima de mercado de hoy (4,2 %) el DCF sube a 119,13.</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fusión Viva-Volaris recorta rutas en Monterrey y el tráfico crece un 1 % al año; la tarifa máxima no se cobra entera y el margen se queda en el 71 %. Ya pasó en 2020 con la quiebra de Interjet (5,7 % del tráfico)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2-3,5 % anual, tarifa al 99 % del tope a mediados de 2028, margen del 72,5 % y el Plan Maestro ejecutado; la concesión acaba en 2048 con una pequeña opción de prórroga.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Monterrey sigue ganando rutas internacionales con el nearshoring, el tráfico vuelve al 5 % anual y la tarifa llega al tope en 2027; margen del 73,5 % y terminal del 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MXN) · precio actual 204,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106,02 MXN (-48,2 %).</w:t>
      </w:r>
    </w:p>
    <w:p>
      <w:pPr>
        <w:spacing w:after="100"/>
      </w:pPr>
      <w:r>
        <w:t xml:space="preserve">La asimetría del valor intrínseco es negativa: incluso el alcista (129,16) queda un 36,9 % por debajo del precio, y el bajista (77,44) un 62,2 %. Eso no dice que la empresa vaya a caer: dice que, con el fin de la concesión en 2048 y un coste del capital en pesos del 13 %, el precio ya descuenta un escenario mejor que nuestro alcista. A 12 meses la lectura es otra, porque decide el múltiplo: el bajista pierde un 13,6 % y el alcista gana un 41,3 %.</w:t>
      </w:r>
    </w:p>
    <w:p>
      <w:pPr>
        <w:pStyle w:val="Heading1"/>
      </w:pPr>
      <w:r>
        <w:t xml:space="preserve">22. Suma de partes</w:t>
      </w:r>
    </w:p>
    <w:p>
      <w:pPr>
        <w:pStyle w:val="Confianza"/>
        <w:spacing w:after="100"/>
      </w:pPr>
      <w:r>
        <w:t xml:space="preserve">Confianza: Media</w:t>
      </w:r>
    </w:p>
    <w:p>
      <w:pPr>
        <w:spacing w:after="100"/>
      </w:pPr>
      <w:r>
        <w:t xml:space="preserve">No aplica: los negocios no aeronáuticos (comerciales, carga, hoteles y parque industrial) dependen del pasajero y del suelo de la concesión, y la empresa no publica su resultado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MXN) · precio actual 204,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143,08 MXN (-30,1 % sobre 204,78).</w:t>
      </w:r>
    </w:p>
    <w:p>
      <w:pPr>
        <w:spacing w:after="100"/>
      </w:pPr>
      <w:r>
        <w:t xml:space="preserve">Pesos: DCF 50 %, comparables 20 % y escenarios 30 %; transacciones 0 % porque solo hay una con cifras y lleva prima de control. El DCF es el método más fiable para una concesión con fecha de caducidad y tarifas reguladas, porque es el único que recoge el final de 2048 y la inversión del Plan Maestro; los múltiplos de los comparables (PER implícito de 256,83-329,10) suponen negocios perpetuos y usan el BPA del consenso, que creemos alto. La dispersión es enorme: del DCF (108,73) a los comparables por PER (284,55). La síntesis (143,08) queda un 30,1 % por debajo del precio. La deuda neta ajustada del puente (14.757 M) suma la provisión de mantenimiento (2.912 M), que es gasto devengado pendiente de pagar.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(13.3x) a mitad de camino hacia la mediana de 5 años (13.6x)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r>
    </w:tbl>
    <w:p>
      <w:pPr>
        <w:spacing w:after="160" w:before="0"/>
      </w:pPr>
    </w:p>
    <w:p>
      <w:pPr>
        <w:spacing w:after="100"/>
      </w:pPr>
      <w:r>
        <w:rPr>
          <w:b/>
          <w:bCs/>
        </w:rPr>
        <w:t xml:space="preserve">Objetivo a 12 meses (ponderado):</w:t>
      </w:r>
      <w:r>
        <w:t xml:space="preserve"> 222,70 MXN · rentabilidad +14,9 % (base +15,9 %) · señal Mantener.</w:t>
      </w:r>
    </w:p>
    <w:p>
      <w:pPr>
        <w:spacing w:after="100"/>
      </w:pPr>
      <w:r>
        <w:t xml:space="preserve">Para comparar, con la regla v2 (historia al cierre, mismo precio): 11,3x / 13,3x / 16,0x, 16,5 %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(15,45) queda un 17,6 % por debajo del consenso (18,76) y el de 2028 (16,78) un 21,8 % por debajo (21,47) [23]. La diferencia es de margen y de tráfico: el consenso supone un EBITDA ajustado de 12.738 M en 2027, que sobre nuestras ventas sería un margen superior al 80 %, frente al 74-75 % que publica la empresa; y su BPA de 2026 (16,02) exige un 2S26 un 28 % mejor que el 2S25. Lo revisamos y lo mantenemos: el tráfico de septiembre (−4,8 %) y la provisión de mantenimiento duplicada no apoyan ese salto. Nuestro precio base (224,85) queda un 13,4 % por debajo del objetivo medio de los analistas (259,60).</w:t>
      </w:r>
    </w:p>
    <w:p>
      <w:pPr>
        <w:keepNext/>
        <w:spacing w:after="100"/>
      </w:pPr>
      <w:r>
        <w:rPr>
          <w:b/>
          <w:bCs/>
        </w:rPr>
        <w:t xml:space="preserve">Del valor intrínseco al objetivo a 12 meses.</w:t>
      </w:r>
    </w:p>
    <w:p>
      <w:pPr>
        <w:spacing w:after="100"/>
      </w:pPr>
      <w:r>
        <w:t xml:space="preserve">El objetivo a 12 meses (222,70) queda un 55,6 % por encima del valor intrínseco (143,08). Esa distancia es la tesis en contra: el mercado paga a OMA como si la concesión fuera perpetua y el capital costara un 10 %, y el PER de 13,4 veces del caso base supone que eso sigue así un año más. Para que el precio converja hacia el valor intrínseco haría falta un hecho que obligue a mirar el final de la concesión (un cambio regulatorio, una negociación de la prórroga) o una subida de tipos en México. Para cerrar la distancia hacia arriba haría falta una prórroga de la concesión en condiciones parecidas. Nada de eso tiene fecha.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tráfico de septiembre (−4,8 %) y la tarifa nueva entera; probable recorte del consenso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Primeros días de cada mes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mensual de pasajeros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 a crecer por encima del 3 % confirmaría el BPA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pago del dividendo (6,28 MXN por acción)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6,1 %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de la fusión Viva-Volaris por la autoridad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poder del cliente y posible recorte de rutas solapadas en Monterrey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tarifa hacia el 99 % del máximo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un +5 % de ingresos aeronáuticos por pasajero sobre la inflación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anual: dividendo sobre el beneficio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dividendo por debajo de 4.900 M indicaría más prioridad a la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regulatorio unilateral (tarifas, derecho de concesión, condiciones de la prórroga)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(el 5-oct-2023 la acción cayó un 26 %)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aprobadas hasta 2030 y compensación del exceso del derecho de concesión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Iniciativas en el Congreso o comunicados de la AFAC sobre bases tarifarias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de Viva y Volaris (62,9 % de los ingresos aeronáuticos)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Monterrey es imprescindible para cualquier aerolínea mexicana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Rutas solapadas que se cierran en Monterrey tras la autorización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las aerolíneas (motores Pratt &amp; Whitney GTF, queroseno)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menos de crecimiento del tráfico durante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comercial y de carga (+17,4 % en el 2T26)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Asientos ofrecidos en el trimestre (−0,3 %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concesión en 2048 sin prórroga o con condiciones peores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descontado en nuestro terminal del 0,5 %; el precio supone la prórroga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Prórroga posible hasta 50 años más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la prórroga de los grupos aeroportuarios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peso mexicano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medio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en pesos, sin derivados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9,5 %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o retrasos del Plan Maestro 2026-2030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técnica de VINCI en obras aeroportuarias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por encima de 4.000 M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interés con VINCI (asistencia técnica, obras, nombramientos)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prácticas societarias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comisión o de las compras a partes vinculadas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Huracanes en los aeropuertos turísticos (Acapulco, Zihuatanejo, Mazatlán)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Físico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Seguros (82 M cobrados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huracanes del Pacífico</w:t>
            </w:r>
          </w:p>
        </w:tc>
      </w:tr>
    </w:tbl>
    <w:p>
      <w:pPr>
        <w:spacing w:after="160" w:before="0"/>
      </w:pPr>
    </w:p>
    <w:p>
      <w:pPr>
        <w:pStyle w:val="Heading2"/>
      </w:pPr>
      <w:r>
        <w:t xml:space="preserve">Pre-mortem</w:t>
      </w:r>
    </w:p>
    <w:p>
      <w:pPr>
        <w:spacing w:after="100"/>
      </w:pPr>
      <w:r>
        <w:t xml:space="preserve">Octubre de 2029: la acción vale 120 MXN, un 40 % menos. La cadena empezó en 2027: la autoridad de competencia autorizó la fusión de Viva y Volaris con condiciones blandas y el nuevo grupo cerró rutas solapadas desde Monterrey para subir sus tarifas. El tráfico de OMA creció un 1 % al año en 2027-2028, la mitad de lo previsto, y la empresa no pudo pasar la tarifa máxima entera porque su gran cliente se negó. En 2028, con unas elecciones legislativas por delante, el Gobierno propuso revisar las «ganancias excesivas» de los aeropuertos y condicionó la prórroga de las concesiones a rebajar las tarifas. El mercado dejó de pagar el valor terminal más allá de 2048 que hoy descuenta, el PER bajó a 10 veces y la deuda, que había subido para pagar el Plan Maestro y el dividendo, obligó a recortar el reparto. Las señales estaban a la vista: el tráfico de septiembre de 2026 (−4,8 %), la fusión anunciada en diciembre de 2025 y un precio que ya implicaba una rentabilidad (8,8 %) inferior al bono mexicano.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+2 %</w:t>
      </w:r>
    </w:p>
    <w:p>
      <w:pPr>
        <w:spacing w:after="100"/>
      </w:pPr>
      <w:r>
        <w:t xml:space="preserve">La IA no sustituye un aeropuerto: el ingreso depende de pasajeros que vuelan y de una concesión física exclusiva, y ningún modelo de lenguaje puede hacer aterrizar un avión en Monterrey ni sustituir un viaje de negocios en una economía industrial que crece con el nearshoring. Toca algo los costes: seguridad, control de equipajes y gestión de colas (OMA invirtió en 2021-2025 en escáneres CTX y el Plan 2026-2030 incluye 3.659 M en seguridad y tecnología) [1]. Lo que se ahorre en costes entra en la próxima revisión tarifaria como eficiencia (0,8 % anual), así que el efecto en valor es pequeño. Un efecto indirecto posible es que la IA reduzca algunos viajes de negocios, sustituidos por reuniones virtuales, pero la experiencia con las videollamadas desde 2020 muestra que el tráfico se recuperó entero en 2022. La señal a vigilar sería un tráfico de negocios en Monterrey que no acompañe a la actividad industrial.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Dos asuntos mueven cifras. El primero, el riesgo político y social de la concesión: el Gobierno justificó en 2023 el derecho de concesión del 9 % como un abaratamiento para el pasajero [16]. El segundo, el clima: OMA redujo un 88 % las emisiones de alcance 1 y 2 por pasajero frente a 2018 y el 87 % de su electricidad es renovable, lo que cumplió el objetivo de sus bonos ligados a sostenibilidad y evita una penalización de cupón [4]. Las 13 terminales tienen la acreditación de carbono de nivel 3 [4]. Huracanes en Acapulco y Zihuatanejo (Otis, 2023) son un riesgo físico con seguro: en 2025 cobró 82 M de indemnización [1].</w:t>
      </w:r>
    </w:p>
    <w:p>
      <w:pPr>
        <w:pStyle w:val="Heading2"/>
      </w:pPr>
      <w:r>
        <w:t xml:space="preserve">Controversias</w:t>
      </w:r>
    </w:p>
    <w:p>
      <w:pPr>
        <w:spacing w:after="100"/>
      </w:pPr>
      <w:r>
        <w:t xml:space="preserve">No encontramos sanciones ni litigios materiales en 2023-2026 en el 20-F ni en los 6-K [1]. La controversia relevante es regulatoria: el cambio unilateral de las bases tarifarias de octubre de 2023, que se resolvió con un acuerdo con el Gobierno y la compensación del exceso del derecho de concesión en las tarifas de 2026-2030 [1, 16].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Viva-Volaris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rutas de Monterrey solapan ambas aerolíneas y qué compromisos de capacidad pedirán ustedes en la autorización?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fusionado tendría el 62,9 % de los ingresos aeronáuticos y es la variable que más mueve el tráfico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 de las concesiones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iniciado conversaciones sobre la prórroga más allá de 2048 y con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actual solo se sostiene si el negocio dura más allá de 2048; nuestro DCF supone casi el final de la concesión.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 máxima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cumplimiento de la tarifa máxima prevén para 2027 si el queroseno sigue caro?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2028 supone llegar al 99 % a finales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20.417 M previstos en 2026-2030 es obligatorio y cuánto estratégico?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es el 24-27 % de las ventas en nuestra proyección y decide la caja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aceptan antes de recortar el reparto del 90 % del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4.000-5.000 M de inversión al año, mantener 4.900 M de dividendo exige subir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mantenimiento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duplicó la provisión en el 1S26 y cuál es su nivel normal en el plan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que el beneficio de explotación del 1S26 creciera solo un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VINCI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planes de VINCI de subir su participación o de cambiar el contrato de asistencia técnica?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OPA o un cambio de la comisión mueven el valor para el minoritario.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(OMAB)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y mucho mensaje automático de opciones; tras los resultados de febrero se habló de «liquidación» de los tres grupos mexicanos y en abril de compras en la base del gráfico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siguen alcistas: el Mundial en Monterrey, márgenes récord y que el petróleo no rompe la tesis; el 9-oct se publicó una tesis de entrada en los aeropuertos mexicanos tras la caída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mexicana (opiniones de casas de bolsa)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Valmex y Kapital señalan la caída del tráfico de abril, la contracción de Monterrey y las presiones de costes del Plan Maestro 2026-2030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Notas de casas de bolsa (B×+)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«mixtos», por debajo del consenso en EBITDA y beneficio por costes; implicación neutral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y capacidad de Viva y Volaris (combustible, motores, fusión)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asientos −0,3 % en el 2T26 y septiembre −4,8 %; Viva (50 % del tráfico) cayó un 2 % en el 2T26 [17,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del 29 % desde febrero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los últimos 12 meses es de 14,6 veces, por debajo de su historia, pero con el beneficio creciendo un 3 % en el 1S26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Mundial 2026 en Monterrey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vio en las cifras: el tráfico del 2T26 creció un 0,4 % y Monterrey cayó un 1,6 %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del Plan Maestro y provisión de mantenimiento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provisión de mantenimiento se duplicó en el 1S26 (208 M frente a 104 M) [7, 17].</w:t>
            </w:r>
          </w:p>
        </w:tc>
      </w:tr>
    </w:tbl>
    <w:p>
      <w:pPr>
        <w:spacing w:after="160" w:before="0"/>
      </w:pPr>
    </w:p>
    <w:p>
      <w:pPr>
        <w:spacing w:after="100"/>
      </w:pPr>
      <w:r>
        <w:t xml:space="preserve">El sentimiento es dividido y empeora: los autores de Seeking Alpha siguen alcistas (márgenes, Mundial, valoración tras la caída), mientras las casas de bolsa mexicanas y los datos de tráfico apuntan a un año flojo [7, 17, 29]. No hay euforia ni capitulación: el debate en foros es escaso, propio de una acción de pequeño seguimiento minorista. Lo que la gente señala, la capacidad de Viva y Volaris, es el riesgo central de este informe y está recogido. El optimismo por el Mundial no se vio en las cifras del 2T26 [4]. No contradice al consenso, que sigue en «Outperform».</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30 (15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19,2 % frente a un ROIC de 29,7 % y un incremental histórico de 30,2 %: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8,9 % real: genera una variación de circulante de 75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20, 26,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20-F 2025 (texto de cada emisión, sin tabla anual legible); 2) informe del 2T26 (tablas en imagen sin calendario); 3) prensa de la emisión de julio de 2026 (solo el plazo de la nueva)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4T24 a 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2024 no descargados; 2) 20-F (solo anual); 3) derivarlo de los acumulados (no hay 9M24)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(solo el tráfico propio); 2) búsqueda de la estadística anual de la AFAC (solo 2024: 119,5 M en vuelos regulares); 3) Secretaría de Turismo (enero-septiembre de 2025, otro criterio)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(nota de prensa, sin calificaciones); 2) 20-F; 3) búsqueda no hecha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la junta de abril de 2026 (sin porcentajes); 2) 20-F (sin actas); 3) web de la BMV no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 3 de marzo de 2026 (alta de consejeros, sin operaciones); 2) 6-K de volumen de septiembre (la empresa no sabe de operaciones de consejeros); 3) sin Form 4 para un emisor extranjero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(5-10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de OMA (solo la compra de VINCI); 2) repositorio (Aena y Ferrovial: operaciones sin múltiplo publicado); 3) búsqueda de compras de aeropuertos con múltiplo (Gatwick, ANA, Heathrow): cifras de prensa sin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media «Outperform»); 2) Investing (instantáneas contradictorias); 3) MarketBeat (datos del ADS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2023-2025 auditadas por Deloitte, notas, Plan Maestro 2026-2030, tarifas máximas)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https://www.sec.gov/Archives/edgar/data/1378239/000110465926051987/omab-20251231x20f.htm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2022 (cuentas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https://www.sec.gov/Archives/edgar/data/1378239/000155837023007311/omab-20221231x20f.htm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2019 (cuentas 2017-2019)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https://www.sec.gov/Archives/edgar/data/1378239/000155837020004773/omab-20191231x20f.htm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Announces Second Quarter 2026 Operating and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https://www.sec.gov/Archives/edgar/data/1378239/000199937126016264/oma-6k_072726.htm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Announces Fourth Quarter 2025 Operating and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https://www.sec.gov/Archives/edgar/data/1378239/000199937126003985/oma-6k_022426.htm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los 20-F (companyfacts, CIK 1378239)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https://data.sec.gov/api/xbrl/companyfacts/CIK0001378239.json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trimestrales OMA 2T26 (múltiplos y cifras UDM)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Financiero Ve por Más (B×+)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https://estrategia.vepormas.com/wp-content/uploads/2026/07/Trimestral-OMA-2T26-2.pdf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https://www.marketbeat.com/earnings/reports/2026-7-27-grupo-aeroportuario-del-centro-norte-sab-de-cv-stock/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reports a 4.8% decrease in September 2026 passenger traffic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https://www.sec.gov/Archives/edgar/data/1378239/000199937126022397/omab-6k_100726.htm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reports a 4.0% increase in August 2026 passenger traffic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https://www.sec.gov/Archives/edgar/data/1378239/000199937126019999/oma-6k_090726.htm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reports a 3.9% increase in July 2026 passenger traffic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https://www.sec.gov/Archives/edgar/data/1378239/000199937126017108/oma-6k_080626.htm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completes issuance of debt, Ps.3.0 billion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https://www.sec.gov/Archives/edgar/data/1378239/000199937126015433/oma-6k_072026.htm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OMA's Annual Meeting approved Ps.4,900 million dividend payment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https://www.sec.gov/Archives/edgar/data/1378239/000199937126009053/oma-6k_042426.htm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announces external auditor change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https://www.sec.gov/Archives/edgar/data/1378239/000199937126022578/omab-6k_101326.htm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derrumban acciones de grupos aeroportuarios mexicanos tras medida tarifaria del gobierno federal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Aviacionline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https://www.aviacionline.com/se-derrumban-acciones-de-grupos-aeroportuarios-mexicanos-tras-medida-tarifaria-del-gobierno-federal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Grupos aeroportuarios ASUR y GAP borran casi 5,000 mdp en valor por nueva regulación de tarifas (derecho de concesión del 5 % al 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https://elceo.com/mercados/los-grupos-aeroportuarios-asur-y-gap-borran-casi-5000-mdp-en-valor-por-nueva-regulacion-de-tarifas/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controladora del aeropuerto de Acapulco y Monterrey, va a la BMV por hasta 3,000 millones (tráfico de abril, presiones de costes del PMD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Cronista México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https://www.cronista.com/mexico/finanzas-economia/oma-controladora-del-aeropuerto-de-acapulco-y-monterrey-va-a-la-bmv-por-hasta-3000-millones/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mercado de Yahoo Finance (capitalización, EBITDA LTM, deuda neta, PER adelantado) de ASUR, GAP, Aena, ADP, Fraport, Flughafen Zürich, CAAP y Auckland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Announces Change in Investor Relation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https://www.sec.gov/Archives/edgar/data/1378239/000199937126021487/omab-6k_092926.htm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BlackRock sobre OMA (10,2 % de la serie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https://www.sec.gov/cgi-bin/browse-edgar?action=getcompany&amp;CIK=0001378239&amp;type=SC+13G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 responds to Mexican Stock Exchange request regarding trading volume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https://www.sec.gov/Archives/edgar/data/1378239/000199937126020900/oma-6k_091826.htm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(OMAB.MX, ^MXX, ASURB.MX)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https://finance.yahoo.com/quote/OMAB.MX/history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Centro Norte (OMA B): finances, consenso de 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https://www.marketscreener.com/quote/stock/GRUPO-AEROPORTUARIO-DEL-C-6499152/finances/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Mexico (IRLTLT01MXM156N),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https://fred.stlouisfed.org/series/IRLTLT01MXM156N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(EUR/MXN 20,56; EUR/USD 1,1195)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USD/MXN, cierre del 7-dic-2022 (19,754)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https://finance.yahoo.com/quote/MXN=X/history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del símbolo OMAB (API pública), enero-octubre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https://api.stocktwits.com/api/2/streams/symbol/OMAB.json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OMAB (RSS): «Expanding The Portfolio Coverage Into Mexican Airports» (9-oct-2026), «A World Cup Host, And Broader Bullish Outlook» (20-jun-2026), «I'm Not Worried About Oil Prices» (13-mar-2026)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https://seekingalpha.com/symbol/OMAB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aeropuertos (sectores/aeropuertos-2026-10-15.md)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82,9 %</w:t>
      </w:r>
      <w:r>
        <w:t xml:space="preserve"> · Secciones con menos del 60 % de campos cubiertos: </w:t>
      </w:r>
      <w:r>
        <w:rPr>
          <w:b/>
          <w:bCs/>
        </w:rPr>
        <w:t xml:space="preserve">capital, gobierno, consenso</w:t>
      </w:r>
      <w:r>
        <w:t xml:space="preserve"> · Generado el 15 oct 2026.</w:t>
      </w:r>
    </w:p>
    <w:p>
      <w:pPr>
        <w:pStyle w:val="Nota"/>
        <w:spacing w:after="100"/>
      </w:pPr>
      <w:r>
        <w:t xml:space="preserve">Línea analizada: la acción serie B en la Bolsa Mexicana de Valores (OMA B, símbolo de Yahoo OMAB.MX), en MXN; el ADS del Nasdaq (OMAB) equivale a 8 acciones B. Precio: cierre del 14-oct-2026 (la sesión del 15-oct no había abierto a la hora del corte). Las cuentas salen de los 20-F (NIIF del IASB) y de los 6-K trimestrales de la SEC, y se cruzaron con el XBRL de la SEC. </w:t>
      </w:r>
      <w:r>
        <w:rPr>
          <w:b/>
        </w:rPr>
        <w:t xml:space="preserve">Los ingresos del informe excluyen los «ingresos de construcción» de la CINIIF 12</w:t>
      </w:r>
      <w:r>
        <w:t xml:space="preserve"> (2.313 M en 2025), que se registran con un coste idéntico y margen cero: el informe usa la suma de ingresos aeronáuticos y no aeronáuticos, que es la que publica la empresa como base de sus márgenes. El EBITDA es el publicado (resultado de explotación más amortizaciones), después de la provisión de mantenimiento mayor; el «EBITDA ajustado» de la empresa suma esa provisión (74,5 % de margen en 2025 frente al 71,9 % del informe). Las tablas del 2T26 y del 4T25 vienen en imagen y se copiaron a mano. El consenso es de un solo proveedor (MarketScreener) y su EBITDA se pasó a la base del informe restando una provisión estimada.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Grupo Aeroportuario del Centro Norte, S.A.B. de C.V. (OMA) (OMAB)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(MXN) · precio actual 204,78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(199,75 – 289,74)</c:v>
                </c:pt>
                <c:pt idx="1">
                  <c:v>Comparables: PER NTM (256,83 – 329,10)</c:v>
                </c:pt>
                <c:pt idx="2">
                  <c:v>DCF (WACC y g ± 0,5) (99,90 – 118,98)</c:v>
                </c:pt>
                <c:pt idx="3">
                  <c:v>Escenarios (bajista – alcista) (77,44 – 129,16)</c:v>
                </c:pt>
                <c:pt idx="4">
                  <c:v>DCF con la prima implícita del mercado (4,2 %)</c:v>
                </c:pt>
                <c:pt idx="5">
                  <c:v>Precio actual (204,78)</c:v>
                </c:pt>
              </c:strCache>
            </c:strRef>
          </c:cat>
          <c:val>
            <c:numRef>
              <c:f>Hoja1!$B$2:$B$7</c:f>
              <c:numCache>
                <c:formatCode>#,##0</c:formatCode>
                <c:ptCount val="6"/>
                <c:pt idx="0">
                  <c:v>199.75</c:v>
                </c:pt>
                <c:pt idx="1">
                  <c:v>256.83</c:v>
                </c:pt>
                <c:pt idx="2">
                  <c:v>99.9</c:v>
                </c:pt>
                <c:pt idx="3">
                  <c:v>77.44</c:v>
                </c:pt>
                <c:pt idx="4">
                  <c:v>111.85</c:v>
                </c:pt>
                <c:pt idx="5">
                  <c:v>203.76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(199,75 – 289,74)</c:v>
                </c:pt>
                <c:pt idx="1">
                  <c:v>Comparables: PER NTM (256,83 – 329,10)</c:v>
                </c:pt>
                <c:pt idx="2">
                  <c:v>DCF (WACC y g ± 0,5) (99,90 – 118,98)</c:v>
                </c:pt>
                <c:pt idx="3">
                  <c:v>Escenarios (bajista – alcista) (77,44 – 129,16)</c:v>
                </c:pt>
                <c:pt idx="4">
                  <c:v>DCF con la prima implícita del mercado (4,2 %)</c:v>
                </c:pt>
                <c:pt idx="5">
                  <c:v>Precio actual (204,78)</c:v>
                </c:pt>
              </c:strCache>
            </c:strRef>
          </c:cat>
          <c:val>
            <c:numRef>
              <c:f>Hoja1!$C$2:$C$7</c:f>
              <c:numCache>
                <c:formatCode>#,##0</c:formatCode>
                <c:ptCount val="6"/>
                <c:pt idx="0">
                  <c:v>89.99000000000001</c:v>
                </c:pt>
                <c:pt idx="1">
                  <c:v>72.27000000000004</c:v>
                </c:pt>
                <c:pt idx="2">
                  <c:v>19.08</c:v>
                </c:pt>
                <c:pt idx="3">
                  <c:v>51.72</c:v>
                </c:pt>
                <c:pt idx="4">
                  <c:v>15.240000000000009</c:v>
                </c:pt>
                <c:pt idx="5">
                  <c:v>2.0400000000000205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(MXN, millones)</a:t>
            </a:r>
          </a:p>
        </c:rich>
      </c:tx>
      <c:overlay val="0"/>
    </c:title>
    <c:autoTitleDeleted val="0"/>
    <c:plotArea>
      <c:layout/>
      <c:barChart>
        <c:barDir val="col"/>
        <c:grouping val="stacked"/>
        <c:varyColors val="0"/>
        <c:ser>
          <c:idx val="0"/>
          <c:order val="0"/>
          <c:tx>
            <c:strRef>
              <c:f>Hoja1!$B$1</c:f>
              <c:strCache>
                <c:ptCount val="1"/>
                <c:pt idx="0">
                  <c:v>Aeronáuticos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5277.7</c:v>
                </c:pt>
                <c:pt idx="1">
                  <c:v>7055.5</c:v>
                </c:pt>
                <c:pt idx="2">
                  <c:v>8931.7</c:v>
                </c:pt>
                <c:pt idx="3">
                  <c:v>9136.9</c:v>
                </c:pt>
                <c:pt idx="4">
                  <c:v>10190.7</c:v>
                </c:pt>
              </c:numCache>
            </c:numRef>
          </c:val>
        </c:ser>
        <c:ser>
          <c:idx val="1"/>
          <c:order val="1"/>
          <c:tx>
            <c:strRef>
              <c:f>Hoja1!$C$1</c:f>
              <c:strCache>
                <c:ptCount val="1"/>
                <c:pt idx="0">
                  <c:v>No aeronáuticos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1653.4</c:v>
                </c:pt>
                <c:pt idx="1">
                  <c:v>2229.8</c:v>
                </c:pt>
                <c:pt idx="2">
                  <c:v>2627.4</c:v>
                </c:pt>
                <c:pt idx="3">
                  <c:v>3075.9</c:v>
                </c:pt>
                <c:pt idx="4">
                  <c:v>3460.3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Aeronáuticos</c:v>
                </c:pt>
                <c:pt idx="1">
                  <c:v>No aeronáuticos</c:v>
                </c:pt>
              </c:strCache>
            </c:strRef>
          </c:cat>
          <c:val>
            <c:numRef>
              <c:f>Hoja1!$B$2:$B$3</c:f>
              <c:numCache>
                <c:formatCode>General</c:formatCode>
                <c:ptCount val="2"/>
                <c:pt idx="0">
                  <c:v>74.7</c:v>
                </c:pt>
                <c:pt idx="1">
                  <c:v>25.3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México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OMA</c:v>
                </c:pt>
                <c:pt idx="1">
                  <c:v>Grupo Aeroportuario del Pacífico (GAP)</c:v>
                </c:pt>
                <c:pt idx="2">
                  <c:v>Grupo Aeroportuario del Sureste (ASUR)</c:v>
                </c:pt>
                <c:pt idx="3">
                  <c:v>Aeropuerto Internacional de la Ciudad de México (AICM)</c:v>
                </c:pt>
                <c:pt idx="4">
                  <c:v>Aeropuerto Internacional Felipe Ángeles (AIFA)</c:v>
                </c:pt>
                <c:pt idx="5">
                  <c:v>Aena</c:v>
                </c:pt>
              </c:strCache>
            </c:strRef>
          </c:cat>
          <c:val>
            <c:numRef>
              <c:f>Hoja1!$B$2:$B$7</c:f>
              <c:numCache>
                <c:formatCode>0.0"%"</c:formatCode>
                <c:ptCount val="6"/>
                <c:pt idx="0">
                  <c:v>65.5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(MXN,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6765.5</c:v>
                </c:pt>
                <c:pt idx="1">
                  <c:v>7572.3</c:v>
                </c:pt>
                <c:pt idx="2">
                  <c:v>4113.6</c:v>
                </c:pt>
                <c:pt idx="3">
                  <c:v>6931.1</c:v>
                </c:pt>
                <c:pt idx="4">
                  <c:v>9285.3</c:v>
                </c:pt>
                <c:pt idx="5">
                  <c:v>11559.1</c:v>
                </c:pt>
                <c:pt idx="6">
                  <c:v>12212.8</c:v>
                </c:pt>
                <c:pt idx="7">
                  <c:v>13651</c:v>
                </c:pt>
                <c:pt idx="8">
                  <c:v>14402</c:v>
                </c:pt>
                <c:pt idx="9">
                  <c:v>15554</c:v>
                </c:pt>
                <c:pt idx="10">
                  <c:v>16798</c:v>
                </c:pt>
                <c:pt idx="11">
                  <c:v>17974</c:v>
                </c:pt>
                <c:pt idx="12">
                  <c:v>19142</c:v>
                </c:pt>
                <c:pt idx="13">
                  <c:v>20291</c:v>
                </c:pt>
                <c:pt idx="14">
                  <c:v>21407</c:v>
                </c:pt>
                <c:pt idx="15">
                  <c:v>22477</c:v>
                </c:pt>
                <c:pt idx="16">
                  <c:v>23601</c:v>
                </c:pt>
                <c:pt idx="17">
                  <c:v>24663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4484.2</c:v>
                </c:pt>
                <c:pt idx="1">
                  <c:v>5270.6</c:v>
                </c:pt>
                <c:pt idx="2">
                  <c:v>2156.8</c:v>
                </c:pt>
                <c:pt idx="3">
                  <c:v>4597.6</c:v>
                </c:pt>
                <c:pt idx="4">
                  <c:v>6615.7</c:v>
                </c:pt>
                <c:pt idx="5">
                  <c:v>8708.2</c:v>
                </c:pt>
                <c:pt idx="6">
                  <c:v>8840.2</c:v>
                </c:pt>
                <c:pt idx="7">
                  <c:v>9818.6</c:v>
                </c:pt>
                <c:pt idx="8">
                  <c:v>10153</c:v>
                </c:pt>
                <c:pt idx="9">
                  <c:v>11121</c:v>
                </c:pt>
                <c:pt idx="10">
                  <c:v>12179</c:v>
                </c:pt>
                <c:pt idx="11">
                  <c:v>13031</c:v>
                </c:pt>
                <c:pt idx="12">
                  <c:v>13878</c:v>
                </c:pt>
                <c:pt idx="13">
                  <c:v>14711</c:v>
                </c:pt>
                <c:pt idx="14">
                  <c:v>15520</c:v>
                </c:pt>
                <c:pt idx="15">
                  <c:v>16296</c:v>
                </c:pt>
                <c:pt idx="16">
                  <c:v>17111</c:v>
                </c:pt>
                <c:pt idx="17">
                  <c:v>17881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74.6</c:v>
                </c:pt>
                <c:pt idx="1">
                  <c:v>76.8</c:v>
                </c:pt>
                <c:pt idx="2">
                  <c:v>65</c:v>
                </c:pt>
                <c:pt idx="3">
                  <c:v>74.8</c:v>
                </c:pt>
                <c:pt idx="4">
                  <c:v>78.4</c:v>
                </c:pt>
                <c:pt idx="5">
                  <c:v>81.1</c:v>
                </c:pt>
                <c:pt idx="6">
                  <c:v>78.7</c:v>
                </c:pt>
                <c:pt idx="7">
                  <c:v>78.3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66.3</c:v>
                </c:pt>
                <c:pt idx="1">
                  <c:v>69.6</c:v>
                </c:pt>
                <c:pt idx="2">
                  <c:v>52.4</c:v>
                </c:pt>
                <c:pt idx="3">
                  <c:v>66.3</c:v>
                </c:pt>
                <c:pt idx="4">
                  <c:v>71.2</c:v>
                </c:pt>
                <c:pt idx="5">
                  <c:v>75.3</c:v>
                </c:pt>
                <c:pt idx="6">
                  <c:v>72.4</c:v>
                </c:pt>
                <c:pt idx="7">
                  <c:v>71.9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61.1</c:v>
                </c:pt>
                <c:pt idx="1">
                  <c:v>64.1</c:v>
                </c:pt>
                <c:pt idx="2">
                  <c:v>41.8</c:v>
                </c:pt>
                <c:pt idx="3">
                  <c:v>59.3</c:v>
                </c:pt>
                <c:pt idx="4">
                  <c:v>65.3</c:v>
                </c:pt>
                <c:pt idx="5">
                  <c:v>69.8</c:v>
                </c:pt>
                <c:pt idx="6">
                  <c:v>66.2</c:v>
                </c:pt>
                <c:pt idx="7">
                  <c:v>65.5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42.2</c:v>
                </c:pt>
                <c:pt idx="1">
                  <c:v>42.5</c:v>
                </c:pt>
                <c:pt idx="2">
                  <c:v>26.6</c:v>
                </c:pt>
                <c:pt idx="3">
                  <c:v>41.2</c:v>
                </c:pt>
                <c:pt idx="4">
                  <c:v>42</c:v>
                </c:pt>
                <c:pt idx="5">
                  <c:v>43.4</c:v>
                </c:pt>
                <c:pt idx="6">
                  <c:v>40.4</c:v>
                </c:pt>
                <c:pt idx="7">
                  <c:v>39.1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6.1</c:v>
                </c:pt>
                <c:pt idx="5">
                  <c:v>4.1</c:v>
                </c:pt>
                <c:pt idx="6">
                  <c:v>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c:v>
                </c:pt>
                <c:pt idx="1">
                  <c:v>37</c:v>
                </c:pt>
                <c:pt idx="2">
                  <c:v>74</c:v>
                </c:pt>
                <c:pt idx="3">
                  <c:v>57</c:v>
                </c:pt>
                <c:pt idx="4">
                  <c:v>50</c:v>
                </c:pt>
                <c:pt idx="5">
                  <c:v>41</c:v>
                </c:pt>
                <c:pt idx="6">
                  <c:v>55</c:v>
                </c:pt>
                <c:pt idx="7">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43</c:v>
                </c:pt>
                <c:pt idx="1">
                  <c:v>41</c:v>
                </c:pt>
                <c:pt idx="2">
                  <c:v>52</c:v>
                </c:pt>
                <c:pt idx="3">
                  <c:v>45</c:v>
                </c:pt>
                <c:pt idx="4">
                  <c:v>59</c:v>
                </c:pt>
                <c:pt idx="5">
                  <c:v>64</c:v>
                </c:pt>
                <c:pt idx="6">
                  <c:v>86</c:v>
                </c:pt>
                <c:pt idx="7">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(MXN,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2094.6000000000004</c:v>
                </c:pt>
                <c:pt idx="1">
                  <c:v>2195.5</c:v>
                </c:pt>
                <c:pt idx="2">
                  <c:v>-516.3999999999999</c:v>
                </c:pt>
                <c:pt idx="3">
                  <c:v>2102.3</c:v>
                </c:pt>
                <c:pt idx="4">
                  <c:v>1294.6000000000001</c:v>
                </c:pt>
                <c:pt idx="5">
                  <c:v>2119.3999999999996</c:v>
                </c:pt>
                <c:pt idx="6">
                  <c:v>2306.4999999999995</c:v>
                </c:pt>
                <c:pt idx="7">
                  <c:v>3464.6999999999994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2851.8</c:v>
                </c:pt>
                <c:pt idx="1">
                  <c:v>3219.8</c:v>
                </c:pt>
                <c:pt idx="2">
                  <c:v>1094.4</c:v>
                </c:pt>
                <c:pt idx="3">
                  <c:v>2857.4</c:v>
                </c:pt>
                <c:pt idx="4">
                  <c:v>3901</c:v>
                </c:pt>
                <c:pt idx="5">
                  <c:v>5011.8</c:v>
                </c:pt>
                <c:pt idx="6">
                  <c:v>4928.8</c:v>
                </c:pt>
                <c:pt idx="7">
                  <c:v>5341.7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29.3</c:v>
                </c:pt>
                <c:pt idx="1">
                  <c:v>32</c:v>
                </c:pt>
                <c:pt idx="2">
                  <c:v>10.7</c:v>
                </c:pt>
                <c:pt idx="3">
                  <c:v>23.8</c:v>
                </c:pt>
                <c:pt idx="4">
                  <c:v>31.2</c:v>
                </c:pt>
                <c:pt idx="5">
                  <c:v>34</c:v>
                </c:pt>
                <c:pt idx="6">
                  <c:v>29.3</c:v>
                </c:pt>
                <c:pt idx="7">
                  <c:v>29.7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13.3</c:v>
                </c:pt>
                <c:pt idx="1">
                  <c:v>13.3</c:v>
                </c:pt>
                <c:pt idx="2">
                  <c:v>13.3</c:v>
                </c:pt>
                <c:pt idx="3">
                  <c:v>13.3</c:v>
                </c:pt>
                <c:pt idx="4">
                  <c:v>13.3</c:v>
                </c:pt>
                <c:pt idx="5">
                  <c:v>13.3</c:v>
                </c:pt>
                <c:pt idx="6">
                  <c:v>13.3</c:v>
                </c:pt>
                <c:pt idx="7">
                  <c:v>13.3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34.2</c:v>
                </c:pt>
                <c:pt idx="1">
                  <c:v>35.7</c:v>
                </c:pt>
                <c:pt idx="2">
                  <c:v>10.7</c:v>
                </c:pt>
                <c:pt idx="3">
                  <c:v>26.3</c:v>
                </c:pt>
                <c:pt idx="4">
                  <c:v>40.2</c:v>
                </c:pt>
                <c:pt idx="5">
                  <c:v>55.6</c:v>
                </c:pt>
                <c:pt idx="6">
                  <c:v>49.2</c:v>
                </c:pt>
                <c:pt idx="7">
                  <c:v>49.4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0.37</c:v>
                </c:pt>
                <c:pt idx="1">
                  <c:v>0.24</c:v>
                </c:pt>
                <c:pt idx="2">
                  <c:v>0.81</c:v>
                </c:pt>
                <c:pt idx="3">
                  <c:v>0.42</c:v>
                </c:pt>
                <c:pt idx="4">
                  <c:v>1.07</c:v>
                </c:pt>
                <c:pt idx="5">
                  <c:v>0.95</c:v>
                </c:pt>
                <c:pt idx="6">
                  <c:v>1.11</c:v>
                </c:pt>
                <c:pt idx="7">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(MXN,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1605.7</c:v>
                </c:pt>
                <c:pt idx="1">
                  <c:v>1598.7</c:v>
                </c:pt>
                <c:pt idx="2">
                  <c:v>320.9</c:v>
                </c:pt>
                <c:pt idx="3">
                  <c:v>1979.8</c:v>
                </c:pt>
                <c:pt idx="4">
                  <c:v>6615.8</c:v>
                </c:pt>
                <c:pt idx="5">
                  <c:v>3738.1</c:v>
                </c:pt>
                <c:pt idx="6">
                  <c:v>4220.7</c:v>
                </c:pt>
                <c:pt idx="7">
                  <c:v>4468.7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474.9</c:v>
                </c:pt>
                <c:pt idx="4">
                  <c:v>0</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6</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VINCI Airports (SETA y CONCESSOC)</c:v>
                </c:pt>
                <c:pt idx="1">
                  <c:v>BlackRock</c:v>
                </c:pt>
                <c:pt idx="2">
                  <c:v>Autocartera</c:v>
                </c:pt>
              </c:strCache>
            </c:strRef>
          </c:cat>
          <c:val>
            <c:numRef>
              <c:f>Hoja1!$B$2:$B$4</c:f>
              <c:numCache>
                <c:formatCode>0.0"%"</c:formatCode>
                <c:ptCount val="3"/>
                <c:pt idx="0">
                  <c:v>29.99</c:v>
                </c:pt>
                <c:pt idx="1">
                  <c:v>9</c:v>
                </c:pt>
                <c:pt idx="2">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-7.9</c:v>
                </c:pt>
                <c:pt idx="1">
                  <c:v>50.7</c:v>
                </c:pt>
                <c:pt idx="2">
                  <c:v>-9</c:v>
                </c:pt>
                <c:pt idx="3">
                  <c:v>7.1</c:v>
                </c:pt>
                <c:pt idx="4">
                  <c:v>9</c:v>
                </c:pt>
                <c:pt idx="5">
                  <c:v>19.9</c:v>
                </c:pt>
                <c:pt idx="6">
                  <c:v>0.1</c:v>
                </c:pt>
                <c:pt idx="7">
                  <c:v>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-15.6</c:v>
                </c:pt>
                <c:pt idx="1">
                  <c:v>4.6</c:v>
                </c:pt>
                <c:pt idx="2">
                  <c:v>1.2</c:v>
                </c:pt>
                <c:pt idx="3">
                  <c:v>20.9</c:v>
                </c:pt>
                <c:pt idx="4">
                  <c:v>-9</c:v>
                </c:pt>
                <c:pt idx="5">
                  <c:v>18.4</c:v>
                </c:pt>
                <c:pt idx="6">
                  <c:v>-13.7</c:v>
                </c:pt>
                <c:pt idx="7">
                  <c:v>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8.6</c:v>
                </c:pt>
                <c:pt idx="1">
                  <c:v>10.8</c:v>
                </c:pt>
                <c:pt idx="2">
                  <c:v>24.1</c:v>
                </c:pt>
                <c:pt idx="3">
                  <c:v>12.1</c:v>
                </c:pt>
                <c:pt idx="4">
                  <c:v>9.8</c:v>
                </c:pt>
                <c:pt idx="5">
                  <c:v>8.9</c:v>
                </c:pt>
                <c:pt idx="6">
                  <c:v>9</c:v>
                </c:pt>
                <c:pt idx="7">
                  <c:v>10.7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9.4</c:v>
                </c:pt>
                <c:pt idx="1">
                  <c:v>9.4</c:v>
                </c:pt>
                <c:pt idx="2">
                  <c:v>9.4</c:v>
                </c:pt>
                <c:pt idx="3">
                  <c:v>9.4</c:v>
                </c:pt>
                <c:pt idx="4">
                  <c:v>9.4</c:v>
                </c:pt>
                <c:pt idx="5">
                  <c:v>9.4</c:v>
                </c:pt>
                <c:pt idx="6">
                  <c:v>9.4</c:v>
                </c:pt>
                <c:pt idx="7">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OMA</c:v>
                </c:pt>
                <c:pt idx="1">
                  <c:v>ASUR</c:v>
                </c:pt>
                <c:pt idx="2">
                  <c:v>GAP (Grupo Aeroportuario del Pacífico)</c:v>
                </c:pt>
                <c:pt idx="3">
                  <c:v>Aena</c:v>
                </c:pt>
                <c:pt idx="4">
                  <c:v>Aéroports de Paris</c:v>
                </c:pt>
                <c:pt idx="5">
                  <c:v>Flughafen Zürich</c:v>
                </c:pt>
                <c:pt idx="6">
                  <c:v>Corporación América Airports</c:v>
                </c:pt>
                <c:pt idx="7">
                  <c:v>Auckland Airport</c:v>
                </c:pt>
                <c:pt idx="8">
                  <c:v>Fraport</c:v>
                </c:pt>
              </c:strCache>
            </c:strRef>
          </c:cat>
          <c:val>
            <c:numRef>
              <c:f>Hoja1!$B$2:$B$10</c:f>
              <c:numCache>
                <c:formatCode>0.0"x"</c:formatCode>
                <c:ptCount val="9"/>
                <c:pt idx="0">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OMA (29,99 %, con la serie BB y el contrato de asistencia técnica)</c:v>
                </c:pt>
              </c:strCache>
            </c:strRef>
          </c:cat>
          <c:val>
            <c:numRef>
              <c:f>Hoja1!$B$2</c:f>
              <c:numCache>
                <c:formatCode>0.0"x"</c:formatCode>
                <c:ptCount val="1"/>
                <c:pt idx="0">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(MXN,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3861</c:v>
                </c:pt>
                <c:pt idx="1">
                  <c:v>4124</c:v>
                </c:pt>
                <c:pt idx="2">
                  <c:v>4444</c:v>
                </c:pt>
                <c:pt idx="3">
                  <c:v>4632</c:v>
                </c:pt>
                <c:pt idx="4">
                  <c:v>5184</c:v>
                </c:pt>
                <c:pt idx="5">
                  <c:v>6751</c:v>
                </c:pt>
                <c:pt idx="6">
                  <c:v>7591</c:v>
                </c:pt>
                <c:pt idx="7">
                  <c:v>8456</c:v>
                </c:pt>
                <c:pt idx="8">
                  <c:v>9143</c:v>
                </c:pt>
                <c:pt idx="9">
                  <c:v>9834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(MXN,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32602</c:v>
                </c:pt>
                <c:pt idx="1">
                  <c:v>24326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(MXN) · precio actual 204,78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77.44</c:v>
                </c:pt>
                <c:pt idx="1">
                  <c:v>108.73</c:v>
                </c:pt>
                <c:pt idx="2">
                  <c:v>129.16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(MXN) · precio actual 204,78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(199,75 – 289,74)</c:v>
                </c:pt>
                <c:pt idx="1">
                  <c:v>Comparables: PER NTM (256,83 – 329,10)</c:v>
                </c:pt>
                <c:pt idx="2">
                  <c:v>DCF (WACC y g ± 0,5) (99,90 – 118,98)</c:v>
                </c:pt>
                <c:pt idx="3">
                  <c:v>Escenarios (bajista – alcista) (77,44 – 129,16)</c:v>
                </c:pt>
                <c:pt idx="4">
                  <c:v>DCF con la prima implícita del mercado (4,2 %)</c:v>
                </c:pt>
                <c:pt idx="5">
                  <c:v>Precio actual (204,78)</c:v>
                </c:pt>
              </c:strCache>
            </c:strRef>
          </c:cat>
          <c:val>
            <c:numRef>
              <c:f>Hoja1!$B$2:$B$7</c:f>
              <c:numCache>
                <c:formatCode>#,##0</c:formatCode>
                <c:ptCount val="6"/>
                <c:pt idx="0">
                  <c:v>199.75</c:v>
                </c:pt>
                <c:pt idx="1">
                  <c:v>256.83</c:v>
                </c:pt>
                <c:pt idx="2">
                  <c:v>99.9</c:v>
                </c:pt>
                <c:pt idx="3">
                  <c:v>77.44</c:v>
                </c:pt>
                <c:pt idx="4">
                  <c:v>111.85</c:v>
                </c:pt>
                <c:pt idx="5">
                  <c:v>203.76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(199,75 – 289,74)</c:v>
                </c:pt>
                <c:pt idx="1">
                  <c:v>Comparables: PER NTM (256,83 – 329,10)</c:v>
                </c:pt>
                <c:pt idx="2">
                  <c:v>DCF (WACC y g ± 0,5) (99,90 – 118,98)</c:v>
                </c:pt>
                <c:pt idx="3">
                  <c:v>Escenarios (bajista – alcista) (77,44 – 129,16)</c:v>
                </c:pt>
                <c:pt idx="4">
                  <c:v>DCF con la prima implícita del mercado (4,2 %)</c:v>
                </c:pt>
                <c:pt idx="5">
                  <c:v>Precio actual (204,78)</c:v>
                </c:pt>
              </c:strCache>
            </c:strRef>
          </c:cat>
          <c:val>
            <c:numRef>
              <c:f>Hoja1!$C$2:$C$7</c:f>
              <c:numCache>
                <c:formatCode>#,##0</c:formatCode>
                <c:ptCount val="6"/>
                <c:pt idx="0">
                  <c:v>89.99000000000001</c:v>
                </c:pt>
                <c:pt idx="1">
                  <c:v>72.27000000000004</c:v>
                </c:pt>
                <c:pt idx="2">
                  <c:v>19.08</c:v>
                </c:pt>
                <c:pt idx="3">
                  <c:v>51.72</c:v>
                </c:pt>
                <c:pt idx="4">
                  <c:v>15.240000000000009</c:v>
                </c:pt>
                <c:pt idx="5">
                  <c:v>2.0400000000000205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