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Reply S.p.A.</w:t>
      </w:r>
    </w:p>
    <w:p>
      <w:pPr>
        <w:spacing w:after="60"/>
        <w:rPr>
          <w:color w:val="52514E"/>
          <w:sz w:val="22"/>
          <w:szCs w:val="22"/>
        </w:rPr>
      </w:pPr>
      <w:r>
        <w:rPr>
          <w:color w:val="52514E"/>
          <w:sz w:val="22"/>
          <w:szCs w:val="22"/>
        </w:rPr>
        <w:t xml:space="preserve">REY · Euronext Milan (segmento STAR) · ISIN IT0005282865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153,94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+21,0 % (base +21,1 %)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124,09 EUR · mercado 147,03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4.661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Reply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REY / IT0005282865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(segmento STAR)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Servicios de TI y consultoría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Turín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https://www.reply.com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76,65 – 130,80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153,94 EUR</w:t>
      </w:r>
      <w:r>
        <w:t xml:space="preserve"> frente a 128,30 · Rentabilidad a 12 meses </w:t>
      </w:r>
      <w:r>
        <w:rPr>
          <w:b/>
          <w:bCs/>
        </w:rPr>
        <w:t xml:space="preserve">+21,0 % (base +21,1 %)</w:t>
      </w:r>
      <w:r>
        <w:t xml:space="preserve"> · Valor intrínseco 124,09 EUR · con la prima implícita del mercado: 147,03 (+14,6 %) · Alcista / bajista +10,2 % / -25,9 %</w:t>
      </w:r>
    </w:p>
    <w:p>
      <w:pPr>
        <w:spacing w:after="100"/>
      </w:pPr>
      <w:r>
        <w:rPr>
          <w:b/>
        </w:rPr>
        <w:t xml:space="preserve">La recomendación y por qué.</w:t>
      </w:r>
      <w:r>
        <w:t xml:space="preserve"> Mantener, con convicción baja. El objetivo a 12 meses es de 153,94 EUR (nuestro BPA de 2028e × el PER de la regla común), un +21,0 % de rentabilidad ponderada con el dividendo y un +21,1 % en el caso base, frente a un precio de 128,30 EUR (cierre del 20-oct-2026; 129,20 en la sesión del 21-oct a las 10:34 UTC). Los números de la regla bastan, pero el valor intrínseco (124,09 EUR) queda un 3,3 % por debajo del precio: el precio ya es justo con nuestro WACC del 8,64 %, y por eso no es Comprar. El objetivo medio de los analistas (153,36) coincide con el nuestro. Compraríamos por debajo de 124,09 EUR. La convicción es baja porque las reglas discrepan (con nuestro WACC el precio es justo; con la prima del mercado el valor sube a 147,03 EUR, +14,6 %) y porque la IA hace muy ancho el rango (−26 % / +10 %); subiría la convicción un 3T26 con orgánico ≥ 7 % y margen estable, y la bajaría un margen subyacente por debajo del 17 %.</w:t>
      </w:r>
    </w:p>
    <w:p>
      <w:pPr>
        <w:spacing w:after="100"/>
      </w:pPr>
      <w:r>
        <w:rPr>
          <w:b/>
        </w:rPr>
        <w:t xml:space="preserve">El negocio.</w:t>
      </w:r>
      <w:r>
        <w:t xml:space="preserve"> Consultora tecnológica italiana (nube, datos, IA, ciberseguridad) con 2.450 M EUR de ventas, 17.297 empleados y el 49 % de las ventas en Italia [1]. Margen EBITDA del 18 %, el doble que la media europea, ROIC del 22,8 % frente a un WACC del 8,64 % (+14 puntos) y caja neta: calidad «Sí». La sostenibilidad del crecimiento también es «Sí»: proyectamos un 7-8 % los primeros años, la mitad del histórico, con precio negativo.</w:t>
      </w:r>
    </w:p>
    <w:p>
      <w:pPr>
        <w:spacing w:after="100"/>
      </w:pPr>
      <w:r>
        <w:rPr>
          <w:b/>
        </w:rPr>
        <w:t xml:space="preserve">Finanzas.</w:t>
      </w:r>
      <w:r>
        <w:t xml:space="preserve"> Ventas al 14,4 % anual en 2020-2025 y BPA de 3,30 a 6,73 EUR [1]. Pero 2025 fue peor de lo que parece: el EBITDA subyacente creció un 0,6 % y su margen bajó del 19,0 % al 17,9 %; en el 1S26 ingresos +7,4 % y EBITDA +4,3 % [1, 2]. Caja neta de 402 M a junio (≈ 275 M tras earn-out y TFR) y recompra de hasta 550 M en marcha [2, 11].</w:t>
      </w:r>
    </w:p>
    <w:p>
      <w:pPr>
        <w:spacing w:after="100"/>
      </w:pPr>
      <w:r>
        <w:rPr>
          <w:b/>
        </w:rPr>
        <w:t xml:space="preserve">Equipo y gobierno.</w:t>
      </w:r>
      <w:r>
        <w:t xml:space="preserve"> La familia Rizzante, fundadora, controla el 37 % del capital y ≈ 63 % de los votos con el voto aumentado [18]. Treinta años de crecimiento con caja neta. Debilidades: presidente y consejero delegado son el fundador, sin sucesión anunciada, y ≈ 91 % del capital libre presente votó contra la política de remuneración en 2026 [20].</w:t>
      </w:r>
    </w:p>
    <w:p>
      <w:pPr>
        <w:spacing w:after="100"/>
      </w:pPr>
      <w:r>
        <w:rPr>
          <w:b/>
        </w:rPr>
        <w:t xml:space="preserve">Valoración.</w:t>
      </w:r>
      <w:r>
        <w:t xml:space="preserve"> El DCF da 130,97 EUR (+2,1 %) y el DCF inverso descuenta un 4,8 % de crecimiento anual frente al 5,6 % de nuestro base. Con la prima del mercado (4,2 %) el DCF sube a 157,39. Cotiza a 15,8 veces el BPA de los próximos 12 meses, frente a una mediana adelantada de cinco años de 21,4 y una mediana del sector de 10,7: la regla lleva el PER a 17,4 veces (tope de ×1,1).</w:t>
      </w:r>
    </w:p>
    <w:p>
      <w:pPr>
        <w:spacing w:after="100"/>
      </w:pPr>
      <w:r>
        <w:rPr>
          <w:b/>
        </w:rPr>
        <w:t xml:space="preserve">Riesgos y catalizadores.</w:t>
      </w:r>
      <w:r>
        <w:t xml:space="preserve"> El mayor riesgo es la IA (exposición alta, efecto mixto): abarata las horas que Reply factura (tarifas a la baja en 2026-2027, tiempo y materiales que desaparece) mientras le da proyectos nuevos; el bajista vale −26 %. Después, Italia (49 %) y la banca (30 %), la industria alemana y el control familiar. Catalizadores: fin de la recompra (23-oct) y resultados del 3T26 (12-nov). Precio y noticias (regla 13): no cambia.</w:t>
      </w:r>
    </w:p>
    <w:p>
      <w:pPr>
        <w:spacing w:after="100"/>
      </w:pPr>
      <w:r>
        <w:rPr>
          <w:b/>
        </w:rPr>
        <w:t xml:space="preserve">Qué cambiaría la decisión.</w:t>
      </w:r>
      <w:r>
        <w:t xml:space="preserve"> Por debajo de 124,09 EUR, Comprar; entre 124,09 y 172,54, Mantener; por encima, Vender. Un 3T26 con crecimiento orgánico ≥ 7 % y margen ≥ 18 % sostendría el valor; un orgánico por debajo del 5 % o un margen subyacente por debajo del 17 % lo bajaría hacia el bajista.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153,94 EUR</w:t>
      </w:r>
      <w:r>
        <w:t xml:space="preserve"> (rentabilidad +21,0 % (base +21,1 %)) · Valor intrínseco: 124,09 EUR (-3,3 % sobre 128,30) · con la prima implícita del mercado: 147,03 (+14,6 %)</w:t>
      </w:r>
    </w:p>
    <w:p>
      <w:pPr>
        <w:spacing w:after="100"/>
      </w:pPr>
      <w:r>
        <w:t xml:space="preserve">Reply es una de las consultoras tecnológicas de más calidad de Europa: margen EBITDA del 18 %, ROIC del 23 %, caja neta y treinta años creciendo sin ampliar capital [1]. El mercado la ha castigado con todo el sector por el temor a que la IA abarate las horas de consultoría: cayó un 57 % del máximo de 2021 al mínimo de marzo de 2026 y hoy, tras rebotar un 67 %, cotiza a 15,8 veces el BPA de los próximos 12 meses frente a 21 de mediana en cinco años [23].</w:t>
      </w:r>
    </w:p>
    <w:p>
      <w:pPr>
        <w:spacing w:after="100"/>
      </w:pPr>
      <w:r>
        <w:t xml:space="preserve">El temor tiene base: la propia dirección reconoce tarifas a la baja, proyectos con menos horas y un tiempo y materiales que desaparece, y el margen subyacente ya bajó un punto en 2025 [1, 8]. A la vez, la IA es hoy su mayor fuente de crecimiento y el 82 % de Region 1 (sobre todo Italia) es a precio fijo.</w:t>
      </w:r>
    </w:p>
    <w:p>
      <w:pPr>
        <w:spacing w:after="100"/>
      </w:pPr>
      <w:r>
        <w:t xml:space="preserve">A 128 EUR el precio descuenta un 4,8 % de crecimiento anual, algo menos que nuestro base (5,6 %): es un precio justo, no una ganga. La regla a 12 meses da +21 % si el PER se recupera hacia 17 veces, pero sin margen de seguridad sobre el valor intrínseco. Para comprar con margen, por debajo de 124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7,40 = 102,86 · 17,4x × 8,85 = 153,99 · 21,8x × 9,40 = 204,92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21,1 %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153,36 (nuestro base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(5,9 % anual proyectado; financiable al ROIC actual: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124,09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124,09 y 172,54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172,54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124,09 EUR: Comprar (ponderada ≥ 15 %, base ≥ 12 % y valor intrínseco por encima).</w:t>
      </w:r>
    </w:p>
    <w:p>
      <w:pPr>
        <w:pStyle w:val="ListParagraph"/>
        <w:numPr>
          <w:ilvl w:val="0"/>
          <w:numId w:val="2"/>
        </w:numPr>
        <w:spacing w:after="60"/>
      </w:pPr>
      <w:r>
        <w:t xml:space="preserve">Precio por encima de 172,54 EUR: Vender.</w:t>
      </w:r>
    </w:p>
    <w:p>
      <w:pPr>
        <w:pStyle w:val="ListParagraph"/>
        <w:numPr>
          <w:ilvl w:val="0"/>
          <w:numId w:val="2"/>
        </w:numPr>
        <w:spacing w:after="60"/>
      </w:pPr>
      <w:r>
        <w:t xml:space="preserve">3T26 (12-nov) con orgánico ≥ 7 % y margen ≥ 18 %: revisar el valor al alza.</w:t>
      </w:r>
    </w:p>
    <w:p>
      <w:pPr>
        <w:pStyle w:val="ListParagraph"/>
        <w:numPr>
          <w:ilvl w:val="0"/>
          <w:numId w:val="2"/>
        </w:numPr>
        <w:spacing w:after="60"/>
      </w:pPr>
      <w:r>
        <w:t xml:space="preserve">Orgánico por debajo del 5 % o margen subyacente por debajo del 17 % dos trimestres: revisar hacia el bajista.</w:t>
      </w:r>
    </w:p>
    <w:p>
      <w:pPr>
        <w:pStyle w:val="ListParagraph"/>
        <w:numPr>
          <w:ilvl w:val="0"/>
          <w:numId w:val="2"/>
        </w:numPr>
        <w:spacing w:after="60"/>
      </w:pPr>
      <w:r>
        <w:t xml:space="preserve">Nueva recompra grande con la autorización hasta 2027: revisar el BPA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Reply crece un 5 % al año con su margen actual: entre el miedo del sector (PER de 9-11) y su historia (21). Los analistas esperan 153 EUR, un 20 % más, con un BPA de 7,70 y 8,32 EUR en 2026 y 2027.</w:t>
      </w:r>
    </w:p>
    <w:p>
      <w:pPr>
        <w:keepNext/>
        <w:spacing w:after="100"/>
      </w:pPr>
      <w:r>
        <w:rPr>
          <w:b/>
          <w:bCs/>
        </w:rPr>
        <w:t xml:space="preserve">Lo que creemos nosotros.</w:t>
      </w:r>
    </w:p>
    <w:p>
      <w:pPr>
        <w:spacing w:after="100"/>
      </w:pPr>
      <w:r>
        <w:t xml:space="preserve">Coincidimos en el BPA (8,25 frente a 8,32 en 2027) y en el objetivo a 12 meses, pero no en el valor: con un WACC del 8,6 % y sin expansión de margen, el negocio vale lo que cuesta. La subida desde marzo ya recoge la recompra y dos buenos trimestres.</w:t>
      </w:r>
    </w:p>
    <w:p>
      <w:pPr>
        <w:keepNext/>
        <w:spacing w:after="100"/>
      </w:pPr>
      <w:r>
        <w:rPr>
          <w:b/>
          <w:bCs/>
        </w:rPr>
        <w:t xml:space="preserve">Por qué podemos tener razón.</w:t>
      </w:r>
    </w:p>
    <w:p>
      <w:pPr>
        <w:spacing w:after="100"/>
      </w:pPr>
      <w:r>
        <w:t xml:space="preserve">El margen subyacente bajó en 2025 y en el 1S26 y la dirección anuncia presión en tarifas hasta 2027: no damos por hecho que la productividad de la IA se quede en Reply.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margen EBITDA del 18 % (doble que el sector) y ROIC del 22,8 %, 14 puntos sobre el WACC.</w:t>
      </w:r>
    </w:p>
    <w:p>
      <w:pPr>
        <w:pStyle w:val="ListParagraph"/>
        <w:numPr>
          <w:ilvl w:val="0"/>
          <w:numId w:val="2"/>
        </w:numPr>
        <w:spacing w:after="60"/>
      </w:pPr>
      <w:r>
        <w:rPr>
          <w:b/>
        </w:rPr>
        <w:t xml:space="preserve">Balance</w:t>
      </w:r>
      <w:r>
        <w:t xml:space="preserve">: caja neta de 402 M EUR a junio y sin bonos; recompra de hasta 550 M.</w:t>
      </w:r>
    </w:p>
    <w:p>
      <w:pPr>
        <w:pStyle w:val="ListParagraph"/>
        <w:numPr>
          <w:ilvl w:val="0"/>
          <w:numId w:val="2"/>
        </w:numPr>
        <w:spacing w:after="60"/>
      </w:pPr>
      <w:r>
        <w:rPr>
          <w:b/>
        </w:rPr>
        <w:t xml:space="preserve">Crecimiento que aguanta</w:t>
      </w:r>
      <w:r>
        <w:t xml:space="preserve">: +7,4 % en el 1S26 con orgánico del 6,6-7,3 % pese a la IA.</w:t>
      </w:r>
    </w:p>
    <w:p>
      <w:pPr>
        <w:pStyle w:val="ListParagraph"/>
        <w:numPr>
          <w:ilvl w:val="0"/>
          <w:numId w:val="2"/>
        </w:numPr>
        <w:spacing w:after="60"/>
      </w:pPr>
      <w:r>
        <w:rPr>
          <w:b/>
        </w:rPr>
        <w:t xml:space="preserve">Precio fijo</w:t>
      </w:r>
      <w:r>
        <w:t xml:space="preserve">: el 82 % de Region 1 (sobre todo Italia) a precio cerrado deja quedarse parte del ahorro de la IA.</w:t>
      </w:r>
    </w:p>
    <w:p>
      <w:pPr>
        <w:pStyle w:val="ListParagraph"/>
        <w:numPr>
          <w:ilvl w:val="0"/>
          <w:numId w:val="2"/>
        </w:numPr>
        <w:spacing w:after="60"/>
      </w:pPr>
      <w:r>
        <w:rPr>
          <w:b/>
        </w:rPr>
        <w:t xml:space="preserve">Barato frente a su historia</w:t>
      </w:r>
      <w:r>
        <w:t xml:space="preserve">: 15,8 veces el BPA adelantado frente a una mediana de 21,4.</w:t>
      </w:r>
    </w:p>
    <w:p>
      <w:pPr>
        <w:pStyle w:val="Heading2"/>
      </w:pPr>
      <w:r>
        <w:t xml:space="preserve">En contra</w:t>
      </w:r>
    </w:p>
    <w:p>
      <w:pPr>
        <w:pStyle w:val="ListParagraph"/>
        <w:numPr>
          <w:ilvl w:val="0"/>
          <w:numId w:val="2"/>
        </w:numPr>
        <w:spacing w:after="60"/>
      </w:pPr>
      <w:r>
        <w:rPr>
          <w:b/>
        </w:rPr>
        <w:t xml:space="preserve">IA</w:t>
      </w:r>
      <w:r>
        <w:t xml:space="preserve">: tarifas a la baja en 2026-2027 y tiempo y materiales (≈ 31 %) que desaparece; bajista −26 %.</w:t>
      </w:r>
    </w:p>
    <w:p>
      <w:pPr>
        <w:pStyle w:val="ListParagraph"/>
        <w:numPr>
          <w:ilvl w:val="0"/>
          <w:numId w:val="2"/>
        </w:numPr>
        <w:spacing w:after="60"/>
      </w:pPr>
      <w:r>
        <w:rPr>
          <w:b/>
        </w:rPr>
        <w:t xml:space="preserve">Margen subyacente a la baja</w:t>
      </w:r>
      <w:r>
        <w:t xml:space="preserve">: del 19,0 % al 17,9 % en 2025 y del 18,3 % al 17,8 % en el 1S26.</w:t>
      </w:r>
    </w:p>
    <w:p>
      <w:pPr>
        <w:pStyle w:val="ListParagraph"/>
        <w:numPr>
          <w:ilvl w:val="0"/>
          <w:numId w:val="2"/>
        </w:numPr>
        <w:spacing w:after="60"/>
      </w:pPr>
      <w:r>
        <w:rPr>
          <w:b/>
        </w:rPr>
        <w:t xml:space="preserve">Italia y banca</w:t>
      </w:r>
      <w:r>
        <w:t xml:space="preserve">: 49 % de las ventas en Italia y ≈ 30 % en servicios financieros.</w:t>
      </w:r>
    </w:p>
    <w:p>
      <w:pPr>
        <w:pStyle w:val="ListParagraph"/>
        <w:numPr>
          <w:ilvl w:val="0"/>
          <w:numId w:val="2"/>
        </w:numPr>
        <w:spacing w:after="60"/>
      </w:pPr>
      <w:r>
        <w:rPr>
          <w:b/>
        </w:rPr>
        <w:t xml:space="preserve">Gobierno</w:t>
      </w:r>
      <w:r>
        <w:t xml:space="preserve">: control familiar con voto aumentado y rechazo del 91 % del capital libre a la remuneración.</w:t>
      </w:r>
    </w:p>
    <w:p>
      <w:pPr>
        <w:pStyle w:val="ListParagraph"/>
        <w:numPr>
          <w:ilvl w:val="0"/>
          <w:numId w:val="2"/>
        </w:numPr>
        <w:spacing w:after="60"/>
      </w:pPr>
      <w:r>
        <w:rPr>
          <w:b/>
        </w:rPr>
        <w:t xml:space="preserve">Sin margen de seguridad</w:t>
      </w:r>
      <w:r>
        <w:t xml:space="preserve">: el valor intrínseco (124 EUR) queda bajo el precio tras subir un 67 % desde marzo.</w:t>
      </w:r>
    </w:p>
    <w:p>
      <w:pPr>
        <w:pStyle w:val="Heading2"/>
      </w:pPr>
      <w:r>
        <w:t xml:space="preserve">Qué tiene que pasar para que la tesis funcione</w:t>
      </w:r>
    </w:p>
    <w:p>
      <w:pPr>
        <w:spacing w:after="100"/>
      </w:pPr>
      <w:r>
        <w:t xml:space="preserve">La tesis depende de que la IA siga sumando volumen más rápido de lo que resta precio. Las señales en contra serían un crecimiento orgánico por debajo del 5 %, un margen EBITDA subyacente por debajo del 17 % o una caída de Region 1 (Italia); a favor, ingresos por empleado al alza con el margen estable.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suma más volumen del que resta.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(ingresos de gestión)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presión en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empleado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153.000 EUR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baja, la productividad se va al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tiempo y materiales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sin subida del precio fijo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Region 2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Negativa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industrial europeo.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Mario Rizzante fundó Reply en Turín en 1996 con un grupo de ingenieros, entre ellos Tatiana Rizzante, con un modelo de red de sociedades pequeñas y especializadas que comparten clientes y marca [3]. Creció con la banca y las telecos italianas y después con compras en Alemania y Reino Unido; cotiza en el segmento STAR de Euronext Milan [18]. De 2020 a 2025 duplicó las ventas (de 1.250 a 2.450 M EUR) con la nube y los datos, siempre con caja neta y sin ampliar capital [1]. Desde 2025 el mercado teme que la IA abarate su trabajo: la acción cayó un 57 % del máximo de 2021 al mínimo de marzo de 2026, y la empresa respondió con su primera recompra grande y con ofertas propias de IA [11,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Mario Rizzante funda Reply en Turín.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las acciones (BPA de años anteriores reexpresado).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1.250 a 1.891 M EUR; compras en Reino Unido y Alemania (190 M en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en bolsa (≈ 185 EUR, PER adelantado de 35 veces)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Solirius (Reino Unido, sector público) por 117,7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aumentado (tres votos por acción) para la familia desde septiembre; Red Scientific y Root16 [1,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de 76,65 EUR en marzo; recompra de hasta 550 M EUR; compra de FedTec en EE. UU. [2, 11,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Reply es una consultora tecnológica italiana con sede en Turín: diseña, construye y mantiene sistemas informáticos para grandes empresas y administraciones (nube, datos, IA, ciberseguridad, aplicaciones de gestión, comercio digital, Internet de las cosas) [1]. Trabaja con una red de ≈ 290 sociedades pequeñas y especializadas y 17.297 empleados (junio de 2026), con el 49 % de las ventas en Italia, el 17 % en Alemania y el 13 % en Reino Unido [1]. La fundó Mario Rizzante en 1996 y su familia la controla [3].</w:t>
      </w:r>
    </w:p>
    <w:p>
      <w:pPr>
        <w:pStyle w:val="Heading2"/>
      </w:pPr>
      <w:r>
        <w:t xml:space="preserve">Cómo gana dinero</w:t>
      </w:r>
    </w:p>
    <w:p>
      <w:pPr>
        <w:spacing w:after="100"/>
      </w:pPr>
      <w:r>
        <w:t xml:space="preserve">Cobra por proyectos: el 70 % a precio fijo (82 % en Italia) y el resto por tiempo y materiales [1]. Gana la diferencia entre lo que factura y el coste de sus consultores (personal, 56 % de las ventas) y subcontratistas (servicios, 26 %); el margen EBITDA ronda el 18 % y el operativo el 15-16 %, el doble que la media europea del sector, por la mezcla de proyectos a precio fijo y la menor dependencia de subcontratas [1, 15]. Technologies (nube, datos, IA) es el 60 % de las ventas, Applications (aplicaciones de gestión) el 30 % y Processes (consultoría de procesos) el 10 % [1]. Apenas necesita inversión fija (1,9 % de las ventas) pero sí circulante (clientes del 36 % de las ventas).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1 (Italia, EE. UU., Brasil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2 (Alemania, Polonia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3 (Reino Unido, Francia, Benelux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subvenciones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1 (Italia, EE. UU., Brasil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2 (Alemania, Polonia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Region 3 (Reino Unido, Francia, Benelux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subvenciones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y los 20 primeros son ≈ 40 %, sin cambios en 2025-2026 [1, 8, 9]. Servicios financieros (bancos y seguros) son ≈ 30 % y ninguna otra industria supera el 20 % (telecomunicaciones, industria, energía, sector público, distribución) [9]. Por líneas: Technologies 60,3 %, Applications 29,9 % y Processes 9,8 % en 2025 [1]. Poder de precios en retroceso: el consejero delegado dijo en marzo de 2026 que «el mercado está deteriorando nuestras tarifas» y que la presión seguirá en 2026-2027 [8]. El 82 % de los proyectos de Region 1 son a precio fijo, lo que deja a Reply quedarse con parte del ahorro de la IA si lo entrega a precio cerrado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gestión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NIIF 2.450,0 (+6,7 %); 1S26 +7,4 %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subyacente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 recurrentes; margen del 19,0 % al 17,9 % de los ingresos NIIF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17.297 en junio de 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empleado (miles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Estables gracias a la automatización, según la dirección (1T26)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Contratistas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sustituye primero a los subcontratistas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Proyectos a precio fijo (Region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grupo pasa de tiempo y materiales a precio cerrado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los servicios de tecnología de la información para empresas y administraciones (consultoría, integración de sistemas, desarrollo de aplicaciones, nube, datos, ciberseguridad e IA) en Italia, Alemania y Reino Unido, donde Reply hace el 79 % de sus ventas [1]. Se mide con el mercado italiano de servicios ICT de Anitec-Assinform (18.800 M EUR en 2025, +8,1 %), porque Italia es la mitad de las ventas; el de Alemania y Reino Unido no tiene una fuente gratuita equivalente [13]. Fuera del perímetro: software y hardware (Reply revende poco: las compras son el 1,9 % de las ventas) y la externalización de procesos de bajo coste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18.800 M EUR de servicios ICT en Italia en 2025 (Anitec-Assinform); ≈ 1,87 billones USD de servicios de TI en el mundo en 2026 (Gartner) [13,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servicios ICT en Italia, Anitec-Assinform; 2024 deducido del crecimiento del 8,1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IA en Italia creció un 47,6 % en 2025 (1.380 M EUR) [13]; a la vez baja las horas por proyecto: «con la IA se hace más con menos gente, pero el volumen de cada proyecto es menor» (consejero delegado, marzo de 2026)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datos y modernización de sistemas heredados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Technologies es el 60 % de las ventas de Reply; la migración y la modernización con IA es el mayor motor de 2026 según la dirección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defensa y sector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Red Scientific, Cyberis y FedTec y gasto de defensa europeo al alza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tecnológico de las empresas europeas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alemana y la automoción frenan: Region 2 creció un 0,8 % en 2025 [1]; previsión del mercado digital italiano de +3,6 % anual en 2026-2029 frente a +8,1 % de los servicios ICT en 2025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en las tarifas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está deteriorando nuestras tarifas… espero que la presión siga al menos en 2026 y 2027» (marzo de 2026)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consultoras globales (Accenture, Capgemini, Deloitte), indias de bajo coste y cientos de locales; márgenes operativos del 4-11 % en los cotizados frente al 15,7 % de Reply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bancos, aseguradoras y telecos con departamentos de compras; ninguno supera el 10 % de las ventas de Reply y los 20 primeros suman ≈ 40 %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recurso es el talento (personal = 56 % de las ventas); hiperescaladores y laboratorios de IA (AWS, Microsoft, Google, OpenAI, Anthropic) son socios, pero también fijan el precio de los «tokens»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proyectos pequeños; altas en grandes clientes por referencias, acreditaciones de los hiperescaladores y confianza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de IA que escriben código y automatizan pruebas y mantenimiento (agentes de Anthropic, OpenAI, GitHub) sustituyen horas de consultoría; el temor movió a todo el sector en febrero de 2026 [17].</w:t>
            </w:r>
          </w:p>
        </w:tc>
      </w:tr>
    </w:tbl>
    <w:p>
      <w:pPr>
        <w:spacing w:after="160" w:before="0"/>
      </w:pPr>
    </w:p>
    <w:p>
      <w:pPr>
        <w:pStyle w:val="Heading2"/>
      </w:pPr>
      <w:r>
        <w:t xml:space="preserve">Ciclo</w:t>
      </w:r>
    </w:p>
    <w:p>
      <w:pPr>
        <w:spacing w:after="100"/>
      </w:pPr>
      <w:r>
        <w:t xml:space="preserve">El gasto en servicios de TI depende del ciclo de inversión de las empresas: Reply creció un 20 % en 2022 y un 7 % en 2025 [1]. En 2025-2026 la industria alemana y la automoción frenan y la IA hace que los clientes esperen proyectos más baratos; a la vez, la banca italiana, la defensa y el sector público siguen invirtiendo [1, 9]. El mercado italiano de servicios ICT creció un 8,1 % en 2025, pero el conjunto digital se prevé al 3,6 % anual hasta 2029 [13].</w:t>
      </w:r>
    </w:p>
    <w:p>
      <w:pPr>
        <w:pStyle w:val="Heading2"/>
      </w:pPr>
      <w:r>
        <w:t xml:space="preserve">Regulación</w:t>
      </w:r>
    </w:p>
    <w:p>
      <w:pPr>
        <w:spacing w:after="100"/>
      </w:pPr>
      <w:r>
        <w:t xml:space="preserve">Sin regulación sectorial específica. Le afectan la Ley de IA de la UE (obligaciones para sistemas de alto riesgo que Reply construye para clientes), NIS2 y DORA (ciberseguridad y resiliencia digital de la banca: más demanda), el PNRR italiano (fondos de digitalización hasta 2026) y las normas laborales italianas (TFR) [1].</w:t>
      </w:r>
    </w:p>
    <w:p>
      <w:pPr>
        <w:pStyle w:val="Heading2"/>
      </w:pPr>
      <w:r>
        <w:t xml:space="preserve">Tendencias y disrupción</w:t>
      </w:r>
    </w:p>
    <w:p>
      <w:pPr>
        <w:spacing w:after="100"/>
      </w:pPr>
      <w:r>
        <w:t xml:space="preserve">Tres tendencias: (1) la IA pasa de pruebas a producción, con agentes que escriben y mantienen código: más demanda de integración, pero menos horas por proyecto [1, 9]; (2) el tiempo y materiales se sustituye por precio cerrado y por resultados: el consejero delegado espera que «casi desaparezca» [9]; (3) las grandes consultoras compran especialistas de nube, datos y ciberseguridad y los hiperescaladores ganan peso en el canal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mayores consultoras tecnológicas de capital italiano: ≈ 6,4 % de los servicios ICT de Italia (estimación propia: ventas en Italia de ≈ 1.210 M EUR sobre 18.800 M) [1, 13]; nicho en Alemania y Reino Unido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Italia es el rival principal en banca y grandes cuentas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continental; compró WNS en 2025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Consultora europea con peso en sector público y banca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Engineering Ingegneria Informatica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rival italiano en administración pública e industria; propiedad de fondos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y servicios de TI en Italia, más reventa y menos margen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adesso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ADN1.DE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Alemania (Region 2)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EPAM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Ingeniería de software con equipos en Europa del Este; el más expuesto a la IA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 290 sociedades especializadas comparte clientes y conocimiento, pero no hay red de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de décadas con la banca y las telecos italianas; los 20 primeros clientes, estables en ≈ 40 %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de primer nivel con AWS, Microsoft, Google y Salesforce y asociaciones con OpenAI y Anthropic; plataformas propias (Silicon Shoring, Model Factory)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15,7 % frente al 4-11 % de los rivales europeos, por mezcla de proyectos a precio fijo y equipos en Italia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fragmentado: no hay nichos que solo quepan para uno [2].</w:t>
            </w:r>
          </w:p>
        </w:tc>
      </w:tr>
    </w:tbl>
    <w:p>
      <w:pPr>
        <w:spacing w:after="160" w:before="0"/>
      </w:pPr>
    </w:p>
    <w:p>
      <w:pPr>
        <w:pStyle w:val="Heading2"/>
      </w:pPr>
      <w:r>
        <w:t xml:space="preserve">Amenazas</w:t>
      </w:r>
    </w:p>
    <w:p>
      <w:pPr>
        <w:spacing w:after="100"/>
      </w:pPr>
      <w:r>
        <w:t xml:space="preserve">La mayor amenaza es la IA que abarata el trabajo por horas: el código, las pruebas y el mantenimiento que facturan las consultoras pueden hacerlo agentes, y los clientes lo saben [9, 17]. Reply responde vendiendo esa misma IA (agentes, migraciones, Model Factory) y pasando a precio fijo, y hasta ahora mantiene el crecimiento (+7,4 % en el 1S26), pero con tarifas a la baja y margen subyacente que retrocede [9]. Segunda: las grandes consultoras y los hiperescaladores en las cuentas grandes. Tercera: la debilidad de la industria alemana (Region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spacing w:after="100"/>
      </w:pPr>
      <w:r>
        <w:t xml:space="preserve">Crecimiento anual compuesto 2020-2025: ingresos </w:t>
      </w:r>
      <w:r>
        <w:rPr>
          <w:b/>
          <w:bCs/>
        </w:rPr>
        <w:t xml:space="preserve">14,4 %</w:t>
      </w:r>
      <w:r>
        <w:t xml:space="preserve">, EBITDA </w:t>
      </w:r>
      <w:r>
        <w:rPr>
          <w:b/>
          <w:bCs/>
        </w:rPr>
        <w:t xml:space="preserve">16,1 %</w:t>
      </w:r>
      <w:r>
        <w:t xml:space="preserve">, BPA </w:t>
      </w:r>
      <w:r>
        <w:rPr>
          <w:b/>
          <w:bCs/>
        </w:rPr>
        <w:t xml:space="preserve">15,3 %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1.250,2 M EUR en 2020 a 2.450,0 M en 2025 (TCAC del 14,4 %) y el EBITDA de la empresa de 207,9 a 467,6 M (17,6 %) [1, 5]. El crecimiento se ha frenado: +20,3 % en 2022, +12,0 % en 2023, +8,4 % en 2024 y +6,7 % en 2025, con el cuarto trimestre de 2025 en +5,2 % [1, 7]. En el primer semestre de 2026 los ingresos de gestión subieron un 7,4 % (1.311,9 M; 2T26 +8,7 %, orgánico +7,3 %) y el EBITDA un 4,3 % (233,2 M, margen del 17,8 % frente al 18,3 %) [2]. El EBITDA publicado de 2025 (+13,9 %) exagera la mejora: lleva 29,0 M de ingresos no recurrentes (liberación de una provisión de responsabilidad profesional de 24 M tras un acuerdo de 15 M cubierto por el seguro y 5 M de un fondo ligado al secuestro preventivo), y el de 2024 llevaba 25,2 M de gastos no recurrentes (la dotación de esa provisión y 1,2 M del secuestro) [1, 3]. Sin ellos el EBITDA fue de 435,8 M en 2024 (19,0 % de los ingresos NIIF) y de 438,6 M en 2025 (17,9 %): el margen subyacente bajó 1,1 puntos y el EBITDA subyacente creció un 0,6 % [1]. No recurrentes en el LTM (−12,5 M): la parte de 2025 que cae en el segundo semestre, estimación propia (29,0 menos 16,5 del 2T25).</w:t>
      </w:r>
    </w:p>
    <w:p>
      <w:pPr>
        <w:pStyle w:val="Heading2"/>
      </w:pPr>
      <w:r>
        <w:t xml:space="preserve">Ajustes y partidas no recurrentes</w:t>
      </w:r>
    </w:p>
    <w:p>
      <w:pPr>
        <w:spacing w:after="100"/>
      </w:pPr>
      <w:r>
        <w:t xml:space="preserve">Partidas que distorsionan el beneficio [1, 2]: (1) ajuste de valor razonable de los earn-out, entre el EBITDA y el EBIT: +4,0 M en 2020, −5,1 en 2021, +3,8 en 2022, +15,9 en 2023, +4,7 en 2024, +13,4 en 2025 y −8,1 en el 1S26 (Solirius); aquí va en el resultado financiero; (2) no recurrentes dentro del EBITDA (2024 +25,2 de gasto, 2025 −29,0 de ingreso); (3) amortizaciones de 2025 con 19 M de deterioro del fondo de comercio de Francia (Region 3) [1]; (4) deterioros de participaciones en empresas emergentes (−20,0 M en 2024 y −8,5 M en 2025), bajo el EBIT y recurrentes; (5) diferencias de cambio: −14,1 M en 2025 frente a +3,6 M en 2024 [1]. El BPA publicado (6,73 EUR en 2025) es el que usa la regla a 12 meses; no hay BPA ajustado de la empresa. LTM: 2025 menos el 1S25 más el 1S26 (BPA LTM estimado = 6,73 − 3,34 + 3,58).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Ingresos de gestión y EBITDA de la empresa por trimestre [2, 7]; Reply no publica BPA trimestral. El 2T25 lleva ≈ 16,5 M de ingresos no recurrentes en el EBITDA y el 4T24 ≈ 35 M de gastos «otros» [1, 3]. En el 2T26 (30-jul-2026) los ingresos subieron un 8,7 % (orgánico +7,3 %) y el EBITDA 121,2 M (18,2 %), por encima de lo que esperaban Equita e Intermonte [2, 12]. La empresa no da guía numérica: «perspectivas positivas» y un tercer trimestre «en línea» según el consejero delegado [9]. En las conferencias de 2026 la dirección dijo que hay presión en las tarifas, que la productividad de la IA se usa para ganar cuota y no para subir el margen, que los contratistas bajaron del 19,2 % al 17 % de los ingresos, que los ingresos por empleado se mantienen en ≈ 153.000 EUR y que los 20 primeros clientes son ≈ 40 % de las ventas [9]. Los analistas preguntaron por el coste de los «tokens» de IA, por la caída del tiempo y materiales y por la recompra. Próximos resultados: 3T26, el 12-nov-2026.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Cyberis y Movar (Reino Unido, ciberseguridad e ingeniería; 8-9 M EUR en el 1T26) y FedTec LLC (EE. UU., defensa y administración federal; 14-jul-2026, precio no publicado, ≤ 2 % de las ventas de 2026) [2, 9, 12].; 2025: Red Scientific (Reino Unido, defensa) y Root16 (EE. UU.); pagos por compras de 68,8 M EUR netos de la caja adquirida [1].; 2024: Solirius (Reino Unido, sector público): valor de la operación de 117,7 M EUR con 60,0 M de fondo de comercio, consolidada desde octubre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con caja neta: a 30-jun-2026 la caja y los activos financieros (581,9 M EUR) superan la deuda bancaria (39,8) y los arrendamientos (139,9): 402,0 M de posición financiera neta de gestión, frente a 643,0 M en marzo, tras pagar el dividendo (≈ 51 M) y ≈ 64 M de recompra [2]. Restando los earn-out (63,2) y el TFR después de impuestos, la caja neta ajustada es de ≈ 275 M. El circulante es alto, como en toda consultoría: clientes y activos de contrato de 875,6 M en 2025 (36 % de las ventas) frente a 179,8 M de proveedores [1]. El fondo de comercio (667,1 M) es el 45 % del patrimonio (1.487,8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1.130</w:t>
      </w:r>
      <w:r>
        <w:t xml:space="preserve">, conversión </w:t>
      </w:r>
      <w:r>
        <w:rPr>
          <w:b/>
          <w:bCs/>
        </w:rPr>
        <w:t xml:space="preserve">101 %</w:t>
      </w:r>
      <w:r>
        <w:t xml:space="preserve"> del beneficio neto; adquisiciones 509, dividendos 196, recompras 17.</w:t>
      </w:r>
    </w:p>
    <w:p>
      <w:pPr>
        <w:spacing w:after="100"/>
      </w:pPr>
      <w:r>
        <w:t xml:space="preserve">El flujo operativo fue de 326,0 M EUR en 2025 y de 353,2 M en 2024, el 130 % del beneficio, aunque con mucha variación por el circulante (184,6 M en 2022) [1, 3]. La inversión es baja (45,9 M en 2025, 1,9 % de las ventas) y los pagos de arrendamientos rondan los 36 M al año [1]. Flujo libre después de arrendamientos: ≈ 244 M en 2025 (326,0 − 45,9 − 36,2). La caja se va a compras (68,8 M en 2025; 190,0 M en 2022), dividendos (45,0 M) y, desde abril de 2026, a la recompra: ≈ 64 M pagados en el 1S26 [1, 2, 11]. En el 1S26 el flujo operativo fue de 120,9 M (estacional: el segundo semestre cobra más)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(encargo 2019-2027)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en el balance (caja neta, sin bonos), pero con partidas que mueven el beneficio: los ajustes de los earn-out (+13,4 M en 2025, −8,1 M en el 1S26), los no recurrentes dentro del EBITDA (−29,0 M en 2025 tras +25,2 M en 2024) y las subvenciones públicas que la empresa suma a sus «ingresos de gestión» desde el 3T25 (33,6 M en 2025) [1, 2]. La remuneración de los socios (82,9 M de «amministratori» en 2025, reparto de beneficios) va en el coste de personal y es variable: amortigua los años malos [1]. Investigación penal abierta (fraude informático, caso de servicios de valor añadido de TIM 2017-2019) con secuestro preventivo; provisión de 2,9 M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 M de gasto en 2024 y −29,0 M de ingreso en 2025: el EBITDA publicado sube un 13,9 % y el subyacente un 0,6 %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los earn-out en el resultado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+15,9 M en 2023, +13,4 M en 2025 y −8,1 M en el 1S26: estimaciones de la dirección sobre lo que se pagará por las compras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 en los ingresos de gestión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3T25 la empresa suma subvenciones públicas a sus ingresos de gestión (33,6 M en 2025): crecimiento comparable algo mayor que el NIIF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empresas emergentes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en 2024 y −8,5 M en 2025 bajo 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penal con secuestro preventivo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Fiscalía de Milán, fraude informático en servicios de valor añadido (2017-2019); provisión de 2,9 M y sin responsabilidad 231/2001 imputada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667 M en 2025 (el 65 % del capital invertido medio); ha subido más de un 5 % en 3 de 5 años: comprador en serie. ROIC publicado 22,8 %; sin fondo de comercio, 65,2 %.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21,1 % · </w:t>
      </w:r>
      <w:r>
        <w:rPr>
          <w:b/>
          <w:bCs/>
        </w:rPr>
        <w:t xml:space="preserve">WACC</w:t>
      </w:r>
      <w:r>
        <w:t xml:space="preserve">: 8,6 %.</w:t>
      </w:r>
    </w:p>
    <w:p>
      <w:pPr>
        <w:spacing w:after="100"/>
      </w:pPr>
      <w:r>
        <w:t xml:space="preserve">Reply crea valor con holgura: el ROIC del motor es del 22,8 % en 2025 (24,6 % en 2024, 20,7 % en 2023) frente a un WACC del 8,64 %, unos 14 puntos de diferencia [36]. Sin el fondo de comercio el ROIC sube al 65 %: el negocio propio apenas necesita capital (inversión del 1,9 % de las ventas) y lo que consume capital es el circulante (28 % de las ventas: clientes y obra pendiente de facturar) y las compras (el fondo de comercio es el 68 % del capital invertido) [1]. El ROIC incremental de 2020-2025 es del 21,1 %. La tendencia es plana o algo a la baja: el margen subyacente bajó del 19,0 % al 17,9 % en 2025 y el capital crece con las compras, pero incluso con el margen del caso bajista (16,8 %) el ROIC seguiría por encima del 18 % [1, 36]. El ROE (18 %) es menor que el ROIC por la caja que la empresa acumulaba hasta la recompra.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512,8 M EUR y activos financieros corrientes de 69,1 M a 30-jun-2026, frente a 39,8 M de deuda bancaria (11,9 a corto) y 139,9 M de arrendamientos [2]. Líneas de Intesa Sanpaolo para compras y una hipoteca de Unicredit (34,5 M a 2031, edificio de Via De Sonnaz en Turín); covenants cumplidos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(no tiene bonos)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Pagos aplazados por compras de filiales (earn-out) y opciones de venta de minoritarios: 114,4 M EUR en 2023, 109,6 en 2024, 45,3 en 2025 y 63,2 a 30-jun-2026 (55,3 de earn-out), sobre todo de Region 3 (Reino Unido) [1, 2]. Beneficios a empleados (TFR italiano): 118,7 M en 2025 y 83,0 M a 30-jun-2026 tras traspasar parte al fondo de tesorería del INPS [2]. Provisiones no corrientes de 22,7 M [1]. Secuestro preventivo de la Fiscalía de Milán (fraude informático, 2017-2019, servicios de valor añadido de telefonía móvil): provisión de 8 M rebajada a 2,9 M; la empresa no tiene imputada la responsabilidad administrativa (231/2001) [1]. La demanda de responsabilidad profesional se cerró en 2025 con un acuerdo de 15 M cubierto por el seguro [1].</w:t>
      </w:r>
    </w:p>
    <w:p>
      <w:pPr>
        <w:pStyle w:val="Heading1"/>
      </w:pPr>
      <w:r>
        <w:t xml:space="preserve">12. Asignación de capital</w:t>
      </w:r>
    </w:p>
    <w:p>
      <w:pPr>
        <w:pStyle w:val="Confianza"/>
        <w:spacing w:after="100"/>
      </w:pPr>
      <w:r>
        <w:t xml:space="preserve">Confianza: Alta</w:t>
      </w:r>
    </w:p>
    <w:p>
      <w:pPr>
        <w:spacing w:after="100"/>
      </w:pPr>
      <w:r>
        <w:t xml:space="preserve">Dividendo del ≈ 20 % del beneficio (1,35 EUR por acción de 2025, pagado el 20-may-2026) [1]. Compras pequeñas de especialistas, sobre todo en Reino Unido, Alemania y EE. UU., con pagos aplazados ligados a resultados (earn-out), e incubadora de empresas emergentes (≈ 290 sociedades; ≈ 40 creadas en 2026) [1, 9]. Primera recompra grande: anunciada el 9-abr-2026, del 13-abr al 23-oct-2026, hasta 3.607.950 acciones (9,6 % del capital) o 550 M EUR; a 30-jul-2026 la empresa tenía 1.083.192 acciones propias (2,9 %) [2, 9, 11]. La junta del 23-abr-2026 renovó la autorización hasta el 23-oct-2027 con los mismos límites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compras (Reino Unido, Alemania,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bancaria subió a 97,8 M; parte de los earn-out se revisaron después a la baja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Solirius Ltd (Reino Unido, sector público)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60,0 M; earn-out ajustado en −8,1 M en el 1S26 (paga más de lo previsto)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Scientific (Reino Unido, defensa) y Root16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 pagos netos de compras del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Cyberis y Movar (Reino Unido); FedTec LLC (EE. UU., defensa)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Cyberis y Movar 8-9 M; FedTec sin precio publicado, ≈ 10 veces el EV/EBIT según Equita [2, 12].</w:t>
            </w:r>
          </w:p>
        </w:tc>
      </w:tr>
    </w:tbl>
    <w:p>
      <w:pPr>
        <w:spacing w:after="160" w:before="0"/>
      </w:pPr>
    </w:p>
    <w:p>
      <w:pPr>
        <w:spacing w:after="100"/>
      </w:pPr>
      <w:r>
        <w:t xml:space="preserve">La asignación de capital ha sido buena durante dos décadas: crecimiento orgánico más compras pequeñas, sin ampliaciones (las acciones apenas cambian: 37,4 M) y con caja neta [1, 5]. Lo que ha empeorado es Region 3 (Reino Unido, Francia, Benelux): 19 M de deterioro de Francia en 2025 y margen EBITDA del 11 % frente al 21 % de Region 1 [1]. La recompra de 2026 es el cambio relevante: con la acción en mínimos (76,65 EUR en marzo), la empresa pasó de acumular caja a recomprar hasta 550 M (≈ 12 % de la capitalización)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 Rizzante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Informático; fundó Reply en 1996 y la dirige desde entonces. Controla Alika S.r.l. (37,08 % del capital y ≈ 63 % de los votos) a través de Iceberg [3,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Tatiana Rizzante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informática y cofundadora; lleva la estrategia internacional y preside el comité de sostenibilidad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Filippo Rizzante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 oferta tecnológica y las alianzas con hiperescaladores y laboratorios de IA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Cusinato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informático; antes jefe de proyecto en Cluster Reply (IoT y nube)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Maria Previtera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Socia ejecutiva: supervisa las sociedades tecnológicas del grupo, CRM y experiencia de cliente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«perspectivas positivas»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+27 % (1.891 M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crecimiento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+12 %; BPA −2 %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crecimiento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+8,4 %; BPA +13 %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numérica: crecimiento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+6,7 %; EBITDA subyacente +0,6 %; BPA +19 %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con treinta años al frente: de una empresa de Turín en 1996 a 2.450 M EUR de ventas, siempre con beneficio y caja neta [1, 3]. No da guía numérica, lo que impide medir su credibilidad con cifras; sus mensajes de 2025-2026 han sido francos sobre la presión de las tarifas y el efecto de la IA. El riesgo es la sucesión y la dependencia de la familia: presidente y consejero delegado es el fundador (≈ 70 años) y la otra consejera delegada es Tatiana Rizzante; el CFO viene de dentro [3].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 Rizzante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ética de la 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Tatiana Rizzante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ética de la 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Filippo Rizzante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Cusinato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Elena Maria Previtera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Daniele Angelucci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Control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Patrizia Polliotto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y Riesgos (presidenta); partes vinculadas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Secondina Giulia Ravera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Domenico Siniscalco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(lista de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Federico Ferro-Luzzi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(lista de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(encargo 2019-2027)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Alika S.r.l. (familia Rizzante; Iceberg tiene el 51 %)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13.872.740 acciones; ≈ 63-64 % de los votos con el voto aumentado desde el 30-sep-2025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Smallcap World Fund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3,1 % y el 3,9 % según la fecha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propias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1.083.192 a 30-jul-2026 (133.192 a fin de 2025) por la recompra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60 % antes de la recompra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Mario Rizzante cobró 1,55 M EUR en 2025 (0,85 fijo y 0,70 de participación en beneficios) y Tatiana Rizzante 1,43 M (0,73 y 0,70); Filippo Rizzante 1,19 M, Elena Maria Previtera 1,08 M y Marco Cusinato 1,19 M; los directivos clave, 4,72 M en total [19]. El total de consejeros y directivos fue de 10,57 M [1]. Hay un plan a medio plazo 2023-2026 ligado al EBIT, la rentabilidad para el accionista, el flujo operativo y objetivos ESG, con cláusula de devolución [19]. Cifras modestas para el tamaño de la empresa. Pero en la junta del 23-abr-2026 la política obtuvo el 76,9 % a favor y el 22,9 % en contra, y el informe de retribuciones el 77,0 % y el 22,8 % [20]: como Alika vota a favor con ≈ 41,6 M de votos de 55,6 M presentes, el capital libre presente votó en contra en ≈ 91 % (12,7 M de ≈ 14,0 M de votos; estimación propia). Los inversores rechazan la política, sobre todo por el peso discrecional de la participación en beneficios y la falta de métricas a largo plazo claras.</w:t>
      </w:r>
    </w:p>
    <w:p>
      <w:pPr>
        <w:pStyle w:val="Heading2"/>
      </w:pPr>
      <w:r>
        <w:t xml:space="preserve">Operaciones vinculadas, estructura de control y defensas</w:t>
      </w:r>
    </w:p>
    <w:p>
      <w:pPr>
        <w:spacing w:after="100"/>
      </w:pPr>
      <w:r>
        <w:t xml:space="preserve">La familia Rizzante controla Reply: Alika S.r.l. tiene el 37,08 % del capital y, con el voto aumentado (tres votos por acción desde el 30-sep-2025), ≈ 63-64 % de los votos de la junta [18, 20]. El voto aumentado blinda el control y hace imposible una opa hostil. El presidente es el fundador y consejero delegado; hay consejera coordinadora independiente y cuatro independientes de diez (dos elegidos por la lista de inversores institucionales) [18]. Las comisiones de Control y Riesgos y de Remuneración tienen mayoría de independientes y las presiden independientes [18]. Consejo elegido el 23-abr-2024 hasta la junta que apruebe las cuentas de 2026 [18].</w:t>
      </w:r>
    </w:p>
    <w:p>
      <w:pPr>
        <w:pStyle w:val="Heading2"/>
      </w:pPr>
      <w:r>
        <w:t xml:space="preserve">Señales de alerta</w:t>
      </w:r>
    </w:p>
    <w:p>
      <w:pPr>
        <w:pStyle w:val="ListParagraph"/>
        <w:numPr>
          <w:ilvl w:val="0"/>
          <w:numId w:val="2"/>
        </w:numPr>
        <w:spacing w:after="60"/>
      </w:pPr>
      <w:r>
        <w:t xml:space="preserve">Voto en contra de la remuneración del ≈ 91 % del capital libre presente en la junta de 2026 (22,9 % del total) [20].</w:t>
      </w:r>
    </w:p>
    <w:p>
      <w:pPr>
        <w:pStyle w:val="ListParagraph"/>
        <w:numPr>
          <w:ilvl w:val="0"/>
          <w:numId w:val="2"/>
        </w:numPr>
        <w:spacing w:after="60"/>
      </w:pPr>
      <w:r>
        <w:t xml:space="preserve">Voto aumentado (tres votos por acción) desde septiembre de 2025: la familia tiene ≈ 63 % de los votos con el 37 % del capital [18].</w:t>
      </w:r>
    </w:p>
    <w:p>
      <w:pPr>
        <w:pStyle w:val="ListParagraph"/>
        <w:numPr>
          <w:ilvl w:val="0"/>
          <w:numId w:val="2"/>
        </w:numPr>
        <w:spacing w:after="60"/>
      </w:pPr>
      <w:r>
        <w:t xml:space="preserve">Investigación penal de la Fiscalía de Milán (fraude informático, servicios de valor añadido de TIM 2017-2019) con secuestro preventivo a Reply S.p.A. [1, 22].</w:t>
      </w:r>
    </w:p>
    <w:p>
      <w:pPr>
        <w:pStyle w:val="ListParagraph"/>
        <w:numPr>
          <w:ilvl w:val="0"/>
          <w:numId w:val="2"/>
        </w:numPr>
        <w:spacing w:after="60"/>
      </w:pPr>
      <w:r>
        <w:t xml:space="preserve">Sucesión: el fundador (presidente y consejero delegado) sigue al frente; el consejo se renueva con las cuentas de 2026 (primavera de 2027)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Reply no da guía numérica. En el 2T26 (30-jul-2026) mantuvo «perspectivas positivas» para 2026; el consejero delegado espera un tercer trimestre «en línea» con el primer semestre (+7,4 % de ingresos) y FedTec suma ≤ 2 % de las ventas del año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10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10 analistas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 195,00</w:t>
            </w:r>
          </w:p>
        </w:tc>
      </w:tr>
    </w:tbl>
    <w:p>
      <w:pPr>
        <w:spacing w:after="160" w:before="0"/>
      </w:pPr>
    </w:p>
    <w:p>
      <w:pPr>
        <w:pStyle w:val="Heading2"/>
      </w:pPr>
      <w:r>
        <w:t xml:space="preserve">Revisiones de estimaciones</w:t>
      </w:r>
    </w:p>
    <w:p>
      <w:pPr>
        <w:spacing w:after="100"/>
      </w:pPr>
      <w:r>
        <w:t xml:space="preserve">El BPA del consenso subió tras el 2T26: 2026 de 7,44 EUR hace 90 días a 7,7 y 2027 de 7,96 a 8,32 [24]. Objetivos tras el 2T26: Intermonte Comprar 195 EUR (desde 187), Intesa Comprar 155, Deutsche Bank Comprar 140 (desde 130), Equita 130 (+4 %; ≈ 7 veces el EV/EBIT y 12 veces el PER de 2027) [12, 26, 27]. Antes, el 17-nov-2025, Berenberg (Mantener) y Equita bajaron el objetivo de 165 y 172 a 150 EUR por la IA: Berenberg recortó el BPA a 7,40 (2026) y 7,92 (2027) [16]. Media de Yahoo: 153,36 EUR (11 objetivos, 121-195); 10 comprar y 1 mantener [24]. Simply Wall St (5-ago): 11 analistas, ventas de 2026 de 2.710 M y BPA de 7,53 [25]. Sin consenso gratuito de 2028.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ido mucho peor que el índice en cinco años (−4,3 % anual frente a +13,1 % del FTSE MIB) y mejor en diez (+16,7 % frente a +11,1 %) [23]. Del máximo de noviembre de 2021 (≈ 185 EUR) cayó un 57 % hasta marzo de 2026 (76,65 EUR), primero por la subida de tipos de 2022 y después por el temor a la IA en las consultoras (2025: −24,7 % con el índice +31,5 %) [23, 31]. Desde marzo ha subido un 67 %: recompra de hasta 550 M (abril), resultados del 2T26 mejores de lo esperado (julio) y vuelta del sector [11, 12, 23]. Beta baja frente al FTSE MIB (0,61 mensual a cinco años; 0,74 ajustada) y volatilidad alta (38,6 % en el último año) [23].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 +29,3 % / +41,3 % / +7,5 %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+67,5 %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(13-nov) con ingresos +8,1 % y caída del 5,6 % el 14-nov; el 17-nov Berenberg y Equita bajaron objetivos (165 y 172 a 150 EUR) y estimaciones por el efecto de la IA en las horas facturables [16,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3-feb-2026 (−8,9 %) cayeron las consultoras y el software en todo el mundo por las nuevas herramientas de agentes de Anthropic; Milano Finanza no encontró motivo propio de la empresa (7-feb, ≈ 97 EUR) [17,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12-mar-2026, día de las cuentas de 2025 (nota a las 13:47), −14,8 %: 4T25 con ingresos +5,2 % y EBITDA de 132,1 M frente a 135,1 M, sin guía, y el consejero delegado anunció presión en tarifas en 2026-2027 y menos tiempo y materiales. La causa concreta de la caída no la da ninguna fuente: es lectura propia de los resultados y de la conferencia [10]. Mínimo de 76,65 EUR el 23-mar.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550 M EUR anunciada el 9-abr (+5,5 % el 10-abr) y resultados del 1T26 (+6,2 %) el 15-may; Money.it la llama el punto de giro [11,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15,6 % en el mes (−6,0 % el 19-jun) sin nota de la empresa; causa no encontrada en tres búsquedas (notas de prensa de Reply, Teleborsa, titulares de Seeking Alpha): coincide con ventas en el sector de servicios de TI [23,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(30-jul) por encima de lo esperado (ingresos +8,7 %, EBITDA 121,2 M) y compra de FedTec; subidas de objetivo de Intermonte, Deutsche Bank y Equita [12,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hasta el máximo de 52 semanas (130,80 el 19-oct) sin noticia propia: vuelta del sector (+6,6 % el 1-oct) y recompra en marcha hasta el 23-oct [23,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12-nov-2026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programa de recompra (13-abr a 23-oct-2026; ≈ 1,08 M de acciones compradas hasta julio de un máximo de 3,6 M); la junta autorizó otro hasta el 23-oct-2027 con los mismos límites, sin anunciar si lo usará [2, 11]. Es la retirada de un comprador, no una venta: no se puede medir y no hay colocación.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tecnológicas europeas pendientes de Anthropic (salida a bolsa y nuevas herramientas): el temor a la IA sigue moviendo al sector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(Comprar, 140 EUR) e Intesa Sanpaolo (Comprar, 155) confirman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Intermonte sube el objetivo a 195 EUR (Comprar) y Equita a 130 [12,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FedTec LLC (EE. UU., defensa y administración federal), ≤ 2 % de las ventas de 2026, precio no publicado [2,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22,9 % en contra de la política de remuneración (≈ 91 % del capital libre presente) y nueva autorización de recompra hasta 2027; Alika (familia Rizzante) no vende [2,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3.607.950 acciones (9,6 %) o 550 M EUR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2025: ingresos +6,7 %, EBITDA subyacente plano, presión de tarifas anunciada para 2026-2027; −14,8 % ese día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Berenberg (Mantener) y Equita bajan el objetivo a 150 EUR por la IA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informe anual de 2025 actualiza la investigación de la Fiscalía de Milán (fraude informático, servicios de valor añadido de TIM 2017-2019) con secuestro preventivo a Reply: liberación parcial y provisión rebajada de 8 M a 2,9 M; sin fecha de juicio [10,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su máximo de 52 semanas tras subir un 29 % en tres meses (aviso P2 de la herramienta, que no cambia la señal pero obliga a explicar la causa) [23]. La subida tiene causa en hechos de la empresa: la recompra (abril), dos trimestres de crecimiento al 6-9 % y las subidas de objetivo de julio; y viene de un mínimo (76,65 EUR en marzo) causado por el temor a la IA en todo el sector [11, 12, 17]. No hay colocaciones, ampliaciones ni decisiones judiciales con fecha: la familia no vende y el procedimiento penal no tiene calendario. El fin de la recompra el 23-oct retira un comprador, pero no es un hecho que pueda mover el precio más de un 5 % en contra de forma identificable, y la junta ya autorizó otra. Los resultados del 12-nov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(Yahoo) [23]. El PER adelantado (cierre ÷ BPA real del año siguiente) fue de 14-17 veces en 2016-2018, subió a 21-24 en 2019-2020 y a 34,8 en el pico de 2021, y se quedó en 21-23 en 2022-2024; al cierre de 2025 cayó a ≈ 15 veces con el temor a la IA. Hoy cotiza a ≈ 15,8 veces el BPA de los próximos 12 meses. La historia está en el BPA publicado (no hay ajustado) y no tiene pérdidas: no hay años que excluir.</w:t>
      </w:r>
    </w:p>
    <w:p>
      <w:pPr>
        <w:pStyle w:val="Heading1"/>
      </w:pPr>
      <w:r>
        <w:t xml:space="preserve">18. Comparables cotizados</w:t>
      </w:r>
    </w:p>
    <w:p>
      <w:pPr>
        <w:pStyle w:val="Confianza"/>
        <w:spacing w:after="100"/>
      </w:pPr>
      <w:r>
        <w:t xml:space="preserve">Confianza: Media</w:t>
      </w:r>
    </w:p>
    <w:p>
      <w:pPr>
        <w:spacing w:after="100"/>
      </w:pPr>
      <w:r>
        <w:t xml:space="preserve">Consultoras y empresas de servicios de TI europeas cotizadas (Capgemini, Sopra Steria, Alten, adesso, Nagarro, Sesa, Tietoevry) y las globales con las que compite en grandes cuentas o en ingeniería de software (Accenture, EPAM, Globant) [24]. Ninguna es igual: Reply tiene más margen (EBITDA del 17 % frente al 6-19 %) y más peso de Italia; Accenture es la más parecida en calidad. Tietoevry tiene el margen operativo deformado por ventas de negocios.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adesso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Nagarro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EPAM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Tietoevry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8,1x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10,7x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1,0x / 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bl>
    <w:p>
      <w:pPr>
        <w:spacing w:after="160" w:before="0"/>
      </w:pPr>
    </w:p>
    <w:p>
      <w:pPr>
        <w:spacing w:after="100"/>
      </w:pPr>
      <w:r>
        <w:t xml:space="preserve">Reply cotiza a ≈ 15,8 veces el BPA de los próximos 12 meses frente a una mediana de 10,7 de los comparables (Capgemini 9,3, Accenture 16,1) [24]. La prima frente a las europeas la explican el margen (doble que la media) y la caja neta; frente a Accenture cotiza con descuento. Todo el sector se ha abaratado por el temor a la IA: los PER de 9-10 veces de Capgemini, Sopra Steria y EPAM eran de 15-25 hace tres años. Múltiplo de referencia del motor en el alcista: la mediana (10,7), que no llega a la historia de Reply y no cuenta.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Solirius Ltd (Reino Unido, consultoría digital del sector público)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operación con earn-out; activos netos de 32,6 M (29,3 de caja)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FedTec LLC (EE. UU.,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10 veces el EV/EBIT según Equita; precio no publicado [26].</w:t>
            </w:r>
          </w:p>
        </w:tc>
      </w:tr>
    </w:tbl>
    <w:p>
      <w:pPr>
        <w:spacing w:after="160" w:before="0"/>
      </w:pPr>
    </w:p>
    <w:p>
      <w:pPr>
        <w:spacing w:after="160" w:before="0"/>
      </w:pPr>
    </w:p>
    <w:p>
      <w:pPr>
        <w:spacing w:after="100"/>
      </w:pPr>
      <w:r>
        <w:t xml:space="preserve">Reply compra especialistas pequeños a 8-10 veces el EBIT con pagos aplazados; no hay transacciones grandes de consultoras europeas comparables con múltiplos publicados en fuentes gratuitas. Con la familia Rizzante con ≈ 63 % de los votos, una oferta por Reply solo es posible si la familia quiere vender: el valor de control no es relevante.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(+8,3 % NIIF, fijo): el primer semestre creció un 7,1 % en ingresos NIIF (+7,4 % en los de gestión) y el segundo suma FedTec, Cyberis y Movar; el consenso espera +10,6 % en ingresos de gestión [2, 24]. Después, +7,5 % en 2027e (consenso +8,0 % [24]) y descenso hasta el 3 % en 2033e. Es la mitad del 14,4 % anual de 2020-2025 y está por encima del mercado italiano previsto (+3,6 % anual el digital en 2026-2029 [13]): supone que Reply sigue ganando cuota con la IA y compras pequeñas, como en 2025-2026, pero que la presión en tarifas (≈ −1 punto al año en 2026-2027) le quita crecimiento [8].</w:t>
      </w:r>
    </w:p>
    <w:p>
      <w:pPr>
        <w:keepNext/>
        <w:spacing w:after="100"/>
      </w:pPr>
      <w:r>
        <w:rPr>
          <w:b/>
          <w:bCs/>
        </w:rPr>
        <w:t xml:space="preserve">Márgenes.</w:t>
      </w:r>
    </w:p>
    <w:p>
      <w:pPr>
        <w:spacing w:after="100"/>
      </w:pPr>
      <w:r>
        <w:t xml:space="preserve">Margen EBITDA del 18,3 % sobre ventas NIIF todos los años, sin expansión: el subyacente fue del 19,0 % en 2024, del 17,9 % en 2025 y del 18,0 % en el 1S26 (17,8 % sobre ingresos de gestión), y la dirección dice que usa la productividad de la IA para ganar cuota y no para subir el margen [1, 2, 9]. El 18,3 % incluye la estacionalidad (el segundo semestre tiene más margen) y es menos de lo que la empresa hizo en 2024.</w:t>
      </w:r>
    </w:p>
    <w:p>
      <w:pPr>
        <w:keepNext/>
        <w:spacing w:after="100"/>
      </w:pPr>
      <w:r>
        <w:rPr>
          <w:b/>
          <w:bCs/>
        </w:rPr>
        <w:t xml:space="preserve">Inversión y circulante.</w:t>
      </w:r>
    </w:p>
    <w:p>
      <w:pPr>
        <w:spacing w:after="100"/>
      </w:pPr>
      <w:r>
        <w:t xml:space="preserve">«Capex» del 4,3 % de las ventas los primeros años, que baja al 3,3 %: inversión fija (1,9 % en 2025), derechos de uso de oficinas (≈ 1,4 %, porque el EBITDA no lleva los alquileres por la NIIF 16) y ≈ 1 punto de compras pequeñas que forman parte del crecimiento (2,8 % de las ventas de media en 2020-2025) [1]. Amortización del 2,75 % (2,74 % en el 1S26). Circulante del 28 % de las ventas (28,4 % en 2025): crecer consume caja.</w:t>
      </w:r>
    </w:p>
    <w:p>
      <w:pPr>
        <w:keepNext/>
        <w:spacing w:after="100"/>
      </w:pPr>
      <w:r>
        <w:rPr>
          <w:b/>
          <w:bCs/>
        </w:rPr>
        <w:t xml:space="preserve">Coste del capital.</w:t>
      </w:r>
    </w:p>
    <w:p>
      <w:pPr>
        <w:spacing w:after="100"/>
      </w:pPr>
      <w:r>
        <w:t xml:space="preserve">Tasa libre del 3,44 % (Bund a 10 años, 21-oct-2026 [28]); beta de 0,90, entre la local ajustada (0,74-0,83 frente al FTSE MIB [23]) y la del sector de servicios de TI europeo (≈ 1); prima de mercado del 5,5 % y prima adicional del 0,5 % por el peso de Italia (49 % de las ventas) y la volatilidad del 39 %. Coste de los fondos propios del 8,89 %; deuda al 4 % antes de impuestos con un peso del 4 % (deuda bancaria y arrendamientos frente a la capitalización). WACC del 8,64 %. Con la prima implícita del mercado (4,2 % [29]) el WACC baja al 7,52 % y el DCF sube a 157,39 EUR.</w:t>
      </w:r>
    </w:p>
    <w:p>
      <w:pPr>
        <w:keepNext/>
        <w:spacing w:after="100"/>
      </w:pPr>
      <w:r>
        <w:rPr>
          <w:b/>
          <w:bCs/>
        </w:rPr>
        <w:t xml:space="preserve">Valor terminal.</w:t>
      </w:r>
    </w:p>
    <w:p>
      <w:pPr>
        <w:spacing w:after="100"/>
      </w:pPr>
      <w:r>
        <w:t xml:space="preserve">Crecimiento a perpetuidad del 2,0 %: inflación europea, sin crecimiento real, porque la IA puede reducir el gasto en servicios por horas a largo plazo. Múltiplo de salida implícito de 7,8 veces el EBITDA, por debajo de las 9,5 veces de hoy y de la media del sector (8-10). El valor terminal pesa un 68 %.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M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(ROIC 22,8 %)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 (histórico: 21,1 %)</w:t>
            </w:r>
          </w:p>
        </w:tc>
      </w:tr>
    </w:tbl>
    <w:p>
      <w:pPr>
        <w:spacing w:after="160" w:before="0"/>
      </w:pPr>
    </w:p>
    <w:p>
      <w:pPr>
        <w:spacing w:after="100"/>
      </w:pPr>
      <w:r>
        <w:t xml:space="preserve">La proyección reinvierte el 24 % del NOPAT. Con el ROIC del último ejercicio (22,8 %), eso financia un crecimiento del 5,4 % anual, frente al 5,9 % de ingresos proyectado. Supone que el capital nuevo rinde un 25,8 %, frente a un ROIC incremental histórico del 21,1 %.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(primer semestre: orgánico +6,6-7,3 % [2]), precio −1 % por la presión en tarifas que la dirección anunció para 2026-2027 [8] y 2,3 puntos de compras (Red Scientific y Root16 todo el año, Cyberis, Movar y FedTec).</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(más proyectos de IA y migración, defensa y sector público), precio −1 % y 1,5 puntos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precio −0,5 % (la presión se suaviza al pasar a precio fijo) y 1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precio neutro y medio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5,5 %, precio neutro y medio punto de compras: converge hacia el mercado.</w:t>
            </w:r>
          </w:p>
        </w:tc>
      </w:tr>
    </w:tbl>
    <w:p>
      <w:pPr>
        <w:spacing w:after="160" w:before="0"/>
      </w:pPr>
    </w:p>
    <w:p>
      <w:pPr>
        <w:spacing w:after="100"/>
      </w:pPr>
      <w:r>
        <w:t xml:space="preserve">Sí, con matices. (1) Puente de ingresos: el crecimiento de 2026-2030 (8,3 % a 6 %) sale de volumen (5,5-7 %), con precio negativo (−1 a 0 %) y compras pequeñas (0,5-2,3 puntos); el volumen está en línea con el orgánico del 1S26 (6,6-7,3 %) [2]. (2) Mercado final: no se da porque el único tamaño fiable es Italia (18.800 M EUR de servicios ICT [13]) y la proyección es del grupo; a mano, si las ventas en Italia crecen como el grupo, la cuota pasaría del ≈ 6,4 % al ≈ 7,9 % en 2030 con el mercado al 3,6 % anual: ×1,23, menos del 1,5 que el motor tolera. (3) Reinversión: el capital nuevo rinde un 25,8 % en la proyección frente a un 22,8 % de ROIC y un 21,1 % incremental (≤ 1,25 veces) y la inversión incluye compras [36]. El motor también da «Sí». El matiz es la IA: si los clientes exigen proyectos más baratos y el precio cae más de un punto al año, el volumen no compensa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5,6 %)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(base: 18,3 %)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8,6 %)</w:t>
            </w:r>
          </w:p>
        </w:tc>
      </w:tr>
    </w:tbl>
    <w:p>
      <w:pPr>
        <w:spacing w:after="160" w:before="0"/>
      </w:pPr>
    </w:p>
    <w:p>
      <w:pPr>
        <w:spacing w:after="100"/>
      </w:pPr>
      <w:r>
        <w:t xml:space="preserve">El DCF da 130,97 EUR por acción, un 2,1 % sobre el precio de cierre (128,30), con un WACC del 8,64 % y un valor terminal del 68 %. El DCF inverso dice que el precio descuenta un crecimiento del 4,8 % anual con nuestro margen, frente al 5,6 % de media de nuestro caso base: el precio es justo, con poco margen de seguridad. Con la prima de riesgo que pide hoy el mercado (4,2 %) vale 157,39 EUR (+23 %): la diferencia la pone la tasa. El bajista de la IA (crecimiento −4 puntos y margen −1,5 puntos) vale 95,10 EUR (−26 %).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el trabajo por horas más rápido de lo que Reply vende proyectos nuevos: los clientes piden precios cerrados más bajos y menos horas en mantenimiento, pruebas y desarrollo; Alemania y la industria no se recuperan. Crecimiento 4 puntos menor (3,5 % en 2027e y 3 % en 2028e, ≈ 1 % hacia 2030) y margen EBITDA 1,5 puntos menor (16,8 %, lo que dio en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7-8 % con IA, nube, datos, defensa y compras pequeñas, con tarifas a la baja que la productividad compensa sin subir el margen (18,3 %).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es de las que ganan con la IA: crece 1,5 puntos más con proyectos de agentes y migraciones a precio fijo y retiene parte del ahorro (+0,5 puntos de margen, el 18,8 %, como en 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124,59 EUR (-2,9 %).</w:t>
      </w:r>
    </w:p>
    <w:p>
      <w:pPr>
        <w:spacing w:after="100"/>
      </w:pPr>
      <w:r>
        <w:t xml:space="preserve">La asimetría del valor intrínseco es desfavorable: el alcista vale 141,33 EUR (+10 %) y el bajista 95,10 (−26 %). En el DCF el bajista pesa más porque baja crecimiento y margen a la vez y sube la tasa; el alcista solo añade 1,5 puntos de crecimiento y 0,5 de margen. El valor ponderado de los escenarios queda ≈ 3 % bajo el precio. A 12 meses la asimetría es la contraria (bajista −20 %, alcista +60 %), porque el múltiplo de hoy (15,8 veces) está muy por debajo de la historia de Reply (mediana de 21,4).</w:t>
      </w:r>
    </w:p>
    <w:p>
      <w:pPr>
        <w:pStyle w:val="Heading1"/>
      </w:pPr>
      <w:r>
        <w:t xml:space="preserve">22. Suma de partes</w:t>
      </w:r>
    </w:p>
    <w:p>
      <w:pPr>
        <w:pStyle w:val="Confianza"/>
        <w:spacing w:after="100"/>
      </w:pPr>
      <w:r>
        <w:t xml:space="preserve">Confianza: Media</w:t>
      </w:r>
    </w:p>
    <w:p>
      <w:pPr>
        <w:spacing w:after="100"/>
      </w:pPr>
      <w:r>
        <w:t xml:space="preserve">No aplica: las tres regiones venden lo mismo (consultoría e integración de tecnología) a clientes parecidos, comparten marca, ofertas y alianzas, y la empresa no da resultados por línea de negocio. Las ≈ 290 sociedades no cotizan por separado y las participaciones en empresas emergentes (11 M de asociadas en el balance) son pequeñas y ya van en el puente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124,09 EUR (-3,3 % sobre 128,30).</w:t>
      </w:r>
    </w:p>
    <w:p>
      <w:pPr>
        <w:spacing w:after="100"/>
      </w:pPr>
      <w:r>
        <w:t xml:space="preserve">Pesos: DCF 50 %, escenarios 40 % y comparables 10 %. El DCF es el método más fiable para un negocio con caja neta y poca inversión; los escenarios recogen el riesgo de la IA, que es asimétrico (−26 % / +10 %). Los comparables pesan poco: todo el sector cotiza deprimido por el mismo temor (PER mediano de 10,7) y Reply tiene el doble de margen que la media; usarlos más sería contar dos veces el miedo a la IA. Las transacciones no pesan (compras pequeñas sin múltiplos publicados). El valor objetivo de la síntesis es de 124,09 EUR (−3,3 %); con la prima implícita del mercado sería de 147,03 (+14,6 %). El precio está en la zona de valor justo con nuestro WACC.</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(15.8x) × 1.1 (tope: la mediana de 5 años, 21.4x,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r>
    </w:tbl>
    <w:p>
      <w:pPr>
        <w:spacing w:after="160" w:before="0"/>
      </w:pPr>
    </w:p>
    <w:p>
      <w:pPr>
        <w:spacing w:after="100"/>
      </w:pPr>
      <w:r>
        <w:rPr>
          <w:b/>
          <w:bCs/>
        </w:rPr>
        <w:t xml:space="preserve">Objetivo a 12 meses (ponderado):</w:t>
      </w:r>
      <w:r>
        <w:t xml:space="preserve"> 153,94 EUR · rentabilidad +21,0 % (base +21,1 %) · señal Mantener.</w:t>
      </w:r>
    </w:p>
    <w:p>
      <w:pPr>
        <w:spacing w:after="100"/>
      </w:pPr>
      <w:r>
        <w:t xml:space="preserve">Para comparar, con la regla v2 (historia al cierre, mismo precio): 13,4x / 15,8x / 20,5x, 12,4 % Mantener; con el tope anterior del base (×1,3, 14-oct mediodía): 25,6 %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(7,50 EUR) queda un 2,6 % por debajo del consenso de Yahoo (7,70) y en línea con el de Simply Wall St (7,53) y el de Berenberg (7,40) [16, 24, 25]; el de 2027e (8,25) coincide con el consenso (8,32). La diferencia de 2026 está en el ajuste de los earn-out del primer semestre (−8,1 M) y en que no contamos más recompras. El objetivo medio de los analistas (153,36 EUR, 11 analistas) coincide con nuestro objetivo a 12 meses (153,94): los dos suponen que el PER vuelve hacia 17-18 veces.</w:t>
      </w:r>
    </w:p>
    <w:p>
      <w:pPr>
        <w:keepNext/>
        <w:spacing w:after="100"/>
      </w:pPr>
      <w:r>
        <w:rPr>
          <w:b/>
          <w:bCs/>
        </w:rPr>
        <w:t xml:space="preserve">Del valor intrínseco al objetivo a 12 meses.</w:t>
      </w:r>
    </w:p>
    <w:p>
      <w:pPr>
        <w:spacing w:after="100"/>
      </w:pPr>
      <w:r>
        <w:t xml:space="preserve">El objetivo a 12 meses es de 153,94 EUR (ponderado), un 21,0 % de rentabilidad con el dividendo; el base da 153,99 EUR (+21,1 %). Los números de la regla bastan para comprar (≥ 15 % y ≥ 12 %), pero el valor intrínseco (124,09 EUR) queda un 3,3 % por debajo del precio, así que la regla dice Mantener. El base supone que el BPA crece un 9,6 % anual de 2025 a 2028e y que el PER sube de 15,8 a 17,4 veces (el tope de ×1,1 hacia la mediana de cinco años, 21,4). Comprar por debajo de 124,09 EUR (el valor intrínseco); vender por encima de 172,54.</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programa de recompra (13-abr a 23-oct)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un comprador; la nueva autorización (hasta 2027) puede usarse o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y margen tras la presión en tarifas; primera lectura de FedTec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2026 y 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y peso del tiempo y materiales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renovación del consejo y nueva política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del fundador; voto de los inversores sobre la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herramientas de agentes de IA (Anthropic, OpenAI, GitHub)</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Mueven a todo el sector: −8,9 % el 3-feb-2026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con la autorización hasta el 23-oct-2027 (hasta 550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de BPA si se usa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penal (servicios de valor añadido de TIM)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multa o costes; provisión de 2,9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abarata la consultoría y la integración por horas: menos horas por proyecto, tarifas a la baja, fin del tiempo y materiales (≈ 31 %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82 % de Region 1 (sobre todo Italia) es a precio fijo; ofertas propias de agentes; los contratistas absorben el primer golpe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por debajo del 5 % o margen EBITDA subyacente por debajo del 17 %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Italia (49 % de las ventas) y de la banca (≈ 30 %)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Reino Unido y EE. UU. crecen por compras; banca italiana con beneficios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ingresos en Region 1 o recorte de presupuestos de TI de la banca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gasto tecnológico en Europa (industria alemana, automoción)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y sector público al alza; Region 2 es el 18 %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Region 2 en negativo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los 20 primeros son ≈ 40 %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por un gran cliente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supera el 10 %; relaciones de décadas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un cliente grande en un concurso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pequeñas que no rinden (Region 3: deterioro de Francia de 19 M; earn-out que cambian)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con pagos ligados a resultados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 o ajustes de earn-out negativos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con voto aumentado, sucesión del fundador y remuneración rechazada por el capital libre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alineada (37 % del capital); cuatro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consejero delegado sin plan o operaciones con la familia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penal por los servicios de valor añadido de TIM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2,9 M; sin 231/2001 imputada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Imputación de la sociedad o ampliación del secuestro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el sector cotiza a 9-11 veces y Reply a 15,8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−20 % si cotiza como el sector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doble y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Reply convergiendo hacia el 12-14 % del sector</w:t>
            </w:r>
          </w:p>
        </w:tc>
      </w:tr>
    </w:tbl>
    <w:p>
      <w:pPr>
        <w:spacing w:after="160" w:before="0"/>
      </w:pPr>
    </w:p>
    <w:p>
      <w:pPr>
        <w:pStyle w:val="Heading2"/>
      </w:pPr>
      <w:r>
        <w:t xml:space="preserve">Pre-mortem</w:t>
      </w:r>
    </w:p>
    <w:p>
      <w:pPr>
        <w:spacing w:after="100"/>
      </w:pPr>
      <w:r>
        <w:t xml:space="preserve">Octubre de 2028: la acción ha perdido un 35 %. Los agentes de programación de 2027 hicieron en semanas lo que antes eran equipos de diez consultores durante meses; los bancos italianos, el 30 % de las ventas, renegociaron todos los contratos de mantenimiento a precio cerrado con descuentos del 20-30 %. Reply vendió muchos proyectos de IA, pero cada uno con menos horas: las ventas crecieron un 2 % y el margen bajó al 16 %. Alemania siguió en recesión industrial. El fundador dejó el cargo en 2027 sin un plan claro y el mercado pagó por Reply lo mismo que por Capgemini o Sopra Steria: 10 veces el beneficio.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−26 % en el bajista; +10 % en el alcista (DCF)</w:t>
      </w:r>
    </w:p>
    <w:p>
      <w:pPr>
        <w:spacing w:after="100"/>
      </w:pPr>
      <w:r>
        <w:t xml:space="preserve">Es el riesgo central. Lo que RESTA: Reply vende horas de ingenieros (personal y subcontratas = 82 % de las ventas) y la IA reduce las horas por proyecto; el consejero delegado lo dijo en marzo de 2026: «el mercado está deteriorando nuestras tarifas… la presión seguirá en 2026 y 2027» y «con la IA se hace más con menos gente, pero el volumen de cada proyecto es menor» [8]. El tiempo y materiales (≈ 31 % de las ventas; 55 % en Alemania y 52 % en Reino Unido) «casi desaparecerá» [1, 8]. Ya se ve en las cifras: margen EBITDA subyacente del 19,0 % al 17,9 % en 2025 y del 18,3 % al 17,8 % en el 1S26, e ingresos por empleado planos en ≈ 153.000 EUR: la productividad se devuelve al cliente [1, 2, 9]. Aparece un coste nuevo, los «tokens» de los modelos [9]. Lo que SUMA: la IA es hoy el mayor motor de crecimiento según la dirección (mercado de IA en Italia +47,6 % en 2025 [13]); Reply tiene ofertas propias (Silicon Shoring con agentes de Claude y GitHub, Model Factory) y alianzas con OpenAI, Anthropic y AWS [9]; el 82 % de Region 1 (sobre todo Italia) es a precio fijo, así que puede quedarse parte del ahorro; y la IA sustituye primero a los subcontratistas (del 19,2 % al 17 % de las ventas), no a la plantilla [9]. Balance: hasta ahora la IA suma volumen (+7 % orgánico en el 1S26) y resta precio y margen. Lo modelamos como precio −1 punto al año en 2026-2027 y margen plano en el base, y como −4 puntos de crecimiento y −1,5 de margen en el bajista. Señal de que gana la resta: crecimiento orgánico por debajo del 5 % o margen subyacente por debajo del 17 %.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en una consultora es el talento (17.297 empleados; personal = 56 % de las ventas; rotación y formación en IA), la seguridad de los datos de clientes (banca, sector público, defensa) y el uso responsable de la IA que construye para terceros (Reglamento de IA de la UE): Reply tiene un comité de ética de la IA en el consejo [1, 18]. Las emisiones son bajas (oficinas, viajes y centros de datos de terceros). En gobierno, lo material es el control de la familia con voto aumentado y la remuneración [18, 20].</w:t>
      </w:r>
    </w:p>
    <w:p>
      <w:pPr>
        <w:pStyle w:val="Heading2"/>
      </w:pPr>
      <w:r>
        <w:t xml:space="preserve">Controversias</w:t>
      </w:r>
    </w:p>
    <w:p>
      <w:pPr>
        <w:spacing w:after="100"/>
      </w:pPr>
      <w:r>
        <w:t xml:space="preserve">Investigación de la Fiscalía de Milán por fraude informático (servicios de valor añadido de TIM, 2017-2019) con secuestro preventivo a Reply S.p.A.; provisión de 2,9 M EUR y sin responsabilidad administrativa (231/2001) imputada [1, 22]. Demanda de responsabilidad profesional cerrada en 2025 con un acuerdo de 15 M cubierto por el seguro [1]. Rechazo de la política de remuneración por ≈ 91 % del capital libre presente en la junta de 2026 [20].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bajó la tarifa media por hora en 2025 y en el 1S26, y qué parte de los ingresos de proyectos de IA sustituye a contratos antiguos de mantenimiento y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crecimiento nuevo del que canibaliza: es el escenario bajista (−26 %).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Tiempo y materiales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pasan a precio fijo los contratos de Alemania y Reino Unido (55 % y 52 % en T&amp;M)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productividad de la IA se queda en Reply o en el cliente.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subyacente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el margen EBITDA subyacente del 19,0 % al 17,9 % en 2025 y qué parte es estructural?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son ≈ 0,5 EUR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usará la autorización hasta octubre de 2027 y con qué criterio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550 M de autorización y caja neta, puede subir el BPA un 5-10 %.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fundador como presidente y consejero delegado, y quién encabeza la lista para el consejo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depende de la familia; el capital libre rechaza la remuneración.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Region 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rentabilidad tienen las compras de Reino Unido y Francia tras el deterioro de 19 M y el ajuste de Solirius?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donde va el capital de las compras.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36 (18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25,8 % frente a un ROIC de 22,8 % y un incremental histórico de 21,1 %: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28,4 % real: genera una variación de circulante de 47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(solo ingresos, EBITDA, EBIT y BAI); 2) Yahoo (sin estimaciones trimestrales); 3) prensa (Equita/Intermonte: «por encima de lo esperado» sin cifra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comentario de los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servicios de TI en Alemania y Reino Unido y CR5 de Italia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Bitkom y TechUK (sin cifra gratuita de servicios); 2) Gartner (solo total mundial); 3) Anitec-Assinform (sin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Italia como perímetro y la cuota es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 (internal dealing)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Reply, sección internal dealing (no abre); 2) eMarket Storage (sin listado navegable); 3) prensa (ninguna noticia de compras o ventas de los Rizzante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insiders_sin_operaciones = false (no comprobado)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las juntas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junta (solo el acta de 2026 a mano); 2) informe de gobierno;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2026 y 2027); 2) MarketScreener (no abre sin sesión); 3) Simply Wall St (solo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caída de junio de 2026 (−15,6 % en el mes)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Reply de junio; 2) Teleborsa y Milano Finanza; 3) titulares de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explica como caída del sector, sin causa concreta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sentimiento de foros y redes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(REY.MI 404; RPYTF sin mensajes); 2) Reddit (403); 3) Seeking Alpha (solo titulares de transcripciones) y FinanzaOnline (sin hilos)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Relazione finanziaria annuale 2025 (ESEF): cuentas consolidadas, segmentos (Region 1-3), contratos a precio fijo, deuda, earn-out, litigios y secuestro preventivo,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Reply S.p.A.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https://filings.xbrl.org/815600DAEFB0388F3521/2025-12-31/ESEF/IT/0/815600DAEFB0388F3521-2025-12-31-1-it/reports/815600DAEFB0388F3521-2025-12-31-1-it.html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Financial Report at 30 June 2026 (cuenta del semestre y del 2T, balance, acciones propias, earn-out, TFR)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https://www.reply.com/contents/Half_year_Financial_Report_2026.pdf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2024 (cuentas 2024 y 2023, compra de Solirius,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https://www.reply.com/contents/REP25_Bilancio_ENG_2024.pdf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2023 (ESEF): cuentas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https://filings.xbrl.org/815600DAEFB0388F3521/2023-12-31/ESEF/IT/0/815600DAEFB0388F3521-2023-12-31-it/reports/815600DAEFB0388F3521-2023-12-31-it.html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Reports 2021 y 2019 (cuentas 2019-2021, BPA y dividendos tras el desdoblamiento de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https://www.reply.com/contents/2021_REPLY_Annual_Report_EN.pdf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ESEF de Reply 2020-2025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https://filings.xbrl.org/815600DAEFB0388F3521/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Management Reports at 30 September 2025 y at 31 March 2026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https://dam-media.reply.com/contents/Interim_Management_Report_at_31_March_2026-1.pdf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2025 Earnings Call: transcripción y material del director financiero (presión de tarifas, IA, T&amp;M)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https://www.reply.com/contents/Fourth_Quarter_2025_Earnings_Call_Supporting_Materials.zip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Earnings Call 2026 Q1 y Q2: transcripciones (tarifas, productividad, contratistas, clientes, FedTec)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https://www.reply.com/contents/Reply_Earnings_Call_2026_Q2_transcript.pdf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Comunicato stampa: il CdA approva il progetto di bilancio 2025 (12-mar-2026)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https://www.emarketstorage.it/sites/default/files/comunicati/2026-03/20260312_178698.pdf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avvio del programma di acquisto di azioni proprie (fino a 3.607.950 azioni / 550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https://www.reply.com/it/newsroom/financial-news/reply-launch-of-a-share-buyback-program-for-a-maximum-number-of-3607950-shares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Intermonte alza target price con crescita più sostenuta e acquisizione negli USA (FedTec)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https://www.teleborsa.it/AMP/News/2026/07/31/reply-intermonte-alza-target-price-con-crescita-piu-sostenuta-e-acquisizione-negli-usa-167.html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Anitec-Assinform: nel 2025 il mercato digitale in Italia raggiunge 84,4 miliardi (servicios ICT 18,8 mil M, +8,1 %; IA +47,6 %; previsión 2026-2029 +3,6 %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Affaritaliani (Anitec-Assinform)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https://www.affaritaliani.it/distretto-italia/anitec-assinform-nel-2025-il-mercato-digitale-in-italia-raggiunge-844-miliardi-ecosistema-ict-con-oltre-132mila-imprese-e-piu-di-638mila-addetti.html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Estimates Worldwide IT Spending at $6.31T for 2026 (servicios de TI ≈ 1,87 billones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Campus Technology (Gartner)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https://campustechnology.com/articles/2026/05/20/gartner-estimates-worldwide-it-spending-at-6-31t-for-2026.aspx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márgenes, crecimiento, caja y deuda;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doppio taglio del target price: Berenberg ed Equita abbassano le stime, colpa dell’AI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https://www.milanofinanza.it/news/reply-doppio-taglio-del-target-price-berenberg-e-equita-abbassano-le-stime-colpa-dell-ai-202511171131106771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Titoli IT indiani in calo, crescono i timori per il nuovo strumento di IA di Anthropic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https://forbes.it/2026/02/04/titoli-it-indiani-in-calo-crescono-i-timori-per-il-nuovo-strumento-di-ia-di-anthropic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Corporate Governance and Ownership Structure 2025 (consejo, comisiones, voto aumentado,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https://www.reply.com/contents/REPLY_Relazione_Governo_Societario_2025_ENG.pdf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Remuneration Policy and Compensation Paid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https://www.reply.com/contents/REPLY_Relazione_Remunerazione_e_Compensi_2025_ENG.pdf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Concise report of voting on the agenda, junta del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https://www.reply.com/contents/Concise_Report_of_voting_on_Agenda_EN.pdf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Relazioni illustrative del CdA alla junta de 2026 (autorización de recompra, política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https://www.reply.com/contents/REPLY_Relazioni_Illustrative_Consiglio_Amministrazione_2026_ENG.pdf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 e il caso del sequestro dei 250 milioni dopo 5 anni dai fatti (servicios de valor añadido; Reply entre los proveedores)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Corriere Comunicazioni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https://www.corrierecomunicazioni.it/telco/tim-e-il-caso-del-sequestro-dei-250-milioni-dopo-5-anni-dai-fatti/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REY.MI, FTSE MIB y STOXX Europe 600 Technology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https://finance.yahoo.com/quote/REY.MI/history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REY.MI y comparables (BPA y ventas 2026-2027, objetivos, recomendaciones; precio de la sesión del 21-oct a las 10:34 UTC):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https://finance.yahoo.com/quote/REY.MI/analysis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 interim results: here’s what analysts are forecasting (11 analistas; ventas 2026 2.710 M; BPA 7,53; objetivo 153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https://simplywall.st/stocks/it/software/bit-rey/reply-shares/news/reply-spa-bitrey-interim-results-heres-what-analysts-are-for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Equita alza target price (130 EUR) con risultati sopra le attese e outlook incoraggiante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https://www.teleborsa.it/AMP/News/2026/07/31/reply-equita-alza-target-price-con-risultati-sopra-le-attese-e-outlook-incoraggiante-111.html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Deutsche Bank e Intesa Sanpaolo confermano Buy (140 y 155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https://www.teleborsa.it/AMP/News/2026/08/03/reply-deutsche-bank-e-intesa-sanpaolo-confermano-buy-183.html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(3,44 % el 21-oct-2026) y curva AAA del BCE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https://api.statistiken.bundesbank.de/rest/data/BBSIS/D.I.ZAR.ZI.EUR.S1311.B.A604.R10XX.R.A.A._Z._Z.A?lastNObservations=5&amp;format=csv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cerca il riscatto (la acción en ≈ 97 EUR sin motivo concreto)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https://www.milanofinanza.it/news/reply-cerca-il-riscatto-2693874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Piazza Affari è scattato un segnale rialzista da +50 %: occhio al rally di Reply (−54 % de marzo de 2025 a marzo de 2026; la recompra como giro)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https://www.money.it/a-piazza-affari-e-scattato-un-segnale-rialzista-da-50-occhio-al-rally-di-reply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Mercati del Vecchio Continente chiudono all’insegna della cautela; titoli tech guardano ad Anthropic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https://www.teleborsa.it/DettaglioNews/225_2026-09-29_TLB/Mercati-del-Vecchio-Continente-chiudono-allinsegna-della-cauta-Titoli-tech-guardano-ad-Anthropic.html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and events (3T26 el 12-nov-2026)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https://www.reply.com/en/investors/financial-calendar-and-events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Reply (RSS de RPYTF,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https://seekingalpha.com/api/sa/combined/RPYTF.xml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(1,1215 USD por EUR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EBITDA subyacente, BPA por escenario, PER adelantado, voto libre en la junta, cuota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(notas/propio.mjs)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informes/reply-2026-10-21/notas/propio.mjs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sentimiento</w:t>
      </w:r>
      <w:r>
        <w:t xml:space="preserve"> · Generado el 21 oct 2026.</w:t>
      </w:r>
    </w:p>
    <w:p>
      <w:pPr>
        <w:pStyle w:val="Nota"/>
        <w:spacing w:after="100"/>
      </w:pPr>
      <w:r>
        <w:t xml:space="preserve">Cifras en millones de EUR, ejercicio a 31 de diciembre. Último ejercicio auditado: 2025 (ESEF, aprobado el 12-mar-2026); último dato publicado: el semestral a 30-jun-2026 (30-jul). El 3T26 sale el 12-nov-2026. Ingresos NIIF (sin las subvenciones que la empresa suma a sus «ingresos de gestión» desde el 3T25). El EBITDA es el de la empresa; el ajuste de valor razonable de los earn-out va al resultado financiero. Precio: cierre del 20-oct-2026 (128,30 EUR); la sesión del 21-oct estaba abierta (129,20 EUR a las 10:34 UTC [24]) y la decisión se comprueba con el precio del día en las pruebas de robustez. El BPA de la regla a 12 meses es el publicado (no hay ajustado) y el PER actual usa el BPA de los próximos 12 meses (2,3 meses de 2026e y 9,7 de 2027e). Acciones: 36,33 M a 30-jul-2026, sin más recompras; la recompra pagada entre julio y octubre y el precio de FedTec (julio) no se conocen: cada 1 M EUR son ≈ 0,03 EUR por acción. Sin consenso de 2028 ni de EBITDA. Sentimiento de foros: sin datos (Reddit, Stocktwits y Seeking Alpha no dan debate de Reply).</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Reply S.p.A. (REY)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(76,65 – 130,80)</c:v>
                </c:pt>
                <c:pt idx="1">
                  <c:v>Precio objetivo de los analistas (121,00 – 195,00)</c:v>
                </c:pt>
                <c:pt idx="2">
                  <c:v>Comparables: PER NTM (76,46 – 107,00)</c:v>
                </c:pt>
                <c:pt idx="3">
                  <c:v>DCF (WACC y g ± 0,5) (116,64 – 150,31)</c:v>
                </c:pt>
                <c:pt idx="4">
                  <c:v>Escenarios (bajista – alcista) (95,10 – 141,33)</c:v>
                </c:pt>
                <c:pt idx="5">
                  <c:v>DCF con la prima implícita del mercado (4,2 %)</c:v>
                </c:pt>
                <c:pt idx="6">
                  <c:v>Precio actual (128,30)</c:v>
                </c:pt>
              </c:strCache>
            </c:strRef>
          </c:cat>
          <c:val>
            <c:numRef>
              <c:f>Hoja1!$B$2:$B$8</c:f>
              <c:numCache>
                <c:formatCode>#,##0</c:formatCode>
                <c:ptCount val="7"/>
                <c:pt idx="0">
                  <c:v>76.65</c:v>
                </c:pt>
                <c:pt idx="1">
                  <c:v>121</c:v>
                </c:pt>
                <c:pt idx="2">
                  <c:v>76.46</c:v>
                </c:pt>
                <c:pt idx="3">
                  <c:v>116.64</c:v>
                </c:pt>
                <c:pt idx="4">
                  <c:v>95.1</c:v>
                </c:pt>
                <c:pt idx="5">
                  <c:v>144.39</c:v>
                </c:pt>
                <c:pt idx="6">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(76,65 – 130,80)</c:v>
                </c:pt>
                <c:pt idx="1">
                  <c:v>Precio objetivo de los analistas (121,00 – 195,00)</c:v>
                </c:pt>
                <c:pt idx="2">
                  <c:v>Comparables: PER NTM (76,46 – 107,00)</c:v>
                </c:pt>
                <c:pt idx="3">
                  <c:v>DCF (WACC y g ± 0,5) (116,64 – 150,31)</c:v>
                </c:pt>
                <c:pt idx="4">
                  <c:v>Escenarios (bajista – alcista) (95,10 – 141,33)</c:v>
                </c:pt>
                <c:pt idx="5">
                  <c:v>DCF con la prima implícita del mercado (4,2 %)</c:v>
                </c:pt>
                <c:pt idx="6">
                  <c:v>Precio actual (128,30)</c:v>
                </c:pt>
              </c:strCache>
            </c:strRef>
          </c:cat>
          <c:val>
            <c:numRef>
              <c:f>Hoja1!$C$2:$C$8</c:f>
              <c:numCache>
                <c:formatCode>#,##0</c:formatCode>
                <c:ptCount val="7"/>
                <c:pt idx="0">
                  <c:v>54.150000000000006</c:v>
                </c:pt>
                <c:pt idx="1">
                  <c:v>74</c:v>
                </c:pt>
                <c:pt idx="2">
                  <c:v>30.540000000000006</c:v>
                </c:pt>
                <c:pt idx="3">
                  <c:v>33.67</c:v>
                </c:pt>
                <c:pt idx="4">
                  <c:v>46.23000000000002</c:v>
                </c:pt>
                <c:pt idx="5">
                  <c:v>28.610000000000014</c:v>
                </c:pt>
                <c:pt idx="6">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Region 1 (Italia, EE. UU., Brasil y otros)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1341.2</c:v>
                </c:pt>
                <c:pt idx="1">
                  <c:v>1478.4</c:v>
                </c:pt>
                <c:pt idx="2">
                  <c:v>1594.1</c:v>
                </c:pt>
              </c:numCache>
            </c:numRef>
          </c:val>
        </c:ser>
        <c:ser>
          <c:idx val="1"/>
          <c:order val="1"/>
          <c:tx>
            <c:strRef>
              <c:f>Hoja1!$C$1</c:f>
              <c:strCache>
                <c:ptCount val="1"/>
                <c:pt idx="0">
                  <c:v>Region 2 (Alemania, Polonia y otros)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428.6</c:v>
                </c:pt>
                <c:pt idx="1">
                  <c:v>469.7</c:v>
                </c:pt>
                <c:pt idx="2">
                  <c:v>473.6</c:v>
                </c:pt>
              </c:numCache>
            </c:numRef>
          </c:val>
        </c:ser>
        <c:ser>
          <c:idx val="2"/>
          <c:order val="2"/>
          <c:tx>
            <c:strRef>
              <c:f>Hoja1!$D$1</c:f>
              <c:strCache>
                <c:ptCount val="1"/>
                <c:pt idx="0">
                  <c:v>Region 3 (Reino Unido, Francia, Benelux y otros)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388.7</c:v>
                </c:pt>
                <c:pt idx="1">
                  <c:v>416.9</c:v>
                </c:pt>
                <c:pt idx="2">
                  <c:v>486.6</c:v>
                </c:pt>
              </c:numCache>
            </c:numRef>
          </c:val>
        </c:ser>
        <c:ser>
          <c:idx val="3"/>
          <c:order val="3"/>
          <c:tx>
            <c:strRef>
              <c:f>Hoja1!$E$1</c:f>
              <c:strCache>
                <c:ptCount val="1"/>
                <c:pt idx="0">
                  <c:v>Eliminaciones y subvenciones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-40.5</c:v>
                </c:pt>
                <c:pt idx="1">
                  <c:v>-69.1</c:v>
                </c:pt>
                <c:pt idx="2">
                  <c:v>-104.3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Region 1 (Italia, EE. UU., Brasil y otros)</c:v>
                </c:pt>
                <c:pt idx="1">
                  <c:v>Region 2 (Alemania, Polonia y otros)</c:v>
                </c:pt>
                <c:pt idx="2">
                  <c:v>Region 3 (Reino Unido, Francia, Benelux y otros)</c:v>
                </c:pt>
                <c:pt idx="3">
                  <c:v>Eliminaciones y subvenciones</c:v>
                </c:pt>
              </c:strCache>
            </c:strRef>
          </c:cat>
          <c:val>
            <c:numRef>
              <c:f>Hoja1!$B$2:$B$5</c:f>
              <c:numCache>
                <c:formatCode>General</c:formatCode>
                <c:ptCount val="4"/>
                <c:pt idx="0">
                  <c:v>65.1</c:v>
                </c:pt>
                <c:pt idx="1">
                  <c:v>19.3</c:v>
                </c:pt>
                <c:pt idx="2">
                  <c:v>19.9</c:v>
                </c:pt>
                <c:pt idx="3">
                  <c:v>-4.3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Italia</c:v>
                </c:pt>
                <c:pt idx="1">
                  <c:v>Alemania</c:v>
                </c:pt>
                <c:pt idx="2">
                  <c:v>Reino Unido</c:v>
                </c:pt>
                <c:pt idx="3">
                  <c:v>EE. UU.</c:v>
                </c:pt>
                <c:pt idx="4">
                  <c:v>Francia</c:v>
                </c:pt>
                <c:pt idx="5">
                  <c:v>Luxemburgo</c:v>
                </c:pt>
                <c:pt idx="6">
                  <c:v>Resto</c:v>
                </c:pt>
              </c:strCache>
            </c:strRef>
          </c:cat>
          <c:val>
            <c:numRef>
              <c:f>Hoja1!$B$2:$B$8</c:f>
              <c:numCache>
                <c:formatCode>0"%"</c:formatCode>
                <c:ptCount val="7"/>
                <c:pt idx="0">
                  <c:v>49.4</c:v>
                </c:pt>
                <c:pt idx="1">
                  <c:v>17</c:v>
                </c:pt>
                <c:pt idx="2">
                  <c:v>13</c:v>
                </c:pt>
                <c:pt idx="3">
                  <c:v>8.1</c:v>
                </c:pt>
                <c:pt idx="4">
                  <c:v>4</c:v>
                </c:pt>
                <c:pt idx="5">
                  <c:v>2</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(servicios ICT en Italia, Anitec-Assinform; 2024 deducido del crecimiento del 8,1 %))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17391</c:v>
                </c:pt>
                <c:pt idx="1">
                  <c:v>18800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Reply</c:v>
                </c:pt>
                <c:pt idx="1">
                  <c:v>Accenture</c:v>
                </c:pt>
                <c:pt idx="2">
                  <c:v>Capgemini</c:v>
                </c:pt>
                <c:pt idx="3">
                  <c:v>Sopra Steria</c:v>
                </c:pt>
                <c:pt idx="4">
                  <c:v>Engineering Ingegneria Informatica (privada)</c:v>
                </c:pt>
                <c:pt idx="5">
                  <c:v>Sesa</c:v>
                </c:pt>
                <c:pt idx="6">
                  <c:v>adesso</c:v>
                </c:pt>
                <c:pt idx="7">
                  <c:v>EPAM Systems</c:v>
                </c:pt>
              </c:strCache>
            </c:strRef>
          </c:cat>
          <c:val>
            <c:numRef>
              <c:f>Hoja1!$B$2:$B$9</c:f>
              <c:numCache>
                <c:formatCode>0.0"%"</c:formatCode>
                <c:ptCount val="8"/>
                <c:pt idx="0">
                  <c:v>14.3</c:v>
                </c:pt>
                <c:pt idx="1">
                  <c:v>17.8</c:v>
                </c:pt>
                <c:pt idx="2">
                  <c:v>10.5</c:v>
                </c:pt>
                <c:pt idx="3">
                  <c:v>8.5</c:v>
                </c:pt>
                <c:pt idx="5">
                  <c:v>4.1</c:v>
                </c:pt>
                <c:pt idx="6">
                  <c:v>-0.8</c:v>
                </c:pt>
                <c:pt idx="7">
                  <c:v>10.9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1250.2</c:v>
                </c:pt>
                <c:pt idx="1">
                  <c:v>1483.8</c:v>
                </c:pt>
                <c:pt idx="2">
                  <c:v>1891.1</c:v>
                </c:pt>
                <c:pt idx="3">
                  <c:v>2118</c:v>
                </c:pt>
                <c:pt idx="4">
                  <c:v>2295.9</c:v>
                </c:pt>
                <c:pt idx="5">
                  <c:v>2450</c:v>
                </c:pt>
                <c:pt idx="6">
                  <c:v>2653</c:v>
                </c:pt>
                <c:pt idx="7">
                  <c:v>2852</c:v>
                </c:pt>
                <c:pt idx="8">
                  <c:v>3052</c:v>
                </c:pt>
                <c:pt idx="9">
                  <c:v>3250</c:v>
                </c:pt>
                <c:pt idx="10">
                  <c:v>3445</c:v>
                </c:pt>
                <c:pt idx="11">
                  <c:v>3618</c:v>
                </c:pt>
                <c:pt idx="12">
                  <c:v>3762</c:v>
                </c:pt>
                <c:pt idx="13">
                  <c:v>3875</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207.9</c:v>
                </c:pt>
                <c:pt idx="1">
                  <c:v>262.8</c:v>
                </c:pt>
                <c:pt idx="2">
                  <c:v>340.3</c:v>
                </c:pt>
                <c:pt idx="3">
                  <c:v>352.1</c:v>
                </c:pt>
                <c:pt idx="4">
                  <c:v>435.8</c:v>
                </c:pt>
                <c:pt idx="5">
                  <c:v>438.6</c:v>
                </c:pt>
                <c:pt idx="6">
                  <c:v>486</c:v>
                </c:pt>
                <c:pt idx="7">
                  <c:v>522</c:v>
                </c:pt>
                <c:pt idx="8">
                  <c:v>559</c:v>
                </c:pt>
                <c:pt idx="9">
                  <c:v>595</c:v>
                </c:pt>
                <c:pt idx="10">
                  <c:v>631</c:v>
                </c:pt>
                <c:pt idx="11">
                  <c:v>662</c:v>
                </c:pt>
                <c:pt idx="12">
                  <c:v>689</c:v>
                </c:pt>
                <c:pt idx="13">
                  <c:v>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98.3</c:v>
                </c:pt>
                <c:pt idx="1">
                  <c:v>98.6</c:v>
                </c:pt>
                <c:pt idx="2">
                  <c:v>98.6</c:v>
                </c:pt>
                <c:pt idx="3">
                  <c:v>98.6</c:v>
                </c:pt>
                <c:pt idx="4">
                  <c:v>98</c:v>
                </c:pt>
                <c:pt idx="5">
                  <c:v>98.1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16.6</c:v>
                </c:pt>
                <c:pt idx="1">
                  <c:v>17.7</c:v>
                </c:pt>
                <c:pt idx="2">
                  <c:v>18</c:v>
                </c:pt>
                <c:pt idx="3">
                  <c:v>16.6</c:v>
                </c:pt>
                <c:pt idx="4">
                  <c:v>19</c:v>
                </c:pt>
                <c:pt idx="5">
                  <c:v>17.9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13.2</c:v>
                </c:pt>
                <c:pt idx="1">
                  <c:v>14.4</c:v>
                </c:pt>
                <c:pt idx="2">
                  <c:v>14.9</c:v>
                </c:pt>
                <c:pt idx="3">
                  <c:v>13.1</c:v>
                </c:pt>
                <c:pt idx="4">
                  <c:v>15.3</c:v>
                </c:pt>
                <c:pt idx="5">
                  <c:v>14.3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9.9</c:v>
                </c:pt>
                <c:pt idx="1">
                  <c:v>10.2</c:v>
                </c:pt>
                <c:pt idx="2">
                  <c:v>10.1</c:v>
                </c:pt>
                <c:pt idx="3">
                  <c:v>8.8</c:v>
                </c:pt>
                <c:pt idx="4">
                  <c:v>9.2</c:v>
                </c:pt>
                <c:pt idx="5">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8.1</c:v>
                </c:pt>
                <c:pt idx="5">
                  <c:v>5.2</c:v>
                </c:pt>
                <c:pt idx="6">
                  <c:v>6.2</c:v>
                </c:pt>
                <c:pt idx="7">
                  <c:v>8.7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6.6</c:v>
                </c:pt>
                <c:pt idx="7">
                  <c:v>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101</c:v>
                </c:pt>
                <c:pt idx="1">
                  <c:v>116</c:v>
                </c:pt>
                <c:pt idx="2">
                  <c:v>127</c:v>
                </c:pt>
                <c:pt idx="3">
                  <c:v>127</c:v>
                </c:pt>
                <c:pt idx="4">
                  <c:v>120</c:v>
                </c:pt>
                <c:pt idx="5">
                  <c:v>118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40</c:v>
                </c:pt>
                <c:pt idx="1">
                  <c:v>42</c:v>
                </c:pt>
                <c:pt idx="2">
                  <c:v>40</c:v>
                </c:pt>
                <c:pt idx="3">
                  <c:v>39</c:v>
                </c:pt>
                <c:pt idx="4">
                  <c:v>36</c:v>
                </c:pt>
                <c:pt idx="5">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186.1</c:v>
                </c:pt>
                <c:pt idx="1">
                  <c:v>140.5</c:v>
                </c:pt>
                <c:pt idx="2">
                  <c:v>112.50000000000001</c:v>
                </c:pt>
                <c:pt idx="3">
                  <c:v>187</c:v>
                </c:pt>
                <c:pt idx="4">
                  <c:v>260.29999999999995</c:v>
                </c:pt>
                <c:pt idx="5">
                  <c:v>243.90000000000003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123.6</c:v>
                </c:pt>
                <c:pt idx="1">
                  <c:v>150.7</c:v>
                </c:pt>
                <c:pt idx="2">
                  <c:v>191</c:v>
                </c:pt>
                <c:pt idx="3">
                  <c:v>186.7</c:v>
                </c:pt>
                <c:pt idx="4">
                  <c:v>211.1</c:v>
                </c:pt>
                <c:pt idx="5">
                  <c:v>250.9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24.6</c:v>
                </c:pt>
                <c:pt idx="1">
                  <c:v>26.5</c:v>
                </c:pt>
                <c:pt idx="2">
                  <c:v>26</c:v>
                </c:pt>
                <c:pt idx="3">
                  <c:v>20.7</c:v>
                </c:pt>
                <c:pt idx="4">
                  <c:v>24.6</c:v>
                </c:pt>
                <c:pt idx="5">
                  <c:v>22.8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8.6</c:v>
                </c:pt>
                <c:pt idx="1">
                  <c:v>8.6</c:v>
                </c:pt>
                <c:pt idx="2">
                  <c:v>8.6</c:v>
                </c:pt>
                <c:pt idx="3">
                  <c:v>8.6</c:v>
                </c:pt>
                <c:pt idx="4">
                  <c:v>8.6</c:v>
                </c:pt>
                <c:pt idx="5">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18.3</c:v>
                </c:pt>
                <c:pt idx="1">
                  <c:v>20.3</c:v>
                </c:pt>
                <c:pt idx="2">
                  <c:v>21.4</c:v>
                </c:pt>
                <c:pt idx="3">
                  <c:v>17.9</c:v>
                </c:pt>
                <c:pt idx="4">
                  <c:v>17.5</c:v>
                </c:pt>
                <c:pt idx="5">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-0.77</c:v>
                </c:pt>
                <c:pt idx="1">
                  <c:v>-0.67</c:v>
                </c:pt>
                <c:pt idx="2">
                  <c:v>-0.18</c:v>
                </c:pt>
                <c:pt idx="3">
                  <c:v>-0.49</c:v>
                </c:pt>
                <c:pt idx="4">
                  <c:v>-0.7</c:v>
                </c:pt>
                <c:pt idx="5">
                  <c:v>-0.91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2026-2027 (corto plazo)</c:v>
                </c:pt>
                <c:pt idx="1">
                  <c:v>2028-2031</c:v>
                </c:pt>
              </c:strCache>
            </c:strRef>
          </c:cat>
          <c:val>
            <c:numRef>
              <c:f>Hoja1!$B$2:$B$3</c:f>
              <c:numCache>
                <c:formatCode>#,##0</c:formatCode>
                <c:ptCount val="2"/>
                <c:pt idx="0">
                  <c:v>11.9</c:v>
                </c:pt>
                <c:pt idx="1">
                  <c:v>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57.2</c:v>
                </c:pt>
                <c:pt idx="1">
                  <c:v>93.2</c:v>
                </c:pt>
                <c:pt idx="2">
                  <c:v>190</c:v>
                </c:pt>
                <c:pt idx="3">
                  <c:v>10.9</c:v>
                </c:pt>
                <c:pt idx="4">
                  <c:v>89</c:v>
                </c:pt>
                <c:pt idx="5">
                  <c:v>68.8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20.9</c:v>
                </c:pt>
                <c:pt idx="1">
                  <c:v>21.6</c:v>
                </c:pt>
                <c:pt idx="2">
                  <c:v>30.6</c:v>
                </c:pt>
                <c:pt idx="3">
                  <c:v>38.4</c:v>
                </c:pt>
                <c:pt idx="4">
                  <c:v>39.3</c:v>
                </c:pt>
                <c:pt idx="5">
                  <c:v>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7.2</c:v>
                </c:pt>
                <c:pt idx="2">
                  <c:v>9.9</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5</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Alika S.r.l. (familia Rizzante; Iceberg tiene el 51 %)</c:v>
                </c:pt>
                <c:pt idx="1">
                  <c:v>Smallcap World Fund (Capital Group)</c:v>
                </c:pt>
                <c:pt idx="2">
                  <c:v>Acciones propias</c:v>
                </c:pt>
                <c:pt idx="3">
                  <c:v>Capital flotante</c:v>
                </c:pt>
              </c:strCache>
            </c:strRef>
          </c:cat>
          <c:val>
            <c:numRef>
              <c:f>Hoja1!$B$2:$B$5</c:f>
              <c:numCache>
                <c:formatCode>0.0"%"</c:formatCode>
                <c:ptCount val="4"/>
                <c:pt idx="0">
                  <c:v>37.08</c:v>
                </c:pt>
                <c:pt idx="1">
                  <c:v>3.1</c:v>
                </c:pt>
                <c:pt idx="2">
                  <c:v>2.9</c:v>
                </c:pt>
                <c:pt idx="3">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c:v>
                </c:pt>
                <c:pt idx="1">
                  <c:v>57.6</c:v>
                </c:pt>
                <c:pt idx="2">
                  <c:v>-3.9</c:v>
                </c:pt>
                <c:pt idx="3">
                  <c:v>58.8</c:v>
                </c:pt>
                <c:pt idx="4">
                  <c:v>38.3</c:v>
                </c:pt>
                <c:pt idx="5">
                  <c:v>88.4</c:v>
                </c:pt>
                <c:pt idx="6">
                  <c:v>-39.7</c:v>
                </c:pt>
                <c:pt idx="7">
                  <c:v>12.7</c:v>
                </c:pt>
                <c:pt idx="8">
                  <c:v>29.3</c:v>
                </c:pt>
                <c:pt idx="9">
                  <c:v>-24.7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16.4</c:v>
                </c:pt>
                <c:pt idx="1">
                  <c:v>24.8</c:v>
                </c:pt>
                <c:pt idx="2">
                  <c:v>11.5</c:v>
                </c:pt>
                <c:pt idx="3">
                  <c:v>12.2</c:v>
                </c:pt>
                <c:pt idx="4">
                  <c:v>12.5</c:v>
                </c:pt>
                <c:pt idx="5">
                  <c:v>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12.4</c:v>
                </c:pt>
                <c:pt idx="1">
                  <c:v>12.4</c:v>
                </c:pt>
                <c:pt idx="2">
                  <c:v>12.4</c:v>
                </c:pt>
                <c:pt idx="3">
                  <c:v>12.4</c:v>
                </c:pt>
                <c:pt idx="4">
                  <c:v>12.4</c:v>
                </c:pt>
                <c:pt idx="5">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194</c:v>
                </c:pt>
                <c:pt idx="1">
                  <c:v>204</c:v>
                </c:pt>
                <c:pt idx="2">
                  <c:v>225</c:v>
                </c:pt>
                <c:pt idx="3">
                  <c:v>250</c:v>
                </c:pt>
                <c:pt idx="4">
                  <c:v>276</c:v>
                </c:pt>
                <c:pt idx="5">
                  <c:v>306</c:v>
                </c:pt>
                <c:pt idx="6">
                  <c:v>336</c:v>
                </c:pt>
                <c:pt idx="7">
                  <c:v>360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1452</c:v>
                </c:pt>
                <c:pt idx="1">
                  <c:v>3043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95.1</c:v>
                </c:pt>
                <c:pt idx="1">
                  <c:v>130.97</c:v>
                </c:pt>
                <c:pt idx="2">
                  <c:v>141.33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(76,65 – 130,80)</c:v>
                </c:pt>
                <c:pt idx="1">
                  <c:v>Precio objetivo de los analistas (121,00 – 195,00)</c:v>
                </c:pt>
                <c:pt idx="2">
                  <c:v>Comparables: PER NTM (76,46 – 107,00)</c:v>
                </c:pt>
                <c:pt idx="3">
                  <c:v>DCF (WACC y g ± 0,5) (116,64 – 150,31)</c:v>
                </c:pt>
                <c:pt idx="4">
                  <c:v>Escenarios (bajista – alcista) (95,10 – 141,33)</c:v>
                </c:pt>
                <c:pt idx="5">
                  <c:v>DCF con la prima implícita del mercado (4,2 %)</c:v>
                </c:pt>
                <c:pt idx="6">
                  <c:v>Precio actual (128,30)</c:v>
                </c:pt>
              </c:strCache>
            </c:strRef>
          </c:cat>
          <c:val>
            <c:numRef>
              <c:f>Hoja1!$B$2:$B$8</c:f>
              <c:numCache>
                <c:formatCode>#,##0</c:formatCode>
                <c:ptCount val="7"/>
                <c:pt idx="0">
                  <c:v>76.65</c:v>
                </c:pt>
                <c:pt idx="1">
                  <c:v>121</c:v>
                </c:pt>
                <c:pt idx="2">
                  <c:v>76.46</c:v>
                </c:pt>
                <c:pt idx="3">
                  <c:v>116.64</c:v>
                </c:pt>
                <c:pt idx="4">
                  <c:v>95.1</c:v>
                </c:pt>
                <c:pt idx="5">
                  <c:v>144.39</c:v>
                </c:pt>
                <c:pt idx="6">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(76,65 – 130,80)</c:v>
                </c:pt>
                <c:pt idx="1">
                  <c:v>Precio objetivo de los analistas (121,00 – 195,00)</c:v>
                </c:pt>
                <c:pt idx="2">
                  <c:v>Comparables: PER NTM (76,46 – 107,00)</c:v>
                </c:pt>
                <c:pt idx="3">
                  <c:v>DCF (WACC y g ± 0,5) (116,64 – 150,31)</c:v>
                </c:pt>
                <c:pt idx="4">
                  <c:v>Escenarios (bajista – alcista) (95,10 – 141,33)</c:v>
                </c:pt>
                <c:pt idx="5">
                  <c:v>DCF con la prima implícita del mercado (4,2 %)</c:v>
                </c:pt>
                <c:pt idx="6">
                  <c:v>Precio actual (128,30)</c:v>
                </c:pt>
              </c:strCache>
            </c:strRef>
          </c:cat>
          <c:val>
            <c:numRef>
              <c:f>Hoja1!$C$2:$C$8</c:f>
              <c:numCache>
                <c:formatCode>#,##0</c:formatCode>
                <c:ptCount val="7"/>
                <c:pt idx="0">
                  <c:v>54.150000000000006</c:v>
                </c:pt>
                <c:pt idx="1">
                  <c:v>74</c:v>
                </c:pt>
                <c:pt idx="2">
                  <c:v>30.540000000000006</c:v>
                </c:pt>
                <c:pt idx="3">
                  <c:v>33.67</c:v>
                </c:pt>
                <c:pt idx="4">
                  <c:v>46.23000000000002</c:v>
                </c:pt>
                <c:pt idx="5">
                  <c:v>28.610000000000014</c:v>
                </c:pt>
                <c:pt idx="6">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