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Waste Connections, Inc.</w:t>
      </w:r>
    </w:p>
    <w:p>
      <w:pPr>
        <w:spacing w:after="60"/>
        <w:rPr>
          <w:color w:val="52514E"/>
          <w:sz w:val="22"/>
          <w:szCs w:val="22"/>
        </w:rPr>
      </w:pPr>
      <w:r>
        <w:rPr>
          <w:color w:val="52514E"/>
          <w:sz w:val="22"/>
          <w:szCs w:val="22"/>
        </w:rPr>
        <w:t xml:space="preserve">WCN · NYSE (también TSX) · ISIN CA94106B1013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153,67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175,82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+15,3 % (base +18,4 %)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121,36 USD · mercado 140,00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38.725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Waste Connections,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WCN / CA94106B1013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(también TSX)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medioambientales y de instalaciones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Woodbridge (Ontario, Canadá) y The Woodlands (Texas, EE. UU.)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https://www.wasteconnections.com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153,67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146,89 – 179,74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38.725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48.150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207 M USD/día en NYSE (1,28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175,82 USD</w:t>
      </w:r>
      <w:r>
        <w:t xml:space="preserve"> frente a 153,67 · Rentabilidad a 12 meses </w:t>
      </w:r>
      <w:r>
        <w:rPr>
          <w:b/>
          <w:bCs/>
        </w:rPr>
        <w:t xml:space="preserve">+15,3 % (base +18,4 %)</w:t>
      </w:r>
      <w:r>
        <w:t xml:space="preserve"> · Valor intrínseco 121,36 USD · con la prima implícita del mercado: 140,00 (-8,9 %) · Alcista / bajista -21,0 % / -55,3 %</w:t>
      </w:r>
    </w:p>
    <w:p>
      <w:pPr>
        <w:spacing w:after="100"/>
      </w:pPr>
      <w:r>
        <w:rPr>
          <w:b/>
        </w:rPr>
        <w:t xml:space="preserve">La recomendación y por qué.</w:t>
      </w:r>
      <w:r>
        <w:t xml:space="preserve"> Mantener con convicción media. El objetivo a 12 meses es de 175,82 USD (rentabilidad ponderada del 15,3 % y del 18,4 % en el base), pero el valor intrínseco es de 121,36 USD, un 21 % bajo el precio de 153,67 USD (cierre del 13-oct), así que no pasa el filtro de valor real y la regla da Mantener; el objetivo medio de los analistas (197,40 USD) queda por encima de nuestro rango central. La razón en una frase: es uno de los mejores negocios de servicios de EE. UU., pero a 26 veces el BPA y con el bono al 5,24 % su caja no paga el precio. La convicción es media porque la señal a 12 meses (que sería Comprar) y la de valor (Vender por las dos reglas del DCF) apuntan en sentidos opuestos; subiría si el bono bajara del 4,5 % o el precio de 121 USD.</w:t>
      </w:r>
    </w:p>
    <w:p>
      <w:pPr>
        <w:spacing w:after="100"/>
      </w:pPr>
      <w:r>
        <w:rPr>
          <w:b/>
        </w:rPr>
        <w:t xml:space="preserve">El negocio.</w:t>
      </w:r>
      <w:r>
        <w:t xml:space="preserve"> Recogida y vertederos en mercados exclusivos o con un solo operador integrado, con el margen EBITDA ajustado más alto del sector (33,0 % frente al 30,3 % de WM y el 31,1 % de Republic) [4, 12, 13]. El foso es amplio (permisos de vertedero), pero el ROIC es del 8,4 % frente a un WACC del 7,81 %: 0,6 puntos, porque el capital incluye 10.400 M de fondo de comercio e intangibles de compras. </w:t>
      </w:r>
      <w:r>
        <w:rPr>
          <w:b/>
        </w:rPr>
        <w:t xml:space="preserve">Veredicto de calidad: En parte</w:t>
      </w:r>
      <w:r>
        <w:t xml:space="preserve"> (foso y poder de precios sí; ROIC − WACC muy por debajo de 5 puntos). Sostenibilidad del crecimiento: </w:t>
      </w:r>
      <w:r>
        <w:rPr>
          <w:b/>
        </w:rPr>
        <w:t xml:space="preserve">Sí</w:t>
      </w:r>
      <w:r>
        <w:t xml:space="preserve">; el 4,6 % proyectado sale casi entero de precio, que la empresa sube por encima de la inflación desde hace 25 años.</w:t>
      </w:r>
    </w:p>
    <w:p>
      <w:pPr>
        <w:spacing w:after="100"/>
      </w:pPr>
      <w:r>
        <w:rPr>
          <w:b/>
        </w:rPr>
        <w:t xml:space="preserve">Finanzas.</w:t>
      </w:r>
      <w:r>
        <w:t xml:space="preserve"> Ingresos +9,4 % anual desde 2017, la mitad por compras; caja libre ajustada de 1.259 M en 2025 y guía de 1.400-1.450 M en 2026 [3, 4]. Deuda neta de 2,9 veces el EBITDA, grado de inversión. Calidad contable correcta (Beneish −2,71), con una advertencia: los deterioros y ajustes de cierre de vertederos se repiten cada año (191 M de media) y el BPA ajustado los excluye; los restamos del margen del DCF.</w:t>
      </w:r>
    </w:p>
    <w:p>
      <w:pPr>
        <w:spacing w:after="100"/>
      </w:pPr>
      <w:r>
        <w:rPr>
          <w:b/>
        </w:rPr>
        <w:t xml:space="preserve">Equipo y gobierno.</w:t>
      </w:r>
      <w:r>
        <w:t xml:space="preserve"> Suma: presidente independiente, una acción un voto, variable ligado a caja por acción y ROIC, guía cumplida cada año desde 2021 y compra de 7,6 M USD del consejero delegado a 152 USD en mayo [17, 19]. Resta la sucesión del fundador (62 años) y un 34 % de votos en contra o abstenciones para la presidenta de remuneraciones [18].</w:t>
      </w:r>
    </w:p>
    <w:p>
      <w:pPr>
        <w:spacing w:after="100"/>
      </w:pPr>
      <w:r>
        <w:rPr>
          <w:b/>
        </w:rPr>
        <w:t xml:space="preserve">Valoración.</w:t>
      </w:r>
      <w:r>
        <w:t xml:space="preserve"> El DCF da 108,54 USD; el precio descuenta un 9,7 % de crecimiento anual (nuestro base: 4,4 %) o una rentabilidad del 6,7 %, por debajo del WACC. Con la prima implícita del mercado, 140,00 USD de valor objetivo. Los comparables por PER dan 182,71 USD: el sector entero cotiza por encima de lo que su caja justifica a estos tipos. A 12 meses la regla v3 lleva el PER de 26,1 a 28,7 veces (tope ×1,1, mediana histórica de 31,6 veces); la v2 de control da un 11,2 %.</w:t>
      </w:r>
    </w:p>
    <w:p>
      <w:pPr>
        <w:spacing w:after="100"/>
      </w:pPr>
      <w:r>
        <w:rPr>
          <w:b/>
        </w:rPr>
        <w:t xml:space="preserve">Riesgos y catalizadores.</w:t>
      </w:r>
      <w:r>
        <w:t xml:space="preserve"> El mayor es de múltiplo: si el mercado aplica el que justifica la caja, la acción iría hacia 121 USD (−21 %). Chiquita Canyon puede costar 500-1.500 M en sanciones y acuerdos sin provisión (−3 % a −8 %). Riesgo de que la IA se coma el negocio: casi nulo; es físico, local y con permisos, y la empresa ya usa IA para fijar precios. Catalizadores: resultados del 3T26 el 21-oct y guía de 2027 en febrero.</w:t>
      </w:r>
    </w:p>
    <w:p>
      <w:pPr>
        <w:spacing w:after="100"/>
      </w:pPr>
      <w:r>
        <w:rPr>
          <w:b/>
        </w:rPr>
        <w:t xml:space="preserve">Qué cambiaría la decisión.</w:t>
      </w:r>
      <w:r>
        <w:t xml:space="preserve"> Comprar por debajo de 121,36 USD; vender por encima de 196,87 USD. Pasaríamos a Comprar si el bono a 10 años baja del 4,5 % (el DCF subiría por encima del precio) y a Vender si el precio core cae por debajo del 4 % o Chiquita exige más de 1.000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175,82 USD</w:t>
      </w:r>
      <w:r>
        <w:t xml:space="preserve"> (rentabilidad +15,3 % (base +18,4 %)) · Valor intrínseco: 121,36 USD (-21,0 % sobre 153,67) · con la prima implícita del mercado: 140,00 (-8,9 %)</w:t>
      </w:r>
    </w:p>
    <w:p>
      <w:pPr>
        <w:spacing w:after="100"/>
      </w:pPr>
      <w:r>
        <w:t xml:space="preserve">Waste Connections es la empresa de residuos sólidos más rentable de Norteamérica: margen EBITDA ajustado del 33 %, precio core del 5,5-6,5 % al año y 102 vertederos propios en mercados donde casi no hay competencia [1, 4]. Ha multiplicado sus ingresos por dos desde 2017 con cientos de compras pequeñas y un BPA ajustado que crece un 10 % anual [8].</w:t>
      </w:r>
    </w:p>
    <w:p>
      <w:pPr>
        <w:spacing w:after="100"/>
      </w:pPr>
      <w:r>
        <w:t xml:space="preserve">El precio de 153,67 USD descuenta un 9,7 % de crecimiento anual en 2027-2032 con nuestro margen, o una rentabilidad del 6,7 % anual, por debajo de su coste de capital del 7,8 %. Cotiza a 25,2 veces el beneficio de los próximos 12 meses y 15,2 veces el EBITDA, un 18 % por debajo de su PER medio de 2021-2025, pero con el bono al 5,24 % en vez del 1,5-4 % de entonces.</w:t>
      </w:r>
    </w:p>
    <w:p>
      <w:pPr>
        <w:spacing w:after="100"/>
      </w:pPr>
      <w:r>
        <w:t xml:space="preserve">El mercado acierta en la calidad y probablemente sobrepaga el crecimiento comprado: las compras rinden un ROIC del 8-9 %, apenas por encima del WACC. Para invertir hay que creer que los tipos bajarán o que el sector conservará su prima de refugio. A 12 meses, la regla de múltiplos da un 15,3 %; a largo plazo, el valor es de 121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 × 5,57 = 128,11 · 28,7x × 6,29 = 180,52 · 32,1x × 6,67 = 214,11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 / 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197,40 (nuestro base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 / -55,3 %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frente a 7,8 %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121,36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121,36 y 196,87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196,87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cae por debajo de 121,36 USD (valor intrínseco), pasaríamos a Comprar.</w:t>
      </w:r>
    </w:p>
    <w:p>
      <w:pPr>
        <w:pStyle w:val="ListParagraph"/>
        <w:numPr>
          <w:ilvl w:val="0"/>
          <w:numId w:val="2"/>
        </w:numPr>
        <w:spacing w:after="60"/>
      </w:pPr>
      <w:r>
        <w:t xml:space="preserve">Si sube por encima de 196,87 USD, pasaríamos a Vender.</w:t>
      </w:r>
    </w:p>
    <w:p>
      <w:pPr>
        <w:pStyle w:val="ListParagraph"/>
        <w:numPr>
          <w:ilvl w:val="0"/>
          <w:numId w:val="2"/>
        </w:numPr>
        <w:spacing w:after="60"/>
      </w:pPr>
      <w:r>
        <w:t xml:space="preserve">Si el bono a 10 años baja del 4,5 %, el DCF superaría el precio: revisaríamos a Comprar.</w:t>
      </w:r>
    </w:p>
    <w:p>
      <w:pPr>
        <w:pStyle w:val="ListParagraph"/>
        <w:numPr>
          <w:ilvl w:val="0"/>
          <w:numId w:val="2"/>
        </w:numPr>
        <w:spacing w:after="60"/>
      </w:pPr>
      <w:r>
        <w:t xml:space="preserve">Si el precio core del 3T26 o del 4T26 baja del 4,5 % o el volumen del −3 %, rebajaríamos el base.</w:t>
      </w:r>
    </w:p>
    <w:p>
      <w:pPr>
        <w:pStyle w:val="ListParagraph"/>
        <w:numPr>
          <w:ilvl w:val="0"/>
          <w:numId w:val="2"/>
        </w:numPr>
        <w:spacing w:after="60"/>
      </w:pPr>
      <w:r>
        <w:t xml:space="preserve">Si Chiquita Canyon exige más de 1.000 M en acuerdos o sanciones,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WCN seguirá creciendo un 9-10 % al año (precio más compras) y que su estabilidad merece cotizar a 25-30 veces el beneficio aunque el bono rente un 5,2 %. Los analistas (25 de 28 comprar) ven un 28 % de subida.</w:t>
      </w:r>
    </w:p>
    <w:p>
      <w:pPr>
        <w:keepNext/>
        <w:spacing w:after="100"/>
      </w:pPr>
      <w:r>
        <w:rPr>
          <w:b/>
          <w:bCs/>
        </w:rPr>
        <w:t xml:space="preserve">Lo que creemos nosotros.</w:t>
      </w:r>
    </w:p>
    <w:p>
      <w:pPr>
        <w:spacing w:after="100"/>
      </w:pPr>
      <w:r>
        <w:t xml:space="preserve">El negocio es excelente, pero el crecimiento orgánico es del 5 % y las compras crean poco valor (ROIC del 8,4 % frente a un WACC del 7,8 %). Con tipos del 5 %, el valor de la caja es de unos 121 USD.</w:t>
      </w:r>
    </w:p>
    <w:p>
      <w:pPr>
        <w:keepNext/>
        <w:spacing w:after="100"/>
      </w:pPr>
      <w:r>
        <w:rPr>
          <w:b/>
          <w:bCs/>
        </w:rPr>
        <w:t xml:space="preserve">Por qué podemos tener razón.</w:t>
      </w:r>
    </w:p>
    <w:p>
      <w:pPr>
        <w:spacing w:after="100"/>
      </w:pPr>
      <w:r>
        <w:t xml:space="preserve">Porque el múltiplo del sector se formó con tipos del 1,5-4 % y no ha terminado de ajustarse; el DCF inverso pide un 9,7 % anual sin compras, algo que la empresa no ha hecho nunca de forma orgánica.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3,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Poder de precios demostrado</w:t>
      </w:r>
      <w:r>
        <w:t xml:space="preserve">: precio core del 6,5 % en 2025 y ≥5,5 % en 2026 con volúmenes negativos.</w:t>
      </w:r>
    </w:p>
    <w:p>
      <w:pPr>
        <w:pStyle w:val="ListParagraph"/>
        <w:numPr>
          <w:ilvl w:val="0"/>
          <w:numId w:val="2"/>
        </w:numPr>
        <w:spacing w:after="60"/>
      </w:pPr>
      <w:r>
        <w:rPr>
          <w:b/>
        </w:rPr>
        <w:t xml:space="preserve">Margen líder</w:t>
      </w:r>
      <w:r>
        <w:t xml:space="preserve">: EBITDA ajustado del 33,0 % frente al 30-31 % de WM y Republic.</w:t>
      </w:r>
    </w:p>
    <w:p>
      <w:pPr>
        <w:pStyle w:val="ListParagraph"/>
        <w:numPr>
          <w:ilvl w:val="0"/>
          <w:numId w:val="2"/>
        </w:numPr>
        <w:spacing w:after="60"/>
      </w:pPr>
      <w:r>
        <w:rPr>
          <w:b/>
        </w:rPr>
        <w:t xml:space="preserve">Foso regulatorio</w:t>
      </w:r>
      <w:r>
        <w:t xml:space="preserve">: 102 vertederos propios con 19-38 años de vida y permisos que tardan una década.</w:t>
      </w:r>
    </w:p>
    <w:p>
      <w:pPr>
        <w:pStyle w:val="ListParagraph"/>
        <w:numPr>
          <w:ilvl w:val="0"/>
          <w:numId w:val="2"/>
        </w:numPr>
        <w:spacing w:after="60"/>
      </w:pPr>
      <w:r>
        <w:rPr>
          <w:b/>
        </w:rPr>
        <w:t xml:space="preserve">Caja creciente</w:t>
      </w:r>
      <w:r>
        <w:t xml:space="preserve">: caja libre ajustada de 1.400-1.450 M en 2026 (+13 %), con menos capex de gas renovable y menos Chiquita en 2027.</w:t>
      </w:r>
    </w:p>
    <w:p>
      <w:pPr>
        <w:pStyle w:val="ListParagraph"/>
        <w:numPr>
          <w:ilvl w:val="0"/>
          <w:numId w:val="2"/>
        </w:numPr>
        <w:spacing w:after="60"/>
      </w:pPr>
      <w:r>
        <w:rPr>
          <w:b/>
        </w:rPr>
        <w:t xml:space="preserve">Alineación</w:t>
      </w:r>
      <w:r>
        <w:t xml:space="preserve">: el consejero delegado compró 7,6 M USD de acciones a 152 USD en mayo de 2026.</w:t>
      </w:r>
    </w:p>
    <w:p>
      <w:pPr>
        <w:pStyle w:val="Heading2"/>
      </w:pPr>
      <w:r>
        <w:t xml:space="preserve">En contra</w:t>
      </w:r>
    </w:p>
    <w:p>
      <w:pPr>
        <w:pStyle w:val="ListParagraph"/>
        <w:numPr>
          <w:ilvl w:val="0"/>
          <w:numId w:val="2"/>
        </w:numPr>
        <w:spacing w:after="60"/>
      </w:pPr>
      <w:r>
        <w:rPr>
          <w:b/>
        </w:rPr>
        <w:t xml:space="preserve">Caro frente a su caja</w:t>
      </w:r>
      <w:r>
        <w:t xml:space="preserve">: DCF de 108,54 USD, un 29,4 % bajo el precio; rentabilidad implícita del 6,7 % frente a un WACC del 7,8 %.</w:t>
      </w:r>
    </w:p>
    <w:p>
      <w:pPr>
        <w:pStyle w:val="ListParagraph"/>
        <w:numPr>
          <w:ilvl w:val="0"/>
          <w:numId w:val="2"/>
        </w:numPr>
        <w:spacing w:after="60"/>
      </w:pPr>
      <w:r>
        <w:rPr>
          <w:b/>
        </w:rPr>
        <w:t xml:space="preserve">ROIC justo</w:t>
      </w:r>
      <w:r>
        <w:t xml:space="preserve">: 8,4 %, 0,6 puntos sobre el WACC; las compras apenas crean valor.</w:t>
      </w:r>
    </w:p>
    <w:p>
      <w:pPr>
        <w:pStyle w:val="ListParagraph"/>
        <w:numPr>
          <w:ilvl w:val="0"/>
          <w:numId w:val="2"/>
        </w:numPr>
        <w:spacing w:after="60"/>
      </w:pPr>
      <w:r>
        <w:rPr>
          <w:b/>
        </w:rPr>
        <w:t xml:space="preserve">Chiquita Canyon</w:t>
      </w:r>
      <w:r>
        <w:t xml:space="preserve">: ≈12.730 demandantes y sanciones sin estimar; 138 M de cargos en el 1S26.</w:t>
      </w:r>
    </w:p>
    <w:p>
      <w:pPr>
        <w:pStyle w:val="ListParagraph"/>
        <w:numPr>
          <w:ilvl w:val="0"/>
          <w:numId w:val="2"/>
        </w:numPr>
        <w:spacing w:after="60"/>
      </w:pPr>
      <w:r>
        <w:rPr>
          <w:b/>
        </w:rPr>
        <w:t xml:space="preserve">Volumen negativo</w:t>
      </w:r>
      <w:r>
        <w:t xml:space="preserve">: −2,8 % en 2025 y −1,7 % en el 1S26.</w:t>
      </w:r>
    </w:p>
    <w:p>
      <w:pPr>
        <w:pStyle w:val="ListParagraph"/>
        <w:numPr>
          <w:ilvl w:val="0"/>
          <w:numId w:val="2"/>
        </w:numPr>
        <w:spacing w:after="60"/>
      </w:pPr>
      <w:r>
        <w:rPr>
          <w:b/>
        </w:rPr>
        <w:t xml:space="preserve">Sucesión</w:t>
      </w:r>
      <w:r>
        <w:t xml:space="preserve">: el fundador volvió en 2023 y no hay sucesor designado.</w:t>
      </w:r>
    </w:p>
    <w:p>
      <w:pPr>
        <w:pStyle w:val="Heading2"/>
      </w:pPr>
      <w:r>
        <w:t xml:space="preserve">Qué tiene que pasar para que la tesis funcione</w:t>
      </w:r>
    </w:p>
    <w:p>
      <w:pPr>
        <w:spacing w:after="100"/>
      </w:pPr>
      <w:r>
        <w:t xml:space="preserve">La tesis depende de que el mercado siga pagando 26-29 veces el BPA ajustado con el bono por encima del 5 %. La señal de que no se cumple sería un PER adelantado por debajo de 23 veces (el bajista de la regla) sin caída del beneficio, o un precio core por debajo del 4,5 % que deje el crecimiento orgánico en el 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y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residuos sólidos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o bajas por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32 % en un 3T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precio-coste.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Salidas de caja de Chiquita Canyon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100-150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legal y ambiental.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4,5 % (al alza en valor) / &gt; 5,75 %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 el múltiplo del sector.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 14,7x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37,1x / 25,2x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(2017-2025)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Ronald Mittelstaedt fundó Waste Connections en 1997 en California para comprar recogidas en mercados secundarios y rurales con poca competencia; salió a bolsa en 1998 [1]. Durante dos décadas creció con cientos de compras pequeñas y franquicias exclusivas en el oeste. En 2012 entró en residuos de petróleo y gas (R360). En junio de 2016 se fusionó con la canadiense Progressive Waste Solutions, que duplicó su tamaño y trasladó la sede legal a Ontario (cotiza en Nueva York y Toronto) [1]. Mittelstaedt dejó el cargo de consejero delegado en 2019 para ser presidente ejecutivo; su sucesor salió en 2023 y él volvió como consejero delegado [17]. En 2024 compró las plantas de Secure Energy en Canadá y cerró el vertedero de Chiquita Canyon (California), su mayor problema ambiental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California por Ronald Mittelstaedt.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(NYSE).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R360 Environmental Solutions: entrada en residuos de petróleo y gas.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Progressive Waste Solutions; sede legal en Canadá, triple de tamaño en ingresos.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467 M en E&amp;P por el desplome del crudo.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Mittelstaedt vuelve a ser consejero delegado; empieza la reacción térmica del vertedero de Chiquita Canyon.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30 plantas de Secure Energy (1.075 M CAD); Chiquita Canyon deja de admitir residuos y se reconocen 613 M de cargos.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de recompras (692 M hasta julio) y guía de EBITDA ajustado de 3.330-3.340 M.</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Waste Connections recoge, transfiere y elimina residuos sólidos no peligrosos de unos nueve millones de clientes residenciales, comerciales e industriales en 46 estados de EE. UU. y seis provincias de Canadá, sobre todo en mercados «exclusivos» (franquicias o contratos municipales de varios años) y en mercados secundarios y rurales donde compite con pocos rivales [1, 3]. Es una empresa integrada: en 2025 tenía 102 vertederos propios en operación, cinco con contrato de toda la vida útil y siete operados, más estaciones de transferencia, y llevó a vertederos propios el 59 % de los residuos que recogió en el 2T26 («internalización») [1, 3]. Completa el negocio con tratamiento de residuos de petróleo y gas (E&amp;P, R360), reciclaje, gas de vertedero y gas natural renovable, y transporte intermodal en el noroeste del Pacífico [1].</w:t>
      </w:r>
    </w:p>
    <w:p>
      <w:pPr>
        <w:pStyle w:val="Heading2"/>
      </w:pPr>
      <w:r>
        <w:t xml:space="preserve">Cómo gana dinero</w:t>
      </w:r>
    </w:p>
    <w:p>
      <w:pPr>
        <w:spacing w:after="100"/>
      </w:pPr>
      <w:r>
        <w:t xml:space="preserve">Cobra tarifas recurrentes por recogida (el 71 % de los ingresos brutos de 2025) y tarifas por tonelada en vertederos y estaciones de transferencia [1]. Casi todo es recurrente: contratos de varios años con subidas anuales indexadas en los mercados exclusivos y precios libres que se suben cada año en los competitivos. El margen depende del diferencial entre precio y coste: en 2025 el precio «core» subió un 6,5 % con volúmenes del −2,8 % y el margen de EBITDA ajustado pasó del 32,5 % al 33,0 % [4]. La internalización en vertedero propio y la densidad de rutas dan el apalancamiento operativo; el gasóleo (recuperado con recargos) y los precios del reciclaje y de los RIN de gas renovable son los factores volátiles [3, 9]. Estacionalidad: el 1T es el trimestre débil [3,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Southern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Western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Eastern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MidSouth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Southern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Western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Eastern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MidSouth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ni contrato llega al 10 % de los ingresos [1]. Los contratos de vertedero y transferencia duran de uno a diez años con subidas anuales indexadas; las franquicias residenciales de los mercados exclusivos son de varios años y se renuevan en su mayoría [1]. El poder de precios es la tesis del negocio: precio core del 6,4-6,6 % en 2024-2025 y del 5,8 % en el 1S26 con una inflación de costes menor, de modo que el margen ajustado subió del 31,2 % de 2020 al 33,0 % de 2025 [3, 4, 8]. El coste es el volumen: −2,7/−2,8 % en 2024-2025 y −1,7 % en el 1S26, en parte bajas voluntarias por precio y en parte construcción floja [3,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core (residuos sólidos)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≥5,5 % para 2026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residuos sólidos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Construcción y residuos especiales flojos; las toneladas de C&amp;D crecieron en el 2T26 por primera vez en diez trimestres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 (1S26); guía 2026 33,2-33,3 %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+0,2-0,3 pp en el año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 pb de mejora subyacente en el 2T26 contra 40 pb de gasóleo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Internalización (residuos a vertedero propio)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integración vertical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1.400-1.450 M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100-150 M de salidas por el cierre de Chiquita Canyon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(ingresos anualizados)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compras, 967 M de valor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M de ingresos comprados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30 M en el 3T26 [1,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recogida, transferencia y eliminación de residuos sólidos no peligrosos (municipales, comerciales, industriales y de construcción) en EE. UU. y Canadá, más el tratamiento de residuos de petróleo y gas, que es el 7 % de los ingresos de la empresa. Quedan fuera los residuos peligrosos y los servicios industriales (Clean Harbors) y el agua y la energía (Veolia). Usamos el tamaño de la ficha sectorial del repositorio [11], construido con la suma de ingresos de las cotizadas y su cuota estimada.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115.000 M USD en 2025 (EE. UU. y Canadá, residuos sólidos no peligrosos; estimación de la ficha sectorial)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core de WCN del 6,5 % en 2025 y ≥5,5 % en 2026 con IPC del 3 %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y formación de hogares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residencial estable; el sur y el centro crecen más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y actividad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residuos sólidos de WCN −2,8 % en 2025; C&amp;D al alza en el 2T26 por primera vez en diez trimestres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capacidad de vertedero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Permisos de nuevos vertederos casi imposibles; quien tiene vertedero fija el precio de eliminación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Gasóleo, reciclaje y créditos de gas renovable (RIN)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pb de margen perdido por el gasóleo y 20 pb por el reciclaje en el 2T26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crudo y perforación (E&amp;P)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E&amp;P +18 % interanual en el 2T26; en 2020 obligó a un deterioro de 467 M [1,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(WM, Republic, WCN) y GFL; en mercados exclusivos no hay rivalidad durante el contrato. Márgenes EBITDA del 30-33 % en los grandes [12,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los municipios negocian franquicias cada varios años, pero el coste de la basura es pequeño para cada hogar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Mano de obra (conductores) y gasóleo; los camiones y contenedores tienen pocos fabricantes. Los recargos trasladan el gasóleo con retraso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vertedero no se compite en eliminación; los permisos tardan una década (Chiquita Canyon pidió su ampliación en 2004 y la obtuvo en 2017)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Reciclaje y valorización energética desvían una parte pequeña; la normativa de responsabilidad ampliada del productor en Canadá cambia quién paga, no quién recoge [1].</w:t>
            </w:r>
          </w:p>
        </w:tc>
      </w:tr>
    </w:tbl>
    <w:p>
      <w:pPr>
        <w:spacing w:after="160" w:before="0"/>
      </w:pPr>
    </w:p>
    <w:p>
      <w:pPr>
        <w:pStyle w:val="Heading2"/>
      </w:pPr>
      <w:r>
        <w:t xml:space="preserve">Ciclo</w:t>
      </w:r>
    </w:p>
    <w:p>
      <w:pPr>
        <w:spacing w:after="100"/>
      </w:pPr>
      <w:r>
        <w:t xml:space="preserve">Los volúmenes llevan tres años en negativo (−2,7/−2,8 % en 2024-2025) por la construcción y los residuos especiales, mientras el precio sigue alto [9]. El sector es defensivo: en 2009 los ingresos de los grandes cayeron un 10-15 % por volumen, pero los márgenes aguantaron; en 2020 WCN redujo ingresos solo un 1 % (5.389 a 5.446 M con compras) y en 2022 subió precios por encima de la inflación. Indicadores: toneladas de C&amp;D y residuos especiales, permisos de construcción y precio del gasóleo [9, 11].</w:t>
      </w:r>
    </w:p>
    <w:p>
      <w:pPr>
        <w:pStyle w:val="Heading2"/>
      </w:pPr>
      <w:r>
        <w:t xml:space="preserve">Regulación</w:t>
      </w:r>
    </w:p>
    <w:p>
      <w:pPr>
        <w:spacing w:after="100"/>
      </w:pPr>
      <w:r>
        <w:t xml:space="preserve">La EPA regula los vertederos (RCRA Subtitle D) y sus emisiones de metano (NSPS Subpart XXX y directrices para vertederos existentes, más estrictas desde 2016); California y SCAQMD son los reguladores más duros, como muestra Chiquita Canyon (476 avisos de infracción) [1, 7]. El estándar de combustibles renovables (RFS) fija el valor de los RIN del gas renovable que vende la empresa. En Canadá, la responsabilidad ampliada del productor traslada el coste del reciclaje residencial a los fabricantes, lo que puede quitar contratos de reciclaje municipal [1]. Algunos estados regulan las tarifas de los vertederos [1].</w:t>
      </w:r>
    </w:p>
    <w:p>
      <w:pPr>
        <w:pStyle w:val="Heading2"/>
      </w:pPr>
      <w:r>
        <w:t xml:space="preserve">Tendencias y disrupción</w:t>
      </w:r>
    </w:p>
    <w:p>
      <w:pPr>
        <w:spacing w:after="100"/>
      </w:pPr>
      <w:r>
        <w:t xml:space="preserve">Tres tendencias: (1) consolidación, con compras de operadores privados a 8-12 veces EBITDA que los grandes integran en su red; (2) automatización y precios con datos: WCN atribuye el aumento de su rendimiento de precio a una herramienta de IA desplegada a finales de 2025 y prevé más proyectos con IA en operaciones [9]; (3) gas renovable de vertedero, con todas sus plantas en marcha a principios de 2027 [9]. La IA no sustituye la recogida ni el vertedero; la amenaza tecnológica real son los camiones eléctricos o autónomos (coste, no demanda) y la reducción de residuos en origen, ambas lentas.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 de EE. UU. y Canadá en residuos sólidos (≈8 % del mercado), por detrás de WM (≈20 %) y Republic (≈14 %); n.º 1 o 2 en casi todos sus mercados locales.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Waste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con la mayor red de vertederos; compró Stericycle (residuos sanitarios) en 2024. Margen EBITDA 30,3 %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Republic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RSG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urbanos del sur y oeste; margen EBITDA 31,1 %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GFL Environmental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GFL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apalancado (5,7 veces); vendió su división de servicios ambientales en 2025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Casella Waste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CWST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Noreste de EE. UU., integrada con vertederos; margen EBITDA 21,4 %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Clean Harbors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Residuos peligrosos y servicios industriales: competidor en E&amp;P y residuos especiales, no en recogida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Operadores privados y municipios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y 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Miles de operadores locales: el vivero de compras del sector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Densidad de rutas local, no efectos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Franquicias exclusivas de varios años con subidas indexadas; las bajas suben con los recargos, pero apenas 10-15 pb de volumen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Permisos de vertedero: 102 vertederos propios con 19-38 años de vida media; obtener uno nuevo tarda más de una década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Internalización del 59 % y margen EBITDA ajustado del 33 %, el más alto de los grandes (WM 30 %, Republic 31 %)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secundarios y rurales que solo sostienen un operador integrado [1].</w:t>
            </w:r>
          </w:p>
        </w:tc>
      </w:tr>
    </w:tbl>
    <w:p>
      <w:pPr>
        <w:spacing w:after="160" w:before="0"/>
      </w:pPr>
    </w:p>
    <w:p>
      <w:pPr>
        <w:pStyle w:val="Heading2"/>
      </w:pPr>
      <w:r>
        <w:t xml:space="preserve">Amenazas</w:t>
      </w:r>
    </w:p>
    <w:p>
      <w:pPr>
        <w:spacing w:after="100"/>
      </w:pPr>
      <w:r>
        <w:t xml:space="preserve">El foso es local y regulatorio: lo erosionaría (1) que un regulador limite las tarifas de vertedero o fuerce el cierre de otro vertedero, como en Chiquita Canyon (probabilidad baja por emplazamiento, pero ya ocurrió); (2) una competencia más agresiva de operadores privados que no repercuten el gasóleo (efecto de 10-15 pb de volumen en 2026) [9]; (3) que los municipios saquen a concurso franquicias exclusivas con más frecuencia. La IA no amenaza el negocio: es física y local; la usa la propia empresa para fijar precios y rutas.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2017-2025: ingresos </w:t>
      </w:r>
      <w:r>
        <w:rPr>
          <w:b/>
          <w:bCs/>
        </w:rPr>
        <w:t xml:space="preserve">9,4 %</w:t>
      </w:r>
      <w:r>
        <w:t xml:space="preserve">, EBITDA </w:t>
      </w:r>
      <w:r>
        <w:rPr>
          <w:b/>
          <w:bCs/>
        </w:rPr>
        <w:t xml:space="preserve">10,1 %</w:t>
      </w:r>
      <w:r>
        <w:t xml:space="preserve">, BPA </w:t>
      </w:r>
      <w:r>
        <w:rPr>
          <w:b/>
          <w:bCs/>
        </w:rPr>
        <w:t xml:space="preserve">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4.631 M USD en 2017 a 9.467 M en 2025, un 9,4 % anual, la mitad por precio y el resto por unas 15-25 compras al año [1, 2]. En 2025 crecieron un 6,1 %: precio core del 6,5 %, volumen del −2,8 %, compras netas y residuos de petróleo y gas (E&amp;P, de 522 a 689 M) [1, 4]. El margen de EBITDA ajustado subió del 31,0 % de 2019 al 33,0 % de 2025 por precio por encima del coste, retención de empleados y menos siniestralidad [4, 8]. El EBITDA contable (EBIT más amortizaciones) es más bajo y salta por los deterioros y ajustes de cierre de vertederos que la empresa deja en el resultado de explotación: 467 M en 2020 (residuos de petróleo y gas), 239 M en 2023 y 613 M en 2024 (vertedero de Chiquita Canyon), 110 M en 2025 y 138 M en el 1S26 [3, 4, 8]. En el 1S26 los ingresos crecieron un 6,4 % y el EBITDA ajustado un 7,4 % [3].</w:t>
      </w:r>
    </w:p>
    <w:p>
      <w:pPr>
        <w:pStyle w:val="Heading2"/>
      </w:pPr>
      <w:r>
        <w:t xml:space="preserve">Ajustes y partidas no recurrentes</w:t>
      </w:r>
    </w:p>
    <w:p>
      <w:pPr>
        <w:spacing w:after="100"/>
      </w:pPr>
      <w:r>
        <w:t xml:space="preserve">Usamos las cifras publicadas en US GAAP. El EBITDA de la cuenta es EBIT más amortizaciones (depreciación más amortización de intangibles comprados: 1.031 M y 202 M en 2025) [1]. La partida «Impairments and other operating items» va en no_recurrentes_en_ebitda para comparar con el EBITDA ajustado, que la excluye; pero se repite todos los años (191 M de media en 2017-2025), así que en el DCF restamos 0,8 puntos de margen por ese concepto. El EBITDA ajustado de la empresa suma además la actualización financiera de las provisiones de cierre (≈41 M) y los costes de compras (10-25 M) [3, 4]. El BPA ajustado de la empresa excluye la amortización de intangibles y los deterioros: 5,15 USD en 2025 frente a 4,17 USD contable [4]; es la base de BPA que usamos en la rentabilidad a 12 meses, porque es la del consenso y la del sector. 2017 lleva un ingreso fiscal por la reforma de EE. UU. (impuesto negativo)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y BPA ajustados (los que sigue el mercado); el crecimiento orgánico es el de residuos sólidos que publica la empresa. En la conferencia del 2T26 (23-jul) la dirección subió la guía de 2026 a 10.020-10.050 M de ingresos y 3.330-3.340 M de EBITDA ajustado, y mantuvo la caja libre ajustada en 1.400-1.450 M, con 100-150 M de salidas por Chiquita Canyon [3, 9]. Mensajes: 70 pb de mejora subyacente del margen pese al gasóleo (que pasó de 60 a más de 120 USD por barril en cuatro a seis semanas), precio core del 5,6 % con un rendimiento del 4,6 % gracias a una herramienta de precios con IA desplegada a finales de 2025, y volumen del −1,9 % [9]. Frente al 1T26 (23-abr), el discurso pasó de «incertidumbre macro» a «julio mejor»: residuos especiales y C&amp;D al alza en julio, aunque sin meterlo en la guía [9, 10]. Los analistas preguntaron sobre todo por la pérdida de clientes ante los recargos de combustible (la dirección la cifra en 10-15 pb de volumen), la contabilidad de Chiquita Canyon (58 M de deterioro en el 2T26) y las compras arrastradas a 2027 (≈30 M de ingresos) [9]. La dirección no dio cifras de 2027 más allá de «crecimiento de dos dígitos de la caja libre por acción» y no cuantificó las posibles sanciones de Chiquita [7,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24 compras por 2.228 M de valor razonable, entre ellas 30 plantas de residuos de petróleo y gas de Secure Energy en Canadá (cerrada el 1-feb-2024)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pasó de 3.911 M en 2017 a 8.820 M en 2025 y 9.364 M en junio de 2026, porque las compras (2.207 M en 2022, 2.121 M en 2024) y desde 2025 las recompras (506 M en 2025 y 615 M en el 1S26) superan a la caja libre después de dividendos [2, 3]. Aun así el apalancamiento se mantiene en 2,7-2,8 veces el EBITDA ajustado, el rango que la dirección declara [9]. El circulante es negativo si se cuentan los ingresos anticipados (416 M): clientes a 38 días, 23 días netos de anticipos [3]. Dos tercios de la deuda son bonos a tipo fijo del 2,2-5,25 % con vencimientos escalonados hasta 2052; el resto es la línea de crédito a tipo variable (SOFR o CORRA + 0,875 %)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2017-2025: FCF </w:t>
      </w:r>
      <w:r>
        <w:rPr>
          <w:b/>
          <w:bCs/>
        </w:rPr>
        <w:t xml:space="preserve">8.939</w:t>
      </w:r>
      <w:r>
        <w:t xml:space="preserve">, conversión </w:t>
      </w:r>
      <w:r>
        <w:rPr>
          <w:b/>
          <w:bCs/>
        </w:rPr>
        <w:t xml:space="preserve">154 %</w:t>
      </w:r>
      <w:r>
        <w:t xml:space="preserve"> del beneficio neto; adquisiciones 9.149, dividendos 2.030, recompras 1.434.</w:t>
      </w:r>
    </w:p>
    <w:p>
      <w:pPr>
        <w:spacing w:after="100"/>
      </w:pPr>
      <w:r>
        <w:t xml:space="preserve">La conversión de EBITDA en caja es alta y estable: flujo operativo de 2.414 M en 2025 (el 25,5 % de los ingresos) y caja libre ajustada de 1.259 M (13,3 %) [2, 4]. El capex fue de 1.179 M en 2025, el 12,5 % de los ingresos, por encima de la depreciación (1.031 M) por las plantas de gas renovable (casi terminadas a finales de 2026) y la renovación de flota; la empresa no separa mantenimiento y crecimiento, y estimamos el de mantenimiento en torno a la depreciación, el 10,5-11 % de las ventas (estimación propia) [1, 9]. Las compras se comieron 6.731 M en 2021-2025, más que toda la caja libre del periodo; las recompras volvieron en 2025 (506 M) y 2026 (615 M en el semestre) [2, 3]. Años anómalos: 2024 por el pago de Secure (≈1.000 M) y 2020 por el bajo capex del covid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Grant Thornton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pero tienen dos zonas de juicio. La primera son los vertederos: la amortización por tonelada depende de la capacidad «probable» de ampliación (seis vertederos con ampliaciones que la empresa da por probables) y las provisiones de cierre de supuestos de coste y plazo; Chiquita Canyon obligó a reconocer 613 M en 2024 y otros 138 M en el 1S26 [1, 3]. La segunda son las cifras ajustadas: el BPA ajustado excluye la amortización de intangibles comprados (≈200 M al año) y los deterioros, que se repiten todos los años; entre 2017 y 2025 los deterioros sumaron 1.717 M, el 18 % del beneficio contable acumulado [4, 8]. Los pagos en acciones son modestos (79 M, el 7 % del beneficio). Sin cambios de criterio ni reexpresiones. El fondo de comercio (8.392 M) y los intangibles (2.006 M) son el 49 % del activo: un deterioro grande es posible si una región se tuerce (ya pasó en E&amp;P en 2020)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fuera del EBITDA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1.717 M en 2017-2025; 191 M de media anual. Los restamos del margen del DCF (0,8 puntos).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cierre de Chiquita Canyon aún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+173,5 M de ajustes en el 1S26 sobre 652 M; salidas de caja de 100-150 M en 2026 [7,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sin estimación de pérdida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≈12.730 demandantes en Chiquita Canyon y sanciones de SCAQMD sin provisión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8,9 % · </w:t>
      </w:r>
      <w:r>
        <w:rPr>
          <w:b/>
          <w:bCs/>
        </w:rPr>
        <w:t xml:space="preserve">WACC</w:t>
      </w:r>
      <w:r>
        <w:t xml:space="preserve">: 7,8 %.</w:t>
      </w:r>
    </w:p>
    <w:p>
      <w:pPr>
        <w:spacing w:after="100"/>
      </w:pPr>
      <w:r>
        <w:t xml:space="preserve">Waste Connections apenas crea valor sobre su coste de capital: ROIC del 8,4 % frente a un WACC del 7,81 %, 0,6 puntos [2]. El margen es alto (EBITDA ajustado del 33 %, el mejor de los grandes), pero la rotación es baja: el capital invertido incluye 8.392 M de fondo de comercio y 2.006 M de intangibles de compras pagadas a 10-15 veces EBITDA [1]. El ROIC incremental histórico, del 8,9 %, dice lo mismo: cada compra rinde algo por encima del WACC, no mucho más. Con el ROIC contable se infravalora el negocio orgánico (los vertederos propios, muy amortizados, rinden bastante más), pero el accionista paga también las compras. WM (11,6 %) y Republic (11,1 %) tienen ROIC más altos porque su fondo de comercio pesa menos [12, 13]. La tendencia es plana: 7-8 % desde 2018.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98 M a 30-jun-2026 y unos 580 M disponibles en la línea de crédito a 31-dic-2025 (vence en febrero de 2030), ampliada en la práctica por la colocación de 700 M CAD de bonos en julio de 2026 que amortizó parte de lo dispuesto [1, 3,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(BBB+ de S&amp;P y Baa1 de Moody's según los folletos de emisión; el 10-K solo dice «investment grade»)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Provisiones de sellado, cierre y post-cierre de vertederos de 709 M a 30-jun-2026 (652 M en diciembre), con 173,5 M de ajustes en el semestre por Chiquita Canyon y 137 M de pagos; los pagos futuros sin descontar suman 2.453 M, la mayoría después de 2030 [7]. Contraprestaciones contingentes de compras: 81 M [3]. Covenant de deuda total entre EBITDA ≤3,75 veces (4,25 en periodos de compras); la empresa estaba en 2,76 veces en junio de 2026 [1, 9]. Litigios abiertos sin estimación de pérdida: unos 12.730 demandantes por las emisiones del vertedero de Chiquita Canyon (California), una demanda del condado de Los Angeles, sanciones pendientes de la agencia del aire SCAQMD (476 avisos de infracción) y la demanda por olores del vertedero de Jefferson Parish (Luisiana) [7]. La propia empresa reclama más de 825 M al condado por el cierre [7].</w:t>
      </w:r>
    </w:p>
    <w:p>
      <w:pPr>
        <w:pStyle w:val="Heading1"/>
      </w:pPr>
      <w:r>
        <w:t xml:space="preserve">12. Asignación de capital</w:t>
      </w:r>
    </w:p>
    <w:p>
      <w:pPr>
        <w:pStyle w:val="Confianza"/>
        <w:spacing w:after="100"/>
      </w:pPr>
      <w:r>
        <w:t xml:space="preserve">Confianza: Alta</w:t>
      </w:r>
    </w:p>
    <w:p>
      <w:pPr>
        <w:spacing w:after="100"/>
      </w:pPr>
      <w:r>
        <w:t xml:space="preserve">Prioridades declaradas: compras de residuos sólidos (lo primero), dividendo creciente (sube cada octubre desde 2010; 0,35 USD trimestrales desde octubre de 2025, 1,40 USD anualizados) y recompras oportunistas dentro de la autorización anual (NCIB) del 5 % del capital; la renovada el 7-ago-2026 permite comprar hasta 12,58 M de acciones hasta agosto de 2027 [1, 3, 7]. Apalancamiento objetivo en torno a 2,5-3,0 veces deuda/EBITDA [9]. La empresa promete «crecimiento de dos dígitos de la caja libre por acción» en 2026 y 2027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Progressive Waste Solutions (fusión inversa; sede a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el tamaño y dio la plataforma canadiense, la de mayor margen (45 % de EBITDA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plantas de residuos de petróleo y gas de Secure Energy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(1.075 M CAD)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E&amp;P pasó de 232 M de ingresos en 2023 a 689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compras (incluida Secure)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+11,2 % en 2024; sin deterioros de fondo de comercio desde 2017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compras de residuos sólidos y E&amp;P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Contribución de 242 M de ingresos en el 1S25 de las compras del periodo anterior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residuos de petróleo y gas (comprado en 2012, R360)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467 M en 2020 por la caída del crudo: la única compra grande que salió mal [8].</w:t>
            </w:r>
          </w:p>
        </w:tc>
      </w:tr>
    </w:tbl>
    <w:p>
      <w:pPr>
        <w:spacing w:after="160" w:before="0"/>
      </w:pPr>
    </w:p>
    <w:p>
      <w:pPr>
        <w:spacing w:after="100"/>
      </w:pPr>
      <w:r>
        <w:t xml:space="preserve">La dirección es una asignadora de capital disciplinada en el negocio principal: compra pequeños operadores de residuos sólidos (15-25 al año) a múltiplos por debajo del suyo y los integra en sus vertederos; el resultado se ve en un margen ajustado que sube y en un ROIC estable del 7-8 %. El ROIC no sube porque el fondo de comercio de cada compra entra al precio pagado. El punto débil fue E&amp;P (deterioro de 467 M en 2020), al que volvió en 2024 con Secure. Desde 2025 recompra de forma agresiva (1.120 M en 18 meses) con la acción en mínimos de dos años; el CEO compró 50.000 acciones (7,6 M USD) en mayo de 2026 a 152,24 USD, cerca del precio actual (Form 4; ver gobierno).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J. Mittelstaedt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1997 y la dirigió hasta 2019; presidente ejecutivo en 2019-2023 y de nuevo consejero delegado desde 2023. Con él los ingresos pasaron de cero a 9.467 M y el margen ajustado al 33 %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 Anne Whitney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2006; directora financiera desde julio de 2018. Antes, Wheelabrator Technologies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Jason Craft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según sus Form 4 de 2026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J. Shea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secretario general y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2004; lleva los litigios de Chiquita Canyon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M. Little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ingeniería y eliminación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vertederos; antes en Waste Management (1990-1999)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W. Harlan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1998 y presidente independiente; consejero delegado de Principal Environmental [17].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≈1.800 M (feb-21)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≈2.145 M (feb-22)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2.221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≈2.500 M (feb-23)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2.523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≈2.860 M (feb-24)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2.902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3.050-3.100 M (aprox., feb-25); caja libre ajustada ≈1.300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3.125 M; caja libre 1.259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3.300-3.325 M (feb-26), elevada a 3.330-3.340 M (jul-26)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1.610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la directora financiera, el secretario general y el responsable de vertederos llevan 20-27 años en la empresa [17]. La credibilidad es alta: la empresa ha batido su guía de EBITDA ajustado cada año de 2021 a 2025 [4]; la caja libre de 2025 quedó algo corta por los pagos de Chiquita Canyon y el capex de gas renovable. El riesgo está en la sucesión: el fundador tiene 62 años y volvió en 2023 tras la salida de su sucesor (cuyo coste de separación aún aparece en la caja libre ajustada), y el proxy no nombra a un sucesor [17]. El consejero delegado compró 50.000 acciones (7,6 M USD) en mayo de 2026, la mayor compra de un directivo en años [19].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W. Harlan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Ejecutiva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J. Mittelstaedt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Elise L. Jordan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"Sue"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E. "Ned" Guillet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Cherylyn Harley LeBon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D. Sparks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 L. Florness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7,61 / ventas 5,06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(Schedule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31-oct-2025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(35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690.838 acciones a marzo de 2026; +50.000 del consejero delegado en mayo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46.348 acciones; las recompras se amortizan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Ronald J. Mittelstaedt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J. Shea (secretario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 E. Guillet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Hansen (director de sistemas)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M. Cloninger (vicesecretario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Rivard (desarrollo de negocio)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James M. Little (ingeniería y eliminación)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del consejero delegado (objetivo del 160 % del salario, máximo del doble) se paga sobre EBITDA (20 %), EBIT (20 %), margen EBIT (30 %) y flujo operativo sobre ventas (30 %), contra el presupuesto ajustado; en 2025 se logró el 103 % y se pagó el 160 % del objetivo (3,10 M USD) [17]. El variable a largo plazo (5,30 M) son acciones restringidas y PSU a tres años ligadas a la caja libre ajustada por acción y a la mejora del ROIC (50 % cada una), con un modificador por rentabilidad frente al S&amp;P 500 y un suplemento ESG; los PSU 2023-2025 pagaron el 139,5 % [17]. Las métricas premian rentabilidad y caja, no tamaño. Hay cláusula de recuperación. El voto consultivo sobre remuneración logró un 95,3 % a favor en 2026 y más del 95 % en 2025 [17, 18]. La retribución total objetivo está entre los percentiles 25 y 50 de su grupo de comparación [17].</w:t>
      </w:r>
    </w:p>
    <w:p>
      <w:pPr>
        <w:pStyle w:val="Heading2"/>
      </w:pPr>
      <w:r>
        <w:t xml:space="preserve">Operaciones vinculadas, estructura de control y defensas</w:t>
      </w:r>
    </w:p>
    <w:p>
      <w:pPr>
        <w:spacing w:after="100"/>
      </w:pPr>
      <w:r>
        <w:t xml:space="preserve">Sin accionista de control: el mayor es Vanguard con el 12,4 %, como inversor pasivo [17]. Una sola clase de acciones, una acción un voto; la sociedad es de Ontario (Canadá), con derecho de sociedades canadiense y cotización en NYSE y TSX. El presidente del consejo es independiente desde 2019 y no hay consejero coordinador porque no hace falta. Sin operaciones vinculadas relevantes. Los consejeros deben tener acciones por cinco veces su retribución en efectivo [17]. El punto débil es la permanencia: el presidente lleva 28 años en el consejo y otro consejero 19, y la presidenta de la comisión de remuneraciones obtuvo solo un 66 % de votos a favor en 2026 (33,6 % de abstenciones) tras faltar a las reuniones de julio de 2025 [17, 18].</w:t>
      </w:r>
    </w:p>
    <w:p>
      <w:pPr>
        <w:pStyle w:val="Heading2"/>
      </w:pPr>
      <w:r>
        <w:t xml:space="preserve">Señales de alerta</w:t>
      </w:r>
    </w:p>
    <w:p>
      <w:pPr>
        <w:pStyle w:val="ListParagraph"/>
        <w:numPr>
          <w:ilvl w:val="0"/>
          <w:numId w:val="2"/>
        </w:numPr>
        <w:spacing w:after="60"/>
      </w:pPr>
      <w:r>
        <w:t xml:space="preserve">La presidenta de la comisión de remuneraciones (Susan Lee) recibió un 33,6 % de votos en contra o abstenciones en la junta de mayo de 2026 [18].</w:t>
      </w:r>
    </w:p>
    <w:p>
      <w:pPr>
        <w:pStyle w:val="ListParagraph"/>
        <w:numPr>
          <w:ilvl w:val="0"/>
          <w:numId w:val="2"/>
        </w:numPr>
        <w:spacing w:after="60"/>
      </w:pPr>
      <w:r>
        <w:t xml:space="preserve">Sin sucesor designado para el fundador y consejero delegado, que volvió al cargo en 2023 [17].</w:t>
      </w:r>
    </w:p>
    <w:p>
      <w:pPr>
        <w:pStyle w:val="ListParagraph"/>
        <w:numPr>
          <w:ilvl w:val="0"/>
          <w:numId w:val="2"/>
        </w:numPr>
        <w:spacing w:after="60"/>
      </w:pPr>
      <w:r>
        <w:t xml:space="preserve">Litigios ambientales de Chiquita Canyon sin estimación de pérdida (≈12.730 demandantes; sanciones de SCAQMD pendientes).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(22-jul-2026, elevada desde febrero): ingresos de 10.020-10.050 M, EBITDA ajustado de 3.330-3.340 M (margen del 33,2-33,3 %), beneficio neto de 1.169-1.173 M, capex de ≈1.250 M y caja libre ajustada de 1.400-1.450 M; excluye compras futuras (nota de resultados del 2T26). Para 2027 la dirección solo anticipa «crecimiento de dos dígitos de la caja libre por acción», con menos salidas por Chiquita Canyon y la aportación de las plantas de gas renovable. Resultados del 3T26 el 21-oct-2026 tras el cierre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26 analistas); EBITDA = punto medio de la guía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[22]; TickFlow 6,19 (16 analistas, 1-ago)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 (5 analistas, 1-ago-2026)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162,00 – 220,00</w:t>
            </w:r>
          </w:p>
        </w:tc>
      </w:tr>
    </w:tbl>
    <w:p>
      <w:pPr>
        <w:spacing w:after="160" w:before="0"/>
      </w:pPr>
    </w:p>
    <w:p>
      <w:pPr>
        <w:pStyle w:val="Heading2"/>
      </w:pPr>
      <w:r>
        <w:t xml:space="preserve">Revisiones de estimaciones</w:t>
      </w:r>
    </w:p>
    <w:p>
      <w:pPr>
        <w:spacing w:after="100"/>
      </w:pPr>
      <w:r>
        <w:t xml:space="preserve">BPA ajustado de consenso: 5,45 USD para 2026 a finales de marzo y 5,65 USD hoy, tras dos trimestres por encima de lo esperado (1T26 1,23 USD frente a 1,18; 2T26 1,50 frente a 1,35) [22]. El de 2027 está en 6,19-6,21 USD. Una sola fuente da estimaciones completas (S&amp;P Global vía Stock Analysis); TickFlow las confirma a 1-ago. El objetivo medio de 197,4 USD está un 28 % por encima del precio y no ha seguido la caída de la acción desde agosto.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bl>
    <w:p>
      <w:pPr>
        <w:spacing w:after="160" w:before="0"/>
      </w:pPr>
    </w:p>
    <w:p>
      <w:pPr>
        <w:spacing w:after="100"/>
      </w:pPr>
      <w:r>
        <w:t xml:space="preserve">La acción ha ido muy por detrás del mercado: −10,9 % en un año frente al +17,5 % del S&amp;P 500 y +3,3 % anual en cinco años frente al +12,0 % [21]. Tres causas: la subida del bono a 10 años al 5,2 %, que castiga a los valores defensivos de PER alto; volúmenes negativos tres años seguidos; y Chiquita Canyon (8,2 % de caída el 12-feb-2026 con la guía de 2026, que llevaba más gasto de cierre) [21]. La caída máxima de cinco años, −24,9 %, va de abril de 2025 a mayo de 2026. Tras un rebote a 170 USD en agosto, ha vuelto a 154 USD. Beta mensual de cinco años de 0,46 (0,64 ajustada) [21].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motor calcula el PER y el EV/EBITDA sobre cifras contables, que en 2020 (deterioro de 467 M) y 2024 (613 M) salen distorsionados; 2020 queda excluido. En la base que usa el mercado (BPA ajustado), WCN cotizó entre 31 y 36 veces el BPA del año siguiente en 2019-2025 (mediana de cinco años de 31,6 veces) y hoy cotiza a 25,8 veces nuestro BPA de 2027: un descuento del 18 %. La causa es estructural en parte: el bono a 10 años está en el 5,2 % frente al 1,5-4,0 % de 2019-2024, y los volúmenes caen; pero el crecimiento del BPA ajustado (9-10 % anual) no ha cambiado [21, 22].</w:t>
      </w:r>
    </w:p>
    <w:p>
      <w:pPr>
        <w:pStyle w:val="Heading1"/>
      </w:pPr>
      <w:r>
        <w:t xml:space="preserve">18. Comparables cotizados</w:t>
      </w:r>
    </w:p>
    <w:p>
      <w:pPr>
        <w:pStyle w:val="Confianza"/>
        <w:spacing w:after="100"/>
      </w:pPr>
      <w:r>
        <w:t xml:space="preserve">Confianza: Media</w:t>
      </w:r>
    </w:p>
    <w:p>
      <w:pPr>
        <w:spacing w:after="100"/>
      </w:pPr>
      <w:r>
        <w:t xml:space="preserve">Las cuatro cotizadas de residuos sólidos de Norteamérica (WM, Republic, GFL y Casella), más Clean Harbors (residuos industriales y peligrosos, competidor en E&amp;P) y Veolia (residuos y agua en Europa, el único grande no norteamericano). Todos con Stock Analysis a 14-oct-2026 [25, 26, 27, 28, 29, 30]; PER de los próximos 12 meses = «forward PE» de Stock Analysis (BPA ajustado de consenso); crecimiento = ingresos del año siguiente de consenso. GFL y Casella tienen PER de 60-70 veces por su beneficio deprimido por amortizaciones de compras; Veolia cotiza a múltiplos de utility europea. No hay EV/EBITDA de los próximos 12 meses gratuito con la misma definición, así que queda vacío.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Waste Connections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Waste Management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Republic Services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GFL Environmental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Casella Waste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Clean Harbors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Veolia Environnement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15,9x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 / 30,0x / 53,4x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 / 3,8x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WCN cotiza a 15,5 veces el EBITDA de los últimos 12 meses (Stock Analysis), en línea con Republic (15,5) y por encima de WM (13,8), con el margen EBITDA más alto (33 % ajustado) y menos crecimiento por volumen que Casella. En PER de los próximos 12 meses (26,7 veces en Stock Analysis) está entre WM (24,9) y Republic (28,8), pero su BPA ajustado excluye la amortización de intangibles comprados y el de WM y Republic no: en la misma base estaría unas 2,5 veces más caro. La mediana de PER de los seis comparables es de 30,0 veces, inflada por GFL y Casella; la de WM, Republic y Clean Harbors es de 28,8.</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 Ecology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Republic Services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2.200 M con 700 M de deuda; EBITDA ajustado LTM a sep-21 de 156 M e ingresos de 968 M [31]. Residuos industriales y peligrosos.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Urbaser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EQT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5.600 M EUR, ≈11 veces el EBITDA de 2025 según la prensa [34]. Residuos municipales en Europa.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Environmental Services de GFL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Apollo y BC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8.000 M CAD de valor empresa; el comprador habla de más de 500 M CAD de EBITDA ajustado, lo que da como mucho 16 veces (cálculo propio)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Stericycle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Waste Management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 USD por acción, 7.200 M con 1.400 M de deuda; prima del 24 % sobre la media de 60 días; sin múltiplo publicado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plantas de residuos de petróleo y gas de Secure Energy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1.075 M CAD, desinversión ordenada por el Tribunal de la Competencia; sin múltiplo publicado [35].</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grandes del sector se pagan a 11-16 veces el EBITDA (US Ecology 14,1; Urbaser ≈11; GFL Environmental Services ≤16), cerca del múltiplo al que cotiza WCN (15,5 veces). Las compras pequeñas que hace la propia WCN se pagan menos (8-12 veces según la dirección, no auditado). WCN no es objetivo verosímil de una opa: con 48.000 M de valor empresa solo WM o Republic podrían comprarla, y la competencia lo impediría. Solo dos operaciones tienen múltiplo publicado, por debajo del mínimo de tres: no las ponderamos.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 es fijo: +6,0 %, la guía de 10.020-10.050 M con las compras del año [3]. Desde 2027 proyectamos solo crecimiento orgánico más el arrastre de compras ya pagadas (≈30 M en 2027 [9]): 5,3 % en 2027 y bajada hasta el 3,5 % en 2032. El precio aporta 4,5 puntos (precio core del 5,6-6,5 % en 2024-2026 menos bajas) y el volumen pasa de −1,7 % a +0,5 % [3, 4]. Excluimos compras futuras: se pagan a 10-15 veces EBITDA con un ROIC cercano al WACC, así que añaden ingresos pero poco valor. El consenso de ingresos de 2027 (10.620 M) incluye compras y queda un 0,5 % por encima del nuestro [22].</w:t>
      </w:r>
    </w:p>
    <w:p>
      <w:pPr>
        <w:keepNext/>
        <w:spacing w:after="100"/>
      </w:pPr>
      <w:r>
        <w:rPr>
          <w:b/>
          <w:bCs/>
        </w:rPr>
        <w:t xml:space="preserve">Márgenes.</w:t>
      </w:r>
    </w:p>
    <w:p>
      <w:pPr>
        <w:spacing w:after="100"/>
      </w:pPr>
      <w:r>
        <w:t xml:space="preserve">Partimos del EBITDA contable sin deterioros (32,2 % en 2025) y restamos 0,8 puntos por los deterioros y ajustes de cierre de vertederos que se repiten cada año (191 M de media en 2017-2025) [4, 8]: 31,7 % en 2026. El margen sube 1,2 puntos hasta el 32,9 % en 2031, en línea con la mejora de 2019-2025 (del 31,0 % al 33,0 % ajustado) y con la guía de 2026 (33,2-33,3 % ajustado) [3]. Equivale a un margen ajustado del 33,4 % en 2027 y del 34,2 % en 2031, por encima de WM (30,3 %) y Republic (31,1 %) [12, 13].</w:t>
      </w:r>
    </w:p>
    <w:p>
      <w:pPr>
        <w:keepNext/>
        <w:spacing w:after="100"/>
      </w:pPr>
      <w:r>
        <w:rPr>
          <w:b/>
          <w:bCs/>
        </w:rPr>
        <w:t xml:space="preserve">Inversión y circulante.</w:t>
      </w:r>
    </w:p>
    <w:p>
      <w:pPr>
        <w:spacing w:after="100"/>
      </w:pPr>
      <w:r>
        <w:t xml:space="preserve">Capex de 2026 del 16,4 % de las ventas: 1.250 M de guía más ≈400 M de compras del año, porque el crecimiento de 2026 las incluye [3, 9]. Desde 2027, 12,3 % bajando al 12,0 %, frente al 12,5 % de 2025 que llevaba el pico de las plantas de gas renovable [1]. La amortización (13,0 %, con 2,1 puntos de intangibles comprados) converge al 12,0 % porque, sin compras nuevas, la de intangibles se agota. Circulante del −1,5 % de las ventas (clientes menos proveedores e ingresos anticipados) [3].</w:t>
      </w:r>
    </w:p>
    <w:p>
      <w:pPr>
        <w:keepNext/>
        <w:spacing w:after="100"/>
      </w:pPr>
      <w:r>
        <w:rPr>
          <w:b/>
          <w:bCs/>
        </w:rPr>
        <w:t xml:space="preserve">Coste del capital.</w:t>
      </w:r>
    </w:p>
    <w:p>
      <w:pPr>
        <w:spacing w:after="100"/>
      </w:pPr>
      <w:r>
        <w:t xml:space="preserve">Tasa libre: bono del Tesoro a 10 años al 5,24 % (9-oct-2026) [36]. Beta de 0,65: la mensual de cinco años es de 0,46 y la ajustada de 0,64 [21]; la redondeamos al alza porque el sector cotiza con betas de 0,6-0,8 y la semanal de dos años (0,10) no es fiable. Prima de mercado del 5,5 % y sin prima adicional (86 % del negocio en EE. UU., grado de inversión). Coste de la deuda antes de impuestos del 4,8 %, el de la última emisión (bonos de 2036) [7]. Peso de la deuda del 19,5 % a valor de mercado. WACC del 7,81 %. Con la prima implícita del mercado (4,2 %), el WACC baja al 7,13 %.</w:t>
      </w:r>
    </w:p>
    <w:p>
      <w:pPr>
        <w:keepNext/>
        <w:spacing w:after="100"/>
      </w:pPr>
      <w:r>
        <w:rPr>
          <w:b/>
          <w:bCs/>
        </w:rPr>
        <w:t xml:space="preserve">Valor terminal.</w:t>
      </w:r>
    </w:p>
    <w:p>
      <w:pPr>
        <w:spacing w:after="100"/>
      </w:pPr>
      <w:r>
        <w:t xml:space="preserve">Gordon con un 3,0 %: crecimiento real del 0,5-1 % (población y actividad) más una inflación del 2-2,5 %, por debajo de la tasa libre menos medio punto (4,74 %). El negocio es de precio: el crecimiento terminal depende de seguir subiendo tarifas en línea con la inflación, que es lo que ha hecho durante 25 años. El valor terminal es el 76 % del DCF. Un múltiplo de salida de 15 veces el EBITDA (el de hoy) daría bastante más valor que Gordon: es la diferencia entre lo que paga el mercado y lo que justifica la caja al 7,8 %.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(hoy: 8,2 %)</w:t>
            </w:r>
          </w:p>
        </w:tc>
      </w:tr>
    </w:tbl>
    <w:p>
      <w:pPr>
        <w:spacing w:after="160" w:before="0"/>
      </w:pPr>
    </w:p>
    <w:p>
      <w:pPr>
        <w:spacing w:after="100"/>
      </w:pPr>
      <w:r>
        <w:t xml:space="preserve">La proyección apenas necesita inversión neta de la amortización (reinversión acumulada de 41 M, el 0 % del NOPAT, con un capex bruto medio del 12,7 % de las ventas). En un negocio de activos ligeros, el crecimiento medio del 4,6 % tiene que salir de subir precios y de ganar volumen sin capital nuevo, y la prueba es el poder de precios y la cuota (8,6 % del mercado en 2030e, frente al 8,2 %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precio core ≥5,5 % menos bajas (rendimiento del 4,6 %), volumen del −1,7 % en el 1S26, más compras (≈2 puntos), E&amp;P y reciclaje [3,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4,5 % (contratos indexados al IPC y precio core por encima), volumen casi plano tras tres años negativos y arrastre de compras de 30 M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4,5 % y volumen del +0,5 %, como la media de 2017-2019 antes de la fase de bajas voluntarias.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converge al 4 %: la inflación de costes baja y el diferencial se estrecha.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3,7 % y volumen del 0,5 %; la cuota implícita pasa del 8,2 % al 8,6 %.</w:t>
            </w:r>
          </w:p>
        </w:tc>
      </w:tr>
    </w:tbl>
    <w:p>
      <w:pPr>
        <w:spacing w:after="160" w:before="0"/>
      </w:pPr>
    </w:p>
    <w:p>
      <w:pPr>
        <w:spacing w:after="100"/>
      </w:pPr>
      <w:r>
        <w:t xml:space="preserve">Sí. El crecimiento proyectado (4,6 % de media) sale casi entero de subir precios, y la empresa ha subido el precio core por encima de la inflación cada año desde su salida a bolsa (6,4-6,6 % en 2024-2025 con el margen al alza) [4]. La reinversión es baja porque el negocio es de precio: el motor no hace la prueba de reinversión (0 % del NOPAT), y a mano el capex supera a la depreciación en 1 punto de ventas, suficiente para un volumen del +0,5 %. La cuota implícita sube del 8,2 % al 8,6 % en 2030, holgada. El foso (permisos de vertedero, franquicias exclusivas) es amplio; lo que no sostiene la calidad es un ROIC alto: con 0,6 puntos sobre el WACC, el crecimiento comprado apenas crea valor, por eso no lo proyectamos.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 (base: 32,9 %)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 (WACC: 7,8 %)</w:t>
            </w:r>
          </w:p>
        </w:tc>
      </w:tr>
    </w:tbl>
    <w:p>
      <w:pPr>
        <w:spacing w:after="160" w:before="0"/>
      </w:pPr>
    </w:p>
    <w:p>
      <w:pPr>
        <w:spacing w:after="100"/>
      </w:pPr>
      <w:r>
        <w:t xml:space="preserve">El DCF da 108,54 USD por acción, un 29,4 % por debajo del precio, con un valor terminal del 76 %. El DCF inverso dice que, con nuestro margen, el precio de 153,67 USD descuenta un crecimiento anual del 9,7 % en 2027-2032 frente al 4,4 % de nuestro base, o una rentabilidad implícita del 6,7 % frente a un WACC del 7,8 % y al 7,1 % que pide hoy el mercado. Es exigente pero no absurdo para una empresa que ha crecido un 9,4 % anual desde 2017, la mitad por compras: el mercado paga las compras futuras como si crearan valor y acepta una rentabilidad por debajo de su coste de capital por la estabilidad del negocio. Con la prima implícita del mercado el DCF sube a 132,58 USD, aún un 14 % bajo el precio. La conclusión no depende de la beta (0,46-0,65): depende de la tasa libre al 5,24 %, que no existía cuando el mercado pagaba 31-36 veces el BPA.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con construcción y residuos especiales en caída, volumen del −4 % y precio core que baja al 3 %; Chiquita Canyon suma sanciones y acuerdos de varios cientos de millones. Ya pasó en 2009 (ingresos de los grandes −10-15 %) y en E&amp;P en 2020.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4,5 %, volumen que vuelve a cero en 2027, margen ajustado que sube unos 20-30 pb al año y salidas de Chiquita Canyon decrecientes; sin compras nuevas en la proyección.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 la construcción y de los residuos especiales, IA en precios y rutas que añade 70 pb de margen y gas renovable a pleno rendimiento desde 2027.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53,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101,82 USD (-33,7 %).</w:t>
      </w:r>
    </w:p>
    <w:p>
      <w:pPr>
        <w:spacing w:after="100"/>
      </w:pPr>
      <w:r>
        <w:t xml:space="preserve">La asimetría es mala en valor intrínseco: el alcista vale 121,44 USD (−21,0 %) y el bajista 68,75 USD (−55,3 %), así que incluso el escenario favorable queda bajo el precio. La razón no es el negocio sino la tasa: un WACC del 7,8 % no paga 26 veces el beneficio de una empresa que crece un 5 % orgánico. A 12 meses, con la regla de múltiplos, la asimetría es positiva (2,36 veces): el riesgo del precio a un año es de múltiplo, no de beneficio.</w:t>
      </w:r>
    </w:p>
    <w:p>
      <w:pPr>
        <w:pStyle w:val="Heading1"/>
      </w:pPr>
      <w:r>
        <w:t xml:space="preserve">22. Suma de partes</w:t>
      </w:r>
    </w:p>
    <w:p>
      <w:pPr>
        <w:pStyle w:val="Confianza"/>
        <w:spacing w:after="100"/>
      </w:pPr>
      <w:r>
        <w:t xml:space="preserve">Confianza: Media</w:t>
      </w:r>
    </w:p>
    <w:p>
      <w:pPr>
        <w:spacing w:after="100"/>
      </w:pPr>
      <w:r>
        <w:t xml:space="preserve">No aplica: las seis regiones hacen el mismo negocio integrado de residuos sólidos; E&amp;P (7 % de los ingresos) se reporta dentro de las regiones y no tiene cifras propias de EBITDA.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53,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121,36 USD (-21,0 % sobre 153,67).</w:t>
      </w:r>
    </w:p>
    <w:p>
      <w:pPr>
        <w:spacing w:after="100"/>
      </w:pPr>
      <w:r>
        <w:t xml:space="preserve">Pesamos el DCF al 50 %, los escenarios al 30 % y los comparables al 20 %, sin transacciones (solo dos con múltiplo). El DCF es el método más fiable para un negocio tan estable, pero aquí es muy sensible a la tasa libre y al terminal (76 % del valor). Los comparables por PER de los próximos 12 meses dan 182,71 USD y por EV/EBITDA 162,89 USD, muy por encima del DCF: el sector entero cotiza a múltiplos que su caja no justifica a un 7,8 %, así que los comparables miden el precio relativo, no el valor. La dispersión (68,75-182,71 USD) refleja esa brecha. Valor intrínseco: 121,36 USD, un 21 % por debajo del precio. Puente a 30-jun-2026: deuda financiera bruta de 9.364 M (incluye 15 M de arrendamientos financieros; los operativos no, porque en US GAAP su coste ya está en el EBITDA), caja de 98 M y otros ajustes de 159 M (81 M de contraprestaciones contingentes y 78 M de recompras posteriores al cierre, con las acciones a 31-jul). Las provisiones de cierre de vertederos (709 M) no van al puente, como en los comparables: sus salidas están en el margen del DCF.</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(26.1x) × 1.1 (tope: la mediana de 5 años, 31.6x,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r>
    </w:tbl>
    <w:p>
      <w:pPr>
        <w:spacing w:after="160" w:before="0"/>
      </w:pPr>
    </w:p>
    <w:p>
      <w:pPr>
        <w:spacing w:after="100"/>
      </w:pPr>
      <w:r>
        <w:rPr>
          <w:b/>
          <w:bCs/>
        </w:rPr>
        <w:t xml:space="preserve">Objetivo a 12 meses (ponderado):</w:t>
      </w:r>
      <w:r>
        <w:t xml:space="preserve"> 175,82 USD · rentabilidad +15,3 % (base +18,4 %) · señal Mantener.</w:t>
      </w:r>
    </w:p>
    <w:p>
      <w:pPr>
        <w:spacing w:after="100"/>
      </w:pPr>
      <w:r>
        <w:t xml:space="preserve">Para comparar, con la regla v2 (historia al cierre, mismo precio): 22,2x / 26,1x / 33,9x, 11,2 % Mantener. Decide la regla vigente (v3 con tope ×1,1; METODO-VIGENTE.md).</w:t>
      </w:r>
    </w:p>
    <w:p>
      <w:pPr>
        <w:keepNext/>
        <w:spacing w:after="100"/>
      </w:pPr>
      <w:r>
        <w:rPr>
          <w:b/>
          <w:bCs/>
        </w:rPr>
        <w:t xml:space="preserve">Frente al consenso (solo contraste).</w:t>
      </w:r>
    </w:p>
    <w:p>
      <w:pPr>
        <w:spacing w:after="100"/>
      </w:pPr>
      <w:r>
        <w:t xml:space="preserve">Nuestro BPA ajustado de 2028 (6,29 USD) queda un 7,9 % por debajo del consenso (6,83, solo cinco analistas) y el de 2027 (5,88) un 5,3 % por debajo de 6,21. La diferencia es de recompras y compras: el consenso supone que la empresa sigue recomprando 1,5-2 % del capital al año y comprando 150-250 M de ingresos anuales; nosotros no proyectamos ninguna de las dos (regla del método). En ingresos de 2027 estamos un 0,5 % por debajo y en margen, en línea con la guía. Nuestro precio base (180,52 USD) queda un 8,6 % por debajo del objetivo medio de los analistas (197,40), que no ha seguido la caída de la acción.</w:t>
      </w:r>
    </w:p>
    <w:p>
      <w:pPr>
        <w:keepNext/>
        <w:spacing w:after="100"/>
      </w:pPr>
      <w:r>
        <w:rPr>
          <w:b/>
          <w:bCs/>
        </w:rPr>
        <w:t xml:space="preserve">Del valor intrínseco al objetivo a 12 meses.</w:t>
      </w:r>
    </w:p>
    <w:p>
      <w:pPr>
        <w:spacing w:after="100"/>
      </w:pPr>
      <w:r>
        <w:t xml:space="preserve">El objetivo a 12 meses (175,82 USD ponderado; 180,52 en el base) está un 45 % por encima del valor intrínseco (121,36 USD). La distancia es de tasa de descuento: el objetivo supone que el mercado sigue pagando 28,7 veces el BPA (una recuperación parcial hacia la mediana de 31,6 veces), y el DCF dice que a un 7,8 % de coste de capital eso no se justifica. Para cerrar la distancia hacia arriba haría falta que bajara el bono a 10 años (cada 50 pb de WACC mueven el DCF un 10-15 %); hacia abajo, que el mercado aplique al sector el múltiplo que justifica la caja. La tesis de 12 meses es de múltiplo, no de valor.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subida anual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implica un margen ajustado de ≈34 % en el 3T; confirmar volumen y Chiquita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las plantas de gas renovable en marcha y menos salidas de Chiquita; la dirección promete crecimiento de dos dígitos de la caja libre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Sanciones de SCAQMD y demandas de Chiquita Canyon (≈12.730 demandantes)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no estimada; un acuerdo global podría costar cientos de millones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agosto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bajo la NCIB renovada (hasta 12,58 M de acciones, el 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BPA por acción si se ejecuta; no está en nuestra proyección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a 10 años de EE. UU. (5,24 %)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múltiplo del sector depende de él; una bajada de 100 pb movería el DCF un 25-30 %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del sector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hasta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que crece un 9-10 %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23 veces o 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Chiquita Canyon: sanciones, demandas y más costes de cierre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ambiental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−8 % (500-1.500 M de pagos)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reclama 825 M al condado; reacción «estable y desacelerándose»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ajustes de provisiones o un acuerdo con los demandantes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negativo prolongado (construcción, residuos especiales, bajas por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(escenario bajista a 12 meses: −15,7 %)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core del 5,5-6 %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residuos sólidos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poder de precios (regulación de tarifas, concursos municipales)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exclusivos y vertederos propios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core por debajo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 precios altos o mal integradas (como E&amp;P en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cientos de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fondo de comercio o compra grande fuera de residuos sólidos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fundador y consejero delegado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de 20-27 años en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sin sucesor interno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 la IA se coma el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físico, local y con permisos; la IA la usa la empresa (precios y rutas)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Nada observable hoy; vigilar camiones autónomos y caída de residuos por habitante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Gasóleo, reciclaje y RIN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Recargos de combustible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pb o más de margen perdido por gasóleo en un trimestre</w:t>
            </w:r>
          </w:p>
        </w:tc>
      </w:tr>
    </w:tbl>
    <w:p>
      <w:pPr>
        <w:spacing w:after="160" w:before="0"/>
      </w:pPr>
    </w:p>
    <w:p>
      <w:pPr>
        <w:pStyle w:val="Heading2"/>
      </w:pPr>
      <w:r>
        <w:t xml:space="preserve">Pre-mortem</w:t>
      </w:r>
    </w:p>
    <w:p>
      <w:pPr>
        <w:spacing w:after="100"/>
      </w:pPr>
      <w:r>
        <w:t xml:space="preserve">Octubre de 2029: la acción ha perdido un 40 % y cotiza a 92 USD. Lo que pasó: el bono a 10 años de EE. UU. no bajó del 5 % y el mercado dejó de pagar 30 veces por el crecimiento de un dígito; el sector se recolocó a 18-20 veces el BPA, como las utilities. A la vez, la recesión de 2027-2028 llevó el volumen a −4 % durante dos años y el precio core bajó al 3,5 % porque los municipios sacaron a concurso franquicias que antes se renovaban solas. Chiquita Canyon terminó con un acuerdo de 900 M con vecinos y condado, y el fundador se retiró en 2028 sin un sucesor con su historial de compras. El BPA ajustado de 2029 quedó en 6,0 USD en vez de 7,0, y a 15 veces da 90 USD. Los indicadores que lo anunciaban: el PER adelantado cayendo por debajo de 23 veces (el mínimo de la década), el precio core por debajo del 4,5 % durante dos trimestres y nuevos ajustes de provisiones de cierre en California.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(1) Metano de vertedero y gas renovable: la empresa captura gas para producir gas natural renovable y vende créditos RIN; la regulación de metano (EPA, CARB) eleva el capex y las sanciones [1, 7]. (2) Gestión de vertederos: la reacción térmica de Chiquita Canyon costó 613 M en 2024, 138 M en el 1S26 y 100-150 M de caja en 2026, además de litigios con unos 12.730 demandantes [7]. (3) Seguridad laboral y retención de conductores: la siniestralidad récord de 2025 explica la mitad de la mejora de margen subyacente del 2T26 por menores costes de seguros [9, 17].</w:t>
      </w:r>
    </w:p>
    <w:p>
      <w:pPr>
        <w:pStyle w:val="Heading2"/>
      </w:pPr>
      <w:r>
        <w:t xml:space="preserve">Controversias</w:t>
      </w:r>
    </w:p>
    <w:p>
      <w:pPr>
        <w:spacing w:after="100"/>
      </w:pPr>
      <w:r>
        <w:t xml:space="preserve">Chiquita Canyon (California): emisiones y lixiviados desde mayo de 2023, 476 avisos de infracción de SCAQMD, demanda del condado de Los Angeles (2024), demanda de SCAQMD por sanciones (mayo de 2026) y acciones de miles de vecinos; cierre del vertedero en 2025 [7]. Jefferson Parish (Luisiana): demandas por olores, con un caso individual (Crossman) que va a juicio [7].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Chiquita Canyon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rango de salidas de caja totales esperadas (cierre, lixiviados, sanciones y acuerdos) hasta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único riesgo que puede costar más de un año de caja libre; hoy no hay estimación.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 las 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después de impuestos dan las compras de 2022-2024 al tercer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ROIC del grupo de 8,4 %, la creación de valor de las compras es la duda central.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volumen de 2024-2026 son bajas voluntarias por precio y qué parte es ciclo?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volumen vuelve a positivo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puntos de rendimiento atribuye a la herramienta de precios con IA y cuánto churn genera?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el 4,6 % de rendimiento; si aumenta las bajas, el efecto neto es menor.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criterio de precio recompra y a qué apalancamiento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las incluye y nosotros no: son 5-8 % de diferencia en el BPA de 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sucesor interno identificado para 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fundador volvió en 2023 tras la salida de su sucesor.</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análisis en tres meses: dos alcistas tras el 2T26 («el mercado sobrevalora vientos en contra temporales», «crecimiento moderado convertido en rentabilidad excepcional») y dos prudentes («mejores márgenes pero volumen débil», «algo cara para ser basura», 12-oct) [41, 43,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 batir previsiones y subir la guía en el 2T26 y elogios de analistas tras resultados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 debate: señales técnicas, opciones y avisos del acuerdo de 1,4 M USD por recargos de combustible a clientes comerciales; algún mensaje de compra en la zona de 148-150 USD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o aún cara?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25,8 veces nuestro BPA de 2027 cotiza un 18 % por debajo de su mediana de cinco años, pero a un PER más alto que WM con el bono al 5,2 %. Los dos lados tienen parte de razón.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negativo frente a precio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−1,7 % en el 1S26 con precio core del 5,8 %: el diferencial sigue a favor, pero la empresa crece menos que en 2021-2024 [A3].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Recargos de combustible y demandas de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es de 1,4 M USD, inmaterial; el riesgo real es la pérdida de clientes ante los recargos (10-15 pb de volumen según la dirección) [A9].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compra del consejero delegado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692 M recomprados hasta julio y 7,6 M USD comprados por el consejero delegado a 152 USD [A3, C3].</w:t>
            </w:r>
          </w:p>
        </w:tc>
      </w:tr>
    </w:tbl>
    <w:p>
      <w:pPr>
        <w:spacing w:after="160" w:before="0"/>
      </w:pPr>
    </w:p>
    <w:p>
      <w:pPr>
        <w:spacing w:after="100"/>
      </w:pPr>
      <w:r>
        <w:t xml:space="preserve">El sentimiento no es extremo: ni capitulación ni euforia. Los particulares están más fríos que los analistas (25 de 28 recomiendan comprar con un objetivo medio de 197 USD), y la discusión gira sobre si el múltiplo puede volver a 30 veces con el bono al 5,2 %. Ningún foro señala un riesgo que el informe no recoja; casi nadie habla de Chiquita Canyon, que es el riesgo binario.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44 (20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8,6 % en 2030e frente al 8,2 %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-1,5 % frente a -1,6 %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20, 23, 38,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Stericycle, GFL Environmental Services y las plantas de Secure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oficiales de WM, GFL y Secure (sin múltiplo); 2) prensa sectorial (Waste Dive, Waste Advantage); 3) cálculo con el EBITDA publicado (solo posible en US Ecology; GFL da un mínimo de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de 2027 y 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(pide registro); 2) Stock Analysis (solo ingresos y BPA); 3) aktien.guide y stocksguide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(no las cita); 2) informe de sostenibilidad (no descargado); 3) búsqueda web (sin dato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consolidadas, notas de segmentos, deuda, cierre de vertederos y contingencias)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https://www.sec.gov/Archives/edgar/data/1318220/000110465926013700/wcn-20251231x10k.htm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XBRL companyfacts de la SEC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https://data.sec.gov/api/xbrl/companyfacts/CIK0001318220.json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2T26 (Exhibit 99.1): cuenta, balance a 30-jun-26, flujos, conciliaciones y guía 2026 elevada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https://www.sec.gov/Archives/edgar/data/1318220/000110465926085802/wcn-20260722xex99d1.htm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4T25 y del ejercicio 2025 (conciliaciones de EBITDA y BPA ajustados;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https://www.sec.gov/Archives/edgar/data/1318220/000110465926013370/wcn-20260211xex99d1.htm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https://www.sec.gov/Archives/edgar/data/1318220/000110465926046820/wcn-20260422xex99d1.htm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https://www.sec.gov/Archives/edgar/data/1318220/000110465925101248/wcn-20251021xex99d1.htm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(deuda, cierre de vertederos, contingencias de Chiquita Canyon, recompras y hechos posteriores)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https://www.sec.gov/Archives/edgar/data/1318220/000110465926086006/wcn-20260630x10q.htm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 de 2017 a 2023 (BPA y EBITDA ajustados, deterioros y amortización de intangibles por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https://www.sec.gov/Archives/edgar/data/1318220/000155837024001061/wcn-20240213xex99d1.htm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2T26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https://s21.q4cdn.com/540990023/files/doc_earnings/2026/q2/transcript/Q2-2026-Transcript.pdf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https://s21.q4cdn.com/540990023/files/doc_earnings/2026/q1/transcript/Q1-2026-Transcript.pdf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«Gestión de residuos sólidos»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(sectores/residuos-2026-10-14.md)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sectores/residuos-2026-10-14.md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Management: key statistics (ingresos, EBITDA, márgenes,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Republic Services: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https://stockanalysis.com/stocks/rsg/statistics/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GFL Environmental: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https://stockanalysis.com/stocks/gfl/statistics/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Casella Waste Systems: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https://stockanalysis.com/stocks/cwst/statistics/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Clean Harbors: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https://stockanalysis.com/stocks/clh/statistics/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2026 (ESG: objetivos de emisiones, seguridad y retención)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https://www.sec.gov/Archives/edgar/data/1318220/000110465926039146/tm2529435-2_def14a.htm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https://www.sec.gov/Archives/edgar/data/1318220/000110465926062507/tm2614785d1_8k.htm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14-oct-2025 y el 14-oct-2026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https://www.sec.gov/cgi-bin/browse-edgar?action=getcompany&amp;CIK=0001318220&amp;type=4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Daniel L. Florness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https://www.sec.gov/Archives/edgar/data/1318220/000110465926031042/tm269110d1_ex99-1.htm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WCN, ^GSPC y XLI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https://finance.yahoo.com/quote/WCN/history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WCN: estimaciones de ingresos y BPA, objetivo de precio y recomendaciones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https://stockanalysis.com/stocks/wcn/forecast/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WCN: key statistics (capitalización, acciones,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WCN EPS estimates 2027-2028 (16 y 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https://www.tickflow.io/stock/WCN/forecast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Management: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Republic Services: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https://stockanalysis.com/stocks/rsg/forecast/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GFL Environmental: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https://stockanalysis.com/stocks/gfl/forecast/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Casella Waste Systems: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https://stockanalysis.com/stocks/cwst/forecast/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Clean Harbors: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https://stockanalysis.com/stocks/clh/forecast/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Veolia Environnement (EPA:VIE):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Republic Services to acquire US Ecology (8-K, Exhibit 99.1: 2.200 M de valor; EBITDA ajustado LTM 156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Republic Services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https://www.sec.gov/Archives/edgar/data/1060391/000119312522031959/d290172dex991.htm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WM to acquire Stericycle for 7.2 billion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Management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https://www.sec.gov/Archives/edgar/data/823768/000110465924068410/tm2416276d1_ex99-1.htm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GFL announces agreement to sell Environmental Services business valued at 8.0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GFL Environmental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https://www.sec.gov/Archives/edgar/data/1780232/000110465925001513/tm252025d1_ex99-1.htm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Blackstone and EQT to acquire Spanish waste business Urbaser for 5.6bn (≈11 veces EBITDA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 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https://www.pehub.com/blackstone-and-eqt-to-acquire-spanish-waste-business-urbaser-in-e5-6bn-deal/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SECURE announces 1.075 billion asset sale to Waste Connections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Secure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https://secure-energy.mediaroom.com/2023-12-11-SECURE-Announces-1-075-Billion-Asset-Sale-to-Waste-Connections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del Tesoro de EE. UU. a 10 años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 1,1195 USD; 1,5918 CAD)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anuncio de la fecha de resultados del 3T26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https://s21.q4cdn.com/540990023/files/doc_news/2026/Sep/30/WCN-Q3-2026-Earnings-Call-Announcement.pdf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renovación de la NCIB (251.569.244 acciones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Waste Connections,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https://www.sec.gov/Archives/edgar/data/1318220/000110465926092680/tm2622609d1_ex99-1.htm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canal RSS de WCN (análisis y noticias,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https://seekingalpha.com/api/sa/combined/WCN.xml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$WCN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https://api.stocktwits.com/api/2/streams/symbol/WCN.json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«Waste Connections: A Little Expensive To Own Trash Right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https://seekingalpha.com/article/4953586-waste-connections-a-little-expensive-to-own-trash-right-now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«Better Margins, But Volume Trend Is Still Weak» y «The Market Is Overpricing Temporary Headwinds»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https://seekingalpha.com/article/4925662-waste-connections-stock-better-margins-but-volume-trend-weak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14 oct 2026.</w:t>
      </w:r>
    </w:p>
    <w:p>
      <w:pPr>
        <w:pStyle w:val="Nota"/>
        <w:spacing w:after="100"/>
      </w:pPr>
      <w:r>
        <w:t xml:space="preserve">Cuentas de 2017-2025 del XBRL de la SEC (cuentas.mjs), comprobadas con el 10-K 2025 y las notas de resultados de cada cuarto trimestre; 2016 queda fuera por la fusión con Progressive Waste (junio de 2016). Línea cotizada: NYSE en USD (también cotiza en la TSX en CAD); la empresa presenta en USD con US GAAP. El precio es el cierre del 13-oct-2026 (la sesión del 14-oct no había cerrado). Segmentos solo de 2023-2025 (la segmentación en seis regiones vigente no está reexpresada para años anteriores). El BPA de la rentabilidad a 12 meses es el ajustado de la empresa (sin amortización de intangibles comprados ni deterioros), que es el del consenso y el de la historia del PER; el de la cuenta es el contable. Consenso de una sola fuente con estimaciones completas (S&amp;P Global vía Stock Analysis), contrastada con TickFlow; sin EBITDA de consenso de 2027 ni EV/EBITDA de los próximos 12 meses de los comparables.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Waste Connections, Inc. (WCN)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153,67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(146,89 – 179,74)</c:v>
                </c:pt>
                <c:pt idx="1">
                  <c:v>Precio objetivo de los analistas (162,00 – 220,00)</c:v>
                </c:pt>
                <c:pt idx="2">
                  <c:v>Comparables: PER NTM (157,59 – 325,23)</c:v>
                </c:pt>
                <c:pt idx="3">
                  <c:v>DCF (WACC y g ± 0,5) (86,03 – 142,81)</c:v>
                </c:pt>
                <c:pt idx="4">
                  <c:v>Escenarios (bajista – alcista) (68,75 – 121,44)</c:v>
                </c:pt>
                <c:pt idx="5">
                  <c:v>DCF con la prima implícita del mercado (4,2 %)</c:v>
                </c:pt>
                <c:pt idx="6">
                  <c:v>Precio actual (153,67)</c:v>
                </c:pt>
              </c:strCache>
            </c:strRef>
          </c:cat>
          <c:val>
            <c:numRef>
              <c:f>Hoja1!$B$2:$B$8</c:f>
              <c:numCache>
                <c:formatCode>#,##0</c:formatCode>
                <c:ptCount val="7"/>
                <c:pt idx="0">
                  <c:v>146.89</c:v>
                </c:pt>
                <c:pt idx="1">
                  <c:v>162</c:v>
                </c:pt>
                <c:pt idx="2">
                  <c:v>157.59</c:v>
                </c:pt>
                <c:pt idx="3">
                  <c:v>86.03</c:v>
                </c:pt>
                <c:pt idx="4">
                  <c:v>68.75</c:v>
                </c:pt>
                <c:pt idx="5">
                  <c:v>114.22</c:v>
                </c:pt>
                <c:pt idx="6">
                  <c:v>152.9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(146,89 – 179,74)</c:v>
                </c:pt>
                <c:pt idx="1">
                  <c:v>Precio objetivo de los analistas (162,00 – 220,00)</c:v>
                </c:pt>
                <c:pt idx="2">
                  <c:v>Comparables: PER NTM (157,59 – 325,23)</c:v>
                </c:pt>
                <c:pt idx="3">
                  <c:v>DCF (WACC y g ± 0,5) (86,03 – 142,81)</c:v>
                </c:pt>
                <c:pt idx="4">
                  <c:v>Escenarios (bajista – alcista) (68,75 – 121,44)</c:v>
                </c:pt>
                <c:pt idx="5">
                  <c:v>DCF con la prima implícita del mercado (4,2 %)</c:v>
                </c:pt>
                <c:pt idx="6">
                  <c:v>Precio actual (153,67)</c:v>
                </c:pt>
              </c:strCache>
            </c:strRef>
          </c:cat>
          <c:val>
            <c:numRef>
              <c:f>Hoja1!$C$2:$C$8</c:f>
              <c:numCache>
                <c:formatCode>#,##0</c:formatCode>
                <c:ptCount val="7"/>
                <c:pt idx="0">
                  <c:v>32.85000000000002</c:v>
                </c:pt>
                <c:pt idx="1">
                  <c:v>58</c:v>
                </c:pt>
                <c:pt idx="2">
                  <c:v>167.64000000000001</c:v>
                </c:pt>
                <c:pt idx="3">
                  <c:v>56.78</c:v>
                </c:pt>
                <c:pt idx="4">
                  <c:v>52.69</c:v>
                </c:pt>
                <c:pt idx="5">
                  <c:v>41.80000000000001</c:v>
                </c:pt>
                <c:pt idx="6">
                  <c:v>1.539999999999992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Southern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1642.3</c:v>
                </c:pt>
                <c:pt idx="1">
                  <c:v>1757.2</c:v>
                </c:pt>
                <c:pt idx="2">
                  <c:v>1907.8</c:v>
                </c:pt>
              </c:numCache>
            </c:numRef>
          </c:val>
        </c:ser>
        <c:ser>
          <c:idx val="1"/>
          <c:order val="1"/>
          <c:tx>
            <c:strRef>
              <c:f>Hoja1!$C$1</c:f>
              <c:strCache>
                <c:ptCount val="1"/>
                <c:pt idx="0">
                  <c:v>Western</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1669.3</c:v>
                </c:pt>
                <c:pt idx="1">
                  <c:v>1798.7</c:v>
                </c:pt>
                <c:pt idx="2">
                  <c:v>1849.4</c:v>
                </c:pt>
              </c:numCache>
            </c:numRef>
          </c:val>
        </c:ser>
        <c:ser>
          <c:idx val="2"/>
          <c:order val="2"/>
          <c:tx>
            <c:strRef>
              <c:f>Hoja1!$D$1</c:f>
              <c:strCache>
                <c:ptCount val="1"/>
                <c:pt idx="0">
                  <c:v>Eastern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1380.2</c:v>
                </c:pt>
                <c:pt idx="1">
                  <c:v>1564.2</c:v>
                </c:pt>
                <c:pt idx="2">
                  <c:v>1702.2</c:v>
                </c:pt>
              </c:numCache>
            </c:numRef>
          </c:val>
        </c:ser>
        <c:ser>
          <c:idx val="3"/>
          <c:order val="3"/>
          <c:tx>
            <c:strRef>
              <c:f>Hoja1!$E$1</c:f>
              <c:strCache>
                <c:ptCount val="1"/>
                <c:pt idx="0">
                  <c:v>Central</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1440.2</c:v>
                </c:pt>
                <c:pt idx="1">
                  <c:v>1514.9</c:v>
                </c:pt>
                <c:pt idx="2">
                  <c:v>1589.9</c:v>
                </c:pt>
              </c:numCache>
            </c:numRef>
          </c:val>
        </c:ser>
        <c:ser>
          <c:idx val="4"/>
          <c:order val="4"/>
          <c:tx>
            <c:strRef>
              <c:f>Hoja1!$F$1</c:f>
              <c:strCache>
                <c:ptCount val="1"/>
                <c:pt idx="0">
                  <c:v>Canada</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995.8</c:v>
                </c:pt>
                <c:pt idx="1">
                  <c:v>1261</c:v>
                </c:pt>
                <c:pt idx="2">
                  <c:v>1324.9</c:v>
                </c:pt>
              </c:numCache>
            </c:numRef>
          </c:val>
        </c:ser>
        <c:ser>
          <c:idx val="5"/>
          <c:order val="5"/>
          <c:tx>
            <c:strRef>
              <c:f>Hoja1!$G$1</c:f>
              <c:strCache>
                <c:ptCount val="1"/>
                <c:pt idx="0">
                  <c:v>MidSouth</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894.2</c:v>
                </c:pt>
                <c:pt idx="1">
                  <c:v>1023.6</c:v>
                </c:pt>
                <c:pt idx="2">
                  <c:v>1092.7</c:v>
                </c:pt>
              </c:numCache>
            </c:numRef>
          </c:val>
        </c:ser>
        <c:ser>
          <c:idx val="6"/>
          <c:order val="6"/>
          <c:tx>
            <c:strRef>
              <c:f>Hoja1!$H$1</c:f>
              <c:strCache>
                <c:ptCount val="1"/>
                <c:pt idx="0">
                  <c:v>Corporate</c:v>
                </c:pt>
              </c:strCache>
            </c:strRef>
          </c:tx>
          <c:spPr>
            <a:solidFill>
              <a:srgbClr val="4A3AA7"/>
            </a:solidFill>
            <a:ln w="12700">
              <a:solidFill>
                <a:srgbClr val="FFFFFF"/>
              </a:solidFill>
            </a:ln>
          </c:spPr>
          <c:invertIfNegative val="0"/>
          <c:cat>
            <c:strRef>
              <c:f>Hoja1!$A$2:$A$4</c:f>
              <c:strCache>
                <c:ptCount val="3"/>
                <c:pt idx="0">
                  <c:v>2023</c:v>
                </c:pt>
                <c:pt idx="1">
                  <c:v>2024</c:v>
                </c:pt>
                <c:pt idx="2">
                  <c:v>2025</c:v>
                </c:pt>
              </c:strCache>
            </c:strRef>
          </c:cat>
          <c:val>
            <c:numRef>
              <c:f>Hoja1!$H$2:$H$4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Southern</c:v>
                </c:pt>
                <c:pt idx="1">
                  <c:v>Western</c:v>
                </c:pt>
                <c:pt idx="2">
                  <c:v>Eastern</c:v>
                </c:pt>
                <c:pt idx="3">
                  <c:v>Central</c:v>
                </c:pt>
                <c:pt idx="4">
                  <c:v>Canada</c:v>
                </c:pt>
                <c:pt idx="5">
                  <c:v>MidSouth</c:v>
                </c:pt>
                <c:pt idx="6">
                  <c:v>Corporate</c:v>
                </c:pt>
              </c:strCache>
            </c:strRef>
          </c:cat>
          <c:val>
            <c:numRef>
              <c:f>Hoja1!$B$2:$B$8</c:f>
              <c:numCache>
                <c:formatCode>General</c:formatCode>
                <c:ptCount val="7"/>
                <c:pt idx="0">
                  <c:v>20.2</c:v>
                </c:pt>
                <c:pt idx="1">
                  <c:v>19.5</c:v>
                </c:pt>
                <c:pt idx="2">
                  <c:v>18</c:v>
                </c:pt>
                <c:pt idx="3">
                  <c:v>16.8</c:v>
                </c:pt>
                <c:pt idx="4">
                  <c:v>14</c:v>
                </c:pt>
                <c:pt idx="5">
                  <c:v>11.5</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Canadá</c:v>
                </c:pt>
              </c:strCache>
            </c:strRef>
          </c:cat>
          <c:val>
            <c:numRef>
              <c:f>Hoja1!$B$2:$B$3</c:f>
              <c:numCache>
                <c:formatCode>0"%"</c:formatCode>
                <c:ptCount val="2"/>
                <c:pt idx="0">
                  <c:v>86</c:v>
                </c:pt>
                <c:pt idx="1">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c:v>
                </c:pt>
                <c:pt idx="5">
                  <c:v>2026e</c:v>
                </c:pt>
                <c:pt idx="6">
                  <c:v>2028e</c:v>
                </c:pt>
                <c:pt idx="7">
                  <c:v>2030e</c:v>
                </c:pt>
              </c:strCache>
            </c:strRef>
          </c:cat>
          <c:val>
            <c:numRef>
              <c:f>Hoja1!$B$2:$B$9</c:f>
              <c:numCache>
                <c:formatCode>#,##0</c:formatCode>
                <c:ptCount val="8"/>
                <c:pt idx="0">
                  <c:v>92000</c:v>
                </c:pt>
                <c:pt idx="1">
                  <c:v>100000</c:v>
                </c:pt>
                <c:pt idx="2">
                  <c:v>106000</c:v>
                </c:pt>
                <c:pt idx="3">
                  <c:v>111000</c:v>
                </c:pt>
                <c:pt idx="4">
                  <c:v>115000</c:v>
                </c:pt>
                <c:pt idx="5">
                  <c:v>120000</c:v>
                </c:pt>
                <c:pt idx="6">
                  <c:v>130000</c:v>
                </c:pt>
                <c:pt idx="7">
                  <c:v>141000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3</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Waste Connections</c:v>
                </c:pt>
                <c:pt idx="1">
                  <c:v>Waste Management</c:v>
                </c:pt>
                <c:pt idx="2">
                  <c:v>Republic Services</c:v>
                </c:pt>
                <c:pt idx="3">
                  <c:v>GFL Environmental</c:v>
                </c:pt>
                <c:pt idx="4">
                  <c:v>Casella Waste Systems</c:v>
                </c:pt>
                <c:pt idx="5">
                  <c:v>Clean Harbors</c:v>
                </c:pt>
                <c:pt idx="6">
                  <c:v>Operadores privados y municipios</c:v>
                </c:pt>
              </c:strCache>
            </c:strRef>
          </c:cat>
          <c:val>
            <c:numRef>
              <c:f>Hoja1!$B$2:$B$8</c:f>
              <c:numCache>
                <c:formatCode>0.0"%"</c:formatCode>
                <c:ptCount val="7"/>
                <c:pt idx="0">
                  <c:v>19.2</c:v>
                </c:pt>
                <c:pt idx="1">
                  <c:v>18.6</c:v>
                </c:pt>
                <c:pt idx="2">
                  <c:v>20.4</c:v>
                </c:pt>
                <c:pt idx="3">
                  <c:v>8</c:v>
                </c:pt>
                <c:pt idx="4">
                  <c:v>5.5</c:v>
                </c:pt>
                <c:pt idx="5">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strCache>
            </c:strRef>
          </c:cat>
          <c:val>
            <c:numRef>
              <c:f>Hoja1!$B$2:$B$17</c:f>
              <c:numCache>
                <c:formatCode>#,##0</c:formatCode>
                <c:ptCount val="16"/>
                <c:pt idx="0">
                  <c:v>4630.5</c:v>
                </c:pt>
                <c:pt idx="1">
                  <c:v>4922.9</c:v>
                </c:pt>
                <c:pt idx="2">
                  <c:v>5388.7</c:v>
                </c:pt>
                <c:pt idx="3">
                  <c:v>5446</c:v>
                </c:pt>
                <c:pt idx="4">
                  <c:v>6151.4</c:v>
                </c:pt>
                <c:pt idx="5">
                  <c:v>7211.9</c:v>
                </c:pt>
                <c:pt idx="6">
                  <c:v>8022</c:v>
                </c:pt>
                <c:pt idx="7">
                  <c:v>8919.6</c:v>
                </c:pt>
                <c:pt idx="8">
                  <c:v>9466.9</c:v>
                </c:pt>
                <c:pt idx="9">
                  <c:v>10035</c:v>
                </c:pt>
                <c:pt idx="10">
                  <c:v>10567</c:v>
                </c:pt>
                <c:pt idx="11">
                  <c:v>11095</c:v>
                </c:pt>
                <c:pt idx="12">
                  <c:v>11605</c:v>
                </c:pt>
                <c:pt idx="13">
                  <c:v>12093</c:v>
                </c:pt>
                <c:pt idx="14">
                  <c:v>12552</c:v>
                </c:pt>
                <c:pt idx="15">
                  <c:v>12992</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strCache>
            </c:strRef>
          </c:cat>
          <c:val>
            <c:numRef>
              <c:f>Hoja1!$C$2:$C$17</c:f>
              <c:numCache>
                <c:formatCode>#,##0</c:formatCode>
                <c:ptCount val="16"/>
                <c:pt idx="0">
                  <c:v>1416.1</c:v>
                </c:pt>
                <c:pt idx="1">
                  <c:v>1532.8</c:v>
                </c:pt>
                <c:pt idx="2">
                  <c:v>1643.6000000000001</c:v>
                </c:pt>
                <c:pt idx="3">
                  <c:v>1631.5</c:v>
                </c:pt>
                <c:pt idx="4">
                  <c:v>1884.8999999999999</c:v>
                </c:pt>
                <c:pt idx="5">
                  <c:v>2179.3999999999996</c:v>
                </c:pt>
                <c:pt idx="6">
                  <c:v>2478.3</c:v>
                </c:pt>
                <c:pt idx="7">
                  <c:v>2844.5</c:v>
                </c:pt>
                <c:pt idx="8">
                  <c:v>3052</c:v>
                </c:pt>
                <c:pt idx="9">
                  <c:v>3181</c:v>
                </c:pt>
                <c:pt idx="10">
                  <c:v>3392</c:v>
                </c:pt>
                <c:pt idx="11">
                  <c:v>3595</c:v>
                </c:pt>
                <c:pt idx="12">
                  <c:v>3783</c:v>
                </c:pt>
                <c:pt idx="13">
                  <c:v>3966</c:v>
                </c:pt>
                <c:pt idx="14">
                  <c:v>4130</c:v>
                </c:pt>
                <c:pt idx="15">
                  <c:v>4274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41.6</c:v>
                </c:pt>
                <c:pt idx="1">
                  <c:v>41.8</c:v>
                </c:pt>
                <c:pt idx="2">
                  <c:v>40.6</c:v>
                </c:pt>
                <c:pt idx="3">
                  <c:v>39.8</c:v>
                </c:pt>
                <c:pt idx="4">
                  <c:v>40.6</c:v>
                </c:pt>
                <c:pt idx="5">
                  <c:v>39.9</c:v>
                </c:pt>
                <c:pt idx="6">
                  <c:v>40.9</c:v>
                </c:pt>
                <c:pt idx="7">
                  <c:v>41.8</c:v>
                </c:pt>
                <c:pt idx="8">
                  <c:v>42.4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30.6</c:v>
                </c:pt>
                <c:pt idx="1">
                  <c:v>31.1</c:v>
                </c:pt>
                <c:pt idx="2">
                  <c:v>30.5</c:v>
                </c:pt>
                <c:pt idx="3">
                  <c:v>30</c:v>
                </c:pt>
                <c:pt idx="4">
                  <c:v>30.6</c:v>
                </c:pt>
                <c:pt idx="5">
                  <c:v>30.2</c:v>
                </c:pt>
                <c:pt idx="6">
                  <c:v>30.9</c:v>
                </c:pt>
                <c:pt idx="7">
                  <c:v>31.9</c:v>
                </c:pt>
                <c:pt idx="8">
                  <c:v>32.2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16.9</c:v>
                </c:pt>
                <c:pt idx="1">
                  <c:v>17.3</c:v>
                </c:pt>
                <c:pt idx="2">
                  <c:v>16.7</c:v>
                </c:pt>
                <c:pt idx="3">
                  <c:v>16.1</c:v>
                </c:pt>
                <c:pt idx="4">
                  <c:v>17.4</c:v>
                </c:pt>
                <c:pt idx="5">
                  <c:v>17.5</c:v>
                </c:pt>
                <c:pt idx="6">
                  <c:v>18.4</c:v>
                </c:pt>
                <c:pt idx="7">
                  <c:v>18.8</c:v>
                </c:pt>
                <c:pt idx="8">
                  <c:v>19.2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Hoja1!$E$2:$E$10</c:f>
              <c:numCache>
                <c:formatCode>0"%"</c:formatCode>
                <c:ptCount val="9"/>
                <c:pt idx="0">
                  <c:v>12.5</c:v>
                </c:pt>
                <c:pt idx="1">
                  <c:v>11.1</c:v>
                </c:pt>
                <c:pt idx="2">
                  <c:v>10.5</c:v>
                </c:pt>
                <c:pt idx="3">
                  <c:v>3.8</c:v>
                </c:pt>
                <c:pt idx="4">
                  <c:v>10</c:v>
                </c:pt>
                <c:pt idx="5">
                  <c:v>11.6</c:v>
                </c:pt>
                <c:pt idx="6">
                  <c:v>9.5</c:v>
                </c:pt>
                <c:pt idx="7">
                  <c:v>6.9</c:v>
                </c:pt>
                <c:pt idx="8">
                  <c:v>11.4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5.1</c:v>
                </c:pt>
                <c:pt idx="5">
                  <c:v>5</c:v>
                </c:pt>
                <c:pt idx="6">
                  <c:v>6.4</c:v>
                </c:pt>
                <c:pt idx="7">
                  <c:v>6.4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2</c:v>
                </c:pt>
                <c:pt idx="5">
                  <c:v>2</c:v>
                </c:pt>
                <c:pt idx="6">
                  <c:v>3.1</c:v>
                </c:pt>
                <c:pt idx="7">
                  <c:v>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44</c:v>
                </c:pt>
                <c:pt idx="1">
                  <c:v>45</c:v>
                </c:pt>
                <c:pt idx="2">
                  <c:v>45</c:v>
                </c:pt>
                <c:pt idx="3">
                  <c:v>42</c:v>
                </c:pt>
                <c:pt idx="4">
                  <c:v>42</c:v>
                </c:pt>
                <c:pt idx="5">
                  <c:v>42</c:v>
                </c:pt>
                <c:pt idx="6">
                  <c:v>39</c:v>
                </c:pt>
                <c:pt idx="7">
                  <c:v>38</c:v>
                </c:pt>
                <c:pt idx="8">
                  <c:v>40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45</c:v>
                </c:pt>
                <c:pt idx="1">
                  <c:v>46</c:v>
                </c:pt>
                <c:pt idx="2">
                  <c:v>50</c:v>
                </c:pt>
                <c:pt idx="3">
                  <c:v>32</c:v>
                </c:pt>
                <c:pt idx="4">
                  <c:v>39</c:v>
                </c:pt>
                <c:pt idx="5">
                  <c:v>54</c:v>
                </c:pt>
                <c:pt idx="6">
                  <c:v>49</c:v>
                </c:pt>
                <c:pt idx="7">
                  <c:v>45</c:v>
                </c:pt>
                <c:pt idx="8">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708</c:v>
                </c:pt>
                <c:pt idx="1">
                  <c:v>865.1</c:v>
                </c:pt>
                <c:pt idx="2">
                  <c:v>906.1</c:v>
                </c:pt>
                <c:pt idx="3">
                  <c:v>811.4</c:v>
                </c:pt>
                <c:pt idx="4">
                  <c:v>950.8000000000001</c:v>
                </c:pt>
                <c:pt idx="5">
                  <c:v>1107.3999999999999</c:v>
                </c:pt>
                <c:pt idx="6">
                  <c:v>1190.0000000000002</c:v>
                </c:pt>
                <c:pt idx="7">
                  <c:v>1169.5</c:v>
                </c:pt>
                <c:pt idx="8">
                  <c:v>1230.6999999999998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576.8</c:v>
                </c:pt>
                <c:pt idx="1">
                  <c:v>546.9</c:v>
                </c:pt>
                <c:pt idx="2">
                  <c:v>566.8</c:v>
                </c:pt>
                <c:pt idx="3">
                  <c:v>204.7</c:v>
                </c:pt>
                <c:pt idx="4">
                  <c:v>618</c:v>
                </c:pt>
                <c:pt idx="5">
                  <c:v>835.7</c:v>
                </c:pt>
                <c:pt idx="6">
                  <c:v>762.8</c:v>
                </c:pt>
                <c:pt idx="7">
                  <c:v>617.6</c:v>
                </c:pt>
                <c:pt idx="8">
                  <c:v>1076.6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8</c:v>
                </c:pt>
                <c:pt idx="1">
                  <c:v>6.6</c:v>
                </c:pt>
                <c:pt idx="2">
                  <c:v>6.8</c:v>
                </c:pt>
                <c:pt idx="3">
                  <c:v>6.4</c:v>
                </c:pt>
                <c:pt idx="4">
                  <c:v>7.5</c:v>
                </c:pt>
                <c:pt idx="5">
                  <c:v>7.8</c:v>
                </c:pt>
                <c:pt idx="6">
                  <c:v>8.1</c:v>
                </c:pt>
                <c:pt idx="7">
                  <c:v>9</c:v>
                </c:pt>
                <c:pt idx="8">
                  <c:v>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7.8</c:v>
                </c:pt>
                <c:pt idx="1">
                  <c:v>7.8</c:v>
                </c:pt>
                <c:pt idx="2">
                  <c:v>7.8</c:v>
                </c:pt>
                <c:pt idx="3">
                  <c:v>7.8</c:v>
                </c:pt>
                <c:pt idx="4">
                  <c:v>7.8</c:v>
                </c:pt>
                <c:pt idx="5">
                  <c:v>7.8</c:v>
                </c:pt>
                <c:pt idx="6">
                  <c:v>7.8</c:v>
                </c:pt>
                <c:pt idx="7">
                  <c:v>7.8</c:v>
                </c:pt>
                <c:pt idx="8">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9.2</c:v>
                </c:pt>
                <c:pt idx="1">
                  <c:v>8.6</c:v>
                </c:pt>
                <c:pt idx="2">
                  <c:v>8.5</c:v>
                </c:pt>
                <c:pt idx="3">
                  <c:v>3</c:v>
                </c:pt>
                <c:pt idx="4">
                  <c:v>8.9</c:v>
                </c:pt>
                <c:pt idx="5">
                  <c:v>11.9</c:v>
                </c:pt>
                <c:pt idx="6">
                  <c:v>10.3</c:v>
                </c:pt>
                <c:pt idx="7">
                  <c:v>7.9</c:v>
                </c:pt>
                <c:pt idx="8">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2.46</c:v>
                </c:pt>
                <c:pt idx="1">
                  <c:v>2.5</c:v>
                </c:pt>
                <c:pt idx="2">
                  <c:v>2.45</c:v>
                </c:pt>
                <c:pt idx="3">
                  <c:v>2.51</c:v>
                </c:pt>
                <c:pt idx="4">
                  <c:v>2.6</c:v>
                </c:pt>
                <c:pt idx="5">
                  <c:v>3.13</c:v>
                </c:pt>
                <c:pt idx="6">
                  <c:v>2.69</c:v>
                </c:pt>
                <c:pt idx="7">
                  <c:v>2.82</c:v>
                </c:pt>
                <c:pt idx="8">
                  <c:v>2.87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8</c:v>
                </c:pt>
                <c:pt idx="1">
                  <c:v>0</c:v>
                </c:pt>
                <c:pt idx="2">
                  <c:v>500</c:v>
                </c:pt>
                <c:pt idx="3">
                  <c:v>852</c:v>
                </c:pt>
                <c:pt idx="4">
                  <c:v>2875</c:v>
                </c:pt>
                <c:pt idx="5">
                  <c:v>0</c:v>
                </c:pt>
                <c:pt idx="6">
                  <c:v>5129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410.7</c:v>
                </c:pt>
                <c:pt idx="1">
                  <c:v>830.1</c:v>
                </c:pt>
                <c:pt idx="2">
                  <c:v>736.6</c:v>
                </c:pt>
                <c:pt idx="3">
                  <c:v>388.8</c:v>
                </c:pt>
                <c:pt idx="4">
                  <c:v>960.4</c:v>
                </c:pt>
                <c:pt idx="5">
                  <c:v>2206.9</c:v>
                </c:pt>
                <c:pt idx="6">
                  <c:v>676.8</c:v>
                </c:pt>
                <c:pt idx="7">
                  <c:v>2120.9</c:v>
                </c:pt>
                <c:pt idx="8">
                  <c:v>817.6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132</c:v>
                </c:pt>
                <c:pt idx="1">
                  <c:v>152.6</c:v>
                </c:pt>
                <c:pt idx="2">
                  <c:v>175.1</c:v>
                </c:pt>
                <c:pt idx="3">
                  <c:v>199.9</c:v>
                </c:pt>
                <c:pt idx="4">
                  <c:v>220.2</c:v>
                </c:pt>
                <c:pt idx="5">
                  <c:v>243</c:v>
                </c:pt>
                <c:pt idx="6">
                  <c:v>270.6</c:v>
                </c:pt>
                <c:pt idx="7">
                  <c:v>302.3</c:v>
                </c:pt>
                <c:pt idx="8">
                  <c:v>333.8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0</c:v>
                </c:pt>
                <c:pt idx="1">
                  <c:v>58.9</c:v>
                </c:pt>
                <c:pt idx="2">
                  <c:v>0</c:v>
                </c:pt>
                <c:pt idx="3">
                  <c:v>105.7</c:v>
                </c:pt>
                <c:pt idx="4">
                  <c:v>339</c:v>
                </c:pt>
                <c:pt idx="5">
                  <c:v>425</c:v>
                </c:pt>
                <c:pt idx="6">
                  <c:v>0</c:v>
                </c:pt>
                <c:pt idx="7">
                  <c:v>0</c:v>
                </c:pt>
                <c:pt idx="8">
                  <c:v>505.5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Consejeros y directivos (35 personas)</c:v>
                </c:pt>
                <c:pt idx="2">
                  <c:v>Autocartera</c:v>
                </c:pt>
              </c:strCache>
            </c:strRef>
          </c:cat>
          <c:val>
            <c:numRef>
              <c:f>Hoja1!$B$2:$B$4</c:f>
              <c:numCache>
                <c:formatCode>0.0"%"</c:formatCode>
                <c:ptCount val="3"/>
                <c:pt idx="0">
                  <c:v>12.39</c:v>
                </c:pt>
                <c:pt idx="1">
                  <c:v>0.27</c:v>
                </c:pt>
                <c:pt idx="2">
                  <c:v>0.02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39.5</c:v>
                </c:pt>
                <c:pt idx="1">
                  <c:v>35.4</c:v>
                </c:pt>
                <c:pt idx="2">
                  <c:v>4.7</c:v>
                </c:pt>
                <c:pt idx="3">
                  <c:v>22.3</c:v>
                </c:pt>
                <c:pt idx="4">
                  <c:v>13</c:v>
                </c:pt>
                <c:pt idx="5">
                  <c:v>32.9</c:v>
                </c:pt>
                <c:pt idx="6">
                  <c:v>-2.7</c:v>
                </c:pt>
                <c:pt idx="7">
                  <c:v>12.6</c:v>
                </c:pt>
                <c:pt idx="8">
                  <c:v>14.9</c:v>
                </c:pt>
                <c:pt idx="9">
                  <c:v>2.2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15.7</c:v>
                </c:pt>
                <c:pt idx="1">
                  <c:v>15.3</c:v>
                </c:pt>
                <c:pt idx="2">
                  <c:v>17.1</c:v>
                </c:pt>
                <c:pt idx="3">
                  <c:v>19.1</c:v>
                </c:pt>
                <c:pt idx="4">
                  <c:v>21.5</c:v>
                </c:pt>
                <c:pt idx="5">
                  <c:v>18.8</c:v>
                </c:pt>
                <c:pt idx="6">
                  <c:v>18.2</c:v>
                </c:pt>
                <c:pt idx="7">
                  <c:v>18.4</c:v>
                </c:pt>
                <c:pt idx="8">
                  <c:v>17.7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18</c:v>
                </c:pt>
                <c:pt idx="1">
                  <c:v>18</c:v>
                </c:pt>
                <c:pt idx="2">
                  <c:v>18</c:v>
                </c:pt>
                <c:pt idx="3">
                  <c:v>18</c:v>
                </c:pt>
                <c:pt idx="4">
                  <c:v>18</c:v>
                </c:pt>
                <c:pt idx="5">
                  <c:v>18</c:v>
                </c:pt>
                <c:pt idx="6">
                  <c:v>18</c:v>
                </c:pt>
                <c:pt idx="7">
                  <c:v>18</c:v>
                </c:pt>
                <c:pt idx="8">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Waste Connections</c:v>
                </c:pt>
                <c:pt idx="1">
                  <c:v>Waste Management</c:v>
                </c:pt>
                <c:pt idx="2">
                  <c:v>Republic Services</c:v>
                </c:pt>
                <c:pt idx="3">
                  <c:v>GFL Environmental</c:v>
                </c:pt>
                <c:pt idx="4">
                  <c:v>Casella Waste Systems</c:v>
                </c:pt>
                <c:pt idx="5">
                  <c:v>Clean Harbors</c:v>
                </c:pt>
                <c:pt idx="6">
                  <c:v>Veolia Environnement</c:v>
                </c:pt>
              </c:strCache>
            </c:strRef>
          </c:cat>
          <c:val>
            <c:numRef>
              <c:f>Hoja1!$B$2:$B$8</c:f>
              <c:numCache>
                <c:formatCode>0.0"x"</c:formatCode>
                <c:ptCount val="7"/>
                <c:pt idx="0">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US Ecology</c:v>
                </c:pt>
                <c:pt idx="1">
                  <c:v>Urbaser (España)</c:v>
                </c:pt>
                <c:pt idx="2">
                  <c:v>Environmental Services de GFL</c:v>
                </c:pt>
                <c:pt idx="3">
                  <c:v>Stericycle</c:v>
                </c:pt>
                <c:pt idx="4">
                  <c:v>30 plantas de residuos de petróleo y gas de Secure Energy</c:v>
                </c:pt>
              </c:strCache>
            </c:strRef>
          </c:cat>
          <c:val>
            <c:numRef>
              <c:f>Hoja1!$B$2:$B$6</c:f>
              <c:numCache>
                <c:formatCode>0.0"x"</c:formatCode>
                <c:ptCount val="5"/>
                <c:pt idx="0">
                  <c:v>14.1</c:v>
                </c:pt>
                <c:pt idx="1">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1079</c:v>
                </c:pt>
                <c:pt idx="1">
                  <c:v>1613</c:v>
                </c:pt>
                <c:pt idx="2">
                  <c:v>1727</c:v>
                </c:pt>
                <c:pt idx="3">
                  <c:v>1830</c:v>
                </c:pt>
                <c:pt idx="4">
                  <c:v>1931</c:v>
                </c:pt>
                <c:pt idx="5">
                  <c:v>2007</c:v>
                </c:pt>
                <c:pt idx="6">
                  <c:v>2070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8979</c:v>
                </c:pt>
                <c:pt idx="1">
                  <c:v>27799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153,67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68.75</c:v>
                </c:pt>
                <c:pt idx="1">
                  <c:v>108.54</c:v>
                </c:pt>
                <c:pt idx="2">
                  <c:v>121.44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153,67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(146,89 – 179,74)</c:v>
                </c:pt>
                <c:pt idx="1">
                  <c:v>Precio objetivo de los analistas (162,00 – 220,00)</c:v>
                </c:pt>
                <c:pt idx="2">
                  <c:v>Comparables: PER NTM (157,59 – 325,23)</c:v>
                </c:pt>
                <c:pt idx="3">
                  <c:v>DCF (WACC y g ± 0,5) (86,03 – 142,81)</c:v>
                </c:pt>
                <c:pt idx="4">
                  <c:v>Escenarios (bajista – alcista) (68,75 – 121,44)</c:v>
                </c:pt>
                <c:pt idx="5">
                  <c:v>DCF con la prima implícita del mercado (4,2 %)</c:v>
                </c:pt>
                <c:pt idx="6">
                  <c:v>Precio actual (153,67)</c:v>
                </c:pt>
              </c:strCache>
            </c:strRef>
          </c:cat>
          <c:val>
            <c:numRef>
              <c:f>Hoja1!$B$2:$B$8</c:f>
              <c:numCache>
                <c:formatCode>#,##0</c:formatCode>
                <c:ptCount val="7"/>
                <c:pt idx="0">
                  <c:v>146.89</c:v>
                </c:pt>
                <c:pt idx="1">
                  <c:v>162</c:v>
                </c:pt>
                <c:pt idx="2">
                  <c:v>157.59</c:v>
                </c:pt>
                <c:pt idx="3">
                  <c:v>86.03</c:v>
                </c:pt>
                <c:pt idx="4">
                  <c:v>68.75</c:v>
                </c:pt>
                <c:pt idx="5">
                  <c:v>114.22</c:v>
                </c:pt>
                <c:pt idx="6">
                  <c:v>152.9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(146,89 – 179,74)</c:v>
                </c:pt>
                <c:pt idx="1">
                  <c:v>Precio objetivo de los analistas (162,00 – 220,00)</c:v>
                </c:pt>
                <c:pt idx="2">
                  <c:v>Comparables: PER NTM (157,59 – 325,23)</c:v>
                </c:pt>
                <c:pt idx="3">
                  <c:v>DCF (WACC y g ± 0,5) (86,03 – 142,81)</c:v>
                </c:pt>
                <c:pt idx="4">
                  <c:v>Escenarios (bajista – alcista) (68,75 – 121,44)</c:v>
                </c:pt>
                <c:pt idx="5">
                  <c:v>DCF con la prima implícita del mercado (4,2 %)</c:v>
                </c:pt>
                <c:pt idx="6">
                  <c:v>Precio actual (153,67)</c:v>
                </c:pt>
              </c:strCache>
            </c:strRef>
          </c:cat>
          <c:val>
            <c:numRef>
              <c:f>Hoja1!$C$2:$C$8</c:f>
              <c:numCache>
                <c:formatCode>#,##0</c:formatCode>
                <c:ptCount val="7"/>
                <c:pt idx="0">
                  <c:v>32.85000000000002</c:v>
                </c:pt>
                <c:pt idx="1">
                  <c:v>58</c:v>
                </c:pt>
                <c:pt idx="2">
                  <c:v>167.64000000000001</c:v>
                </c:pt>
                <c:pt idx="3">
                  <c:v>56.78</c:v>
                </c:pt>
                <c:pt idx="4">
                  <c:v>52.69</c:v>
                </c:pt>
                <c:pt idx="5">
                  <c:v>41.80000000000001</c:v>
                </c:pt>
                <c:pt idx="6">
                  <c:v>1.539999999999992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