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Pro Medicus Limited</w:t>
      </w:r>
    </w:p>
    <w:p>
      <w:pPr>
        <w:spacing w:after="60"/>
        <w:rPr>
          <w:color w:val="52514E"/>
          <w:sz w:val="22"/>
          <w:szCs w:val="22"/>
        </w:rPr>
      </w:pPr>
      <w:r>
        <w:rPr>
          <w:color w:val="52514E"/>
          <w:sz w:val="22"/>
          <w:szCs w:val="22"/>
        </w:rPr>
        <w:t xml:space="preserve">PME · ASX (Australian Securities Exchange) · ISIN AU000000PME8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AUD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168,37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50,61 AUD · mercado 58,79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-69,5 % · mercado -64,7 %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Alta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17.622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60,5x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 Medicus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PME / AU000000PME8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Tecnología sanitaria (Health Care Technology)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Swan Street, Richmond, Victoria (Melbourne) · 1983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https://www.promed.com.au</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168,37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107,75 – 300,00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17.622 M AUD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17.282 M AUD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39,2 M AUD/día (222.429 acciones; 3 meses, 66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Alta · Valor objetivo </w:t>
      </w:r>
      <w:r>
        <w:rPr>
          <w:b/>
          <w:bCs/>
        </w:rPr>
        <w:t xml:space="preserve">50,61 AUD</w:t>
      </w:r>
      <w:r>
        <w:t xml:space="preserve"> frente a 168,37 · con la prima implícita del mercado: 58,79 (-65,1 %) · Rentabilidad total esperada a 12 meses </w:t>
      </w:r>
      <w:r>
        <w:rPr>
          <w:b/>
          <w:bCs/>
        </w:rPr>
        <w:t xml:space="preserve">-69,5 %</w:t>
      </w:r>
      <w:r>
        <w:t xml:space="preserve"> · Alcista / bajista -58,7 % / -83,5 %</w:t>
      </w:r>
    </w:p>
    <w:p>
      <w:pPr>
        <w:spacing w:after="100"/>
      </w:pPr>
      <w:r>
        <w:rPr>
          <w:b/>
        </w:rPr>
        <w:t xml:space="preserve">La recomendación y por qué.</w:t>
      </w:r>
      <w:r>
        <w:t xml:space="preserve"> Vender, con convicción alta. Nuestro valor objetivo es 50,61 AUD frente a un precio de 168,37 (cierre del 12-oct-2026 en la ASX): una rentabilidad total esperada del −69,5 % con el dividendo. Incluso el escenario alcista (69,54 AUD) queda un 58,7 % por debajo del precio; el bajista pierde el 83,5 %. La razón, en una frase: Pro Medicus es probablemente el mejor negocio de software sanitario cotizado, pero el precio exige un crecimiento del 33,0 % anual durante diez años, frente al 16,1 % de nuestro caso base, que ya es generoso. La convicción es alta porque las dos reglas dan Vender (también con la prima de riesgo que hoy pide el mercado: 58,79 AUD, −64,7 %) y la diferencia no es de tasa de descuento sino de lo que hay que creer; la bajaríamos si el primer semestre de FY2027 (febrero de 2027) creciera por encima del 30 % en AUD con un ingreso por estudio al alza. El plazo es lo menos seguro.</w:t>
      </w:r>
    </w:p>
    <w:p>
      <w:pPr>
        <w:spacing w:after="100"/>
      </w:pPr>
      <w:r>
        <w:rPr>
          <w:b/>
        </w:rPr>
        <w:t xml:space="preserve">El negocio.</w:t>
      </w:r>
      <w:r>
        <w:t xml:space="preserve"> Visage 7 cobra por estudio, con contratos de 5-10 años, renovaciones del 100 % y 1.340 M de ingresos mínimos contratados a cinco años [1, 6]. Gana un 74,9 % de EBIT sobre ventas, frente al 23,1 % de Sectra y el 11,2 % de Agfa HealthCare IT [18, 19], y su ROIC supera el 100 % todos los años frente a un WACC del 12,28 %. ¿Sostiene la calidad el crecimiento que proyectamos? En parte: no necesita capital, pero nuestro caso base ya la lleva del 11 % al 31,1 % de los estudios de EE. UU. en diez años, y el ingreso por estudio estimado no ha subido desde FY2024 [6].</w:t>
      </w:r>
    </w:p>
    <w:p>
      <w:pPr>
        <w:spacing w:after="100"/>
      </w:pPr>
      <w:r>
        <w:rPr>
          <w:b/>
        </w:rPr>
        <w:t xml:space="preserve">Finanzas.</w:t>
      </w:r>
      <w:r>
        <w:t xml:space="preserve"> Los ingresos de FY2026 crecieron un 22,9 % (28,4 % en moneda constante) hasta 261,7 M y el segundo semestre solo un 18,2 % en AUD [1]. El beneficio estatutario (265,3 M) lleva 174,2 M de plusvalías no realizadas de 4D Medical y Echo IQ; el subyacente fue 144,7 M [1]. La señal negativa: los clientes crecen un 55,7 %, más del doble que las ventas [1].</w:t>
      </w:r>
    </w:p>
    <w:p>
      <w:pPr>
        <w:spacing w:after="100"/>
      </w:pPr>
      <w:r>
        <w:rPr>
          <w:b/>
        </w:rPr>
        <w:t xml:space="preserve">Equipo y gobierno.</w:t>
      </w:r>
      <w:r>
        <w:t xml:space="preserve"> Los fundadores Hupert y Hall controlan de hecho la junta con el 46,3 % y solo cobran fijo; los consejeros compraron 5,98 M de acciones en los últimos 12 meses (los fundadores, 5,45 M), sin ventas [1]. Resta la falta de un plan de sucesión público y la salida del director financiero y del responsable de relaciones con inversores en 2026 [52, 53].</w:t>
      </w:r>
    </w:p>
    <w:p>
      <w:pPr>
        <w:spacing w:after="100"/>
      </w:pPr>
      <w:r>
        <w:rPr>
          <w:b/>
        </w:rPr>
        <w:t xml:space="preserve">Valoración.</w:t>
      </w:r>
      <w:r>
        <w:t xml:space="preserve"> El DCF da 45,92 AUD; con la prima del mercado, 56,51. Los comparables, entre 44,46 (EV/EBITDA) y 81,06 AUD (PER), porque Pro Medicus cotiza a 60,5 veces el EBITDA de los próximos 12 meses frente a 15,1 de la mediana. Quien compra hoy con nuestras cifras obtiene un 5,7 % anual, lo mismo que el bono australiano (5,40 %). Coincidimos con el consenso en los tres próximos años (−2,6 % a −3,5 % en ingresos [69]); la discrepancia es la década siguiente.</w:t>
      </w:r>
    </w:p>
    <w:p>
      <w:pPr>
        <w:spacing w:after="100"/>
      </w:pPr>
      <w:r>
        <w:rPr>
          <w:b/>
        </w:rPr>
        <w:t xml:space="preserve">Riesgos y catalizadores.</w:t>
      </w:r>
      <w:r>
        <w:t xml:space="preserve"> El riesgo para esta recomendación es que la nube convierta el PACS de los grandes sistemas de EE. UU. en un mercado de pocos ganadores y la cuota suba mucho más deprisa. Catalizadores: el congreso RSNA (29-nov a 3-dic-2026), los resultados del 1S27 (mediados de febrero de 2027) y las renovaciones de 2027. Los foros piden «comprar la caída», frente a un 3,94 % de posiciones cortas [59, 93].</w:t>
      </w:r>
    </w:p>
    <w:p>
      <w:pPr>
        <w:spacing w:after="100"/>
      </w:pPr>
      <w:r>
        <w:rPr>
          <w:b/>
        </w:rPr>
        <w:t xml:space="preserve">Qué cambiaría la decisión.</w:t>
      </w:r>
      <w:r>
        <w:t xml:space="preserve"> Compraríamos por debajo de 48,84 AUD y mantendríamos la venta por encima de 66,10. Revisaríamos a Mantener si el crecimiento semestral en AUD supera el 30 % dos semestres seguidos, si los contratos nuevos superan los 600 M en un año o si la empresa publica subidas de tarifa por estudio de más del 10 % en las renovaciones.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Alta · Horizonte: 12 meses · Valor objetivo: </w:t>
      </w:r>
      <w:r>
        <w:rPr>
          <w:b/>
          <w:bCs/>
        </w:rPr>
        <w:t xml:space="preserve">50,61 AUD</w:t>
      </w:r>
      <w:r>
        <w:t xml:space="preserve"> (-69,9 % sobre 168,37; rentabilidad total esperada -69,5 %) · con la prima implícita del mercado: 58,79 (-65,1 %)</w:t>
      </w:r>
    </w:p>
    <w:p>
      <w:pPr>
        <w:spacing w:after="100"/>
      </w:pPr>
      <w:r>
        <w:t xml:space="preserve">Pro Medicus es un negocio excepcional: un software de imagen médica en la nube que cobra por estudio, gana un 74,9 % de EBIT sobre ventas y convierte casi todo en caja, sin deuda y sin compras [1]. Tiene ~11 % de los estudios de imagen de EE. UU., 11 de los 20 mejores hospitales del país y 1.340 M de ingresos mínimos contratados a cinco años [6]. Los ingresos han crecido un 26,5 % anual en nueve años.</w:t>
      </w:r>
    </w:p>
    <w:p>
      <w:pPr>
        <w:spacing w:after="100"/>
      </w:pPr>
      <w:r>
        <w:t xml:space="preserve">El precio de 168,37 AUD valora la empresa en 17.622 M: 84,6 veces el EBITDA de los últimos 12 meses y 87,0 veces el beneficio de los próximos. El DCF inverso dice que, con márgenes del 80 % y un WACC del 12,28 %, los ingresos tendrían que crecer un 33,0 % anual durante diez años, más que en la última década y más de lo que da de sí todo el mercado de EE. UU. a su precio por estudio. Con nuestras cifras, comprar hoy rinde un 5,7 % anual.</w:t>
      </w:r>
    </w:p>
    <w:p>
      <w:pPr>
        <w:spacing w:after="100"/>
      </w:pPr>
      <w:r>
        <w:t xml:space="preserve">El mercado acierta en la calidad y se equivoca en la duración. Para invertir hay que creer que Pro Medicus triplicará su cuota en EE. UU. y abrirá cardiología, patología y otros países al mismo ritmo, sin bajar precios frente a GE HealthCare-Intelerad y la IA [27]. Nuestro caso base ya supone pasar del 11 % al 31 % de cuota con un margen del 80 % y aun así vale 45,92 AUD.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 / -83,5 %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12,3 % y 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58,79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 frente a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(16,1 %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-69,5 % (-64,7 % con la prima del mercado) y el precio pide 16,9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48,84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48,84 y 66,10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66,10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48,84 AUD, pasaríamos a Comprar.</w:t>
      </w:r>
    </w:p>
    <w:p>
      <w:pPr>
        <w:pStyle w:val="ListParagraph"/>
        <w:numPr>
          <w:ilvl w:val="0"/>
          <w:numId w:val="2"/>
        </w:numPr>
        <w:spacing w:after="60"/>
      </w:pPr>
      <w:r>
        <w:t xml:space="preserve">Si el crecimiento de ingresos en AUD supera el 30 % en el 1S27 y el 2S27, revisaríamos a Mantener.</w:t>
      </w:r>
    </w:p>
    <w:p>
      <w:pPr>
        <w:pStyle w:val="ListParagraph"/>
        <w:numPr>
          <w:ilvl w:val="0"/>
          <w:numId w:val="2"/>
        </w:numPr>
        <w:spacing w:after="60"/>
      </w:pPr>
      <w:r>
        <w:t xml:space="preserve">Si los contratos nuevos de FY2027 superan los 600 M (407 M en FY2026), revisaríamos el caso base al alza.</w:t>
      </w:r>
    </w:p>
    <w:p>
      <w:pPr>
        <w:pStyle w:val="ListParagraph"/>
        <w:numPr>
          <w:ilvl w:val="0"/>
          <w:numId w:val="2"/>
        </w:numPr>
        <w:spacing w:after="60"/>
      </w:pPr>
      <w:r>
        <w:t xml:space="preserve">Si la empresa publica subidas de tarifa por estudio superiores al 10 % en las renovaciones de 2027, subiríamos el crecimiento de precio del puente.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33,0 % anual durante diez años con márgenes del 80 %: ingresos de unos 4.500 M en FY2036, frente a 261,7 M hoy. El mercado trata la caída del 44,6 % del último año como una oportunidad y el consenso tiene un precio objetivo medio de 202,47 AUD [70].</w:t>
      </w:r>
    </w:p>
    <w:p>
      <w:pPr>
        <w:keepNext/>
        <w:spacing w:after="100"/>
      </w:pPr>
      <w:r>
        <w:rPr>
          <w:b/>
          <w:bCs/>
        </w:rPr>
        <w:t xml:space="preserve">Lo que creemos nosotros.</w:t>
      </w:r>
    </w:p>
    <w:p>
      <w:pPr>
        <w:spacing w:after="100"/>
      </w:pPr>
      <w:r>
        <w:t xml:space="preserve">Un crecimiento del 16,1 % anual de media en diez años, empezando por un 26 % en FY2027 (un 2,6 % por debajo del consenso), y margen EBITDA del 80 %. Eso ya lleva la cuota de EE. UU. del 11 % al 31 % y da 45,92 AUD por acción.</w:t>
      </w:r>
    </w:p>
    <w:p>
      <w:pPr>
        <w:keepNext/>
        <w:spacing w:after="100"/>
      </w:pPr>
      <w:r>
        <w:rPr>
          <w:b/>
          <w:bCs/>
        </w:rPr>
        <w:t xml:space="preserve">Por qué podemos tener razón.</w:t>
      </w:r>
    </w:p>
    <w:p>
      <w:pPr>
        <w:spacing w:after="100"/>
      </w:pPr>
      <w:r>
        <w:t xml:space="preserve">El tamaño del mercado pone techo: 690 M de estudios al año que crecen un 3 % y un ingreso por estudio estimado que no ha subido en dos años [6]. El precio pide más ingresos de los que hay en todo el mercado de EE. UU. a su tarifa. La caída de 2026 vino del múltiplo, no de las cifras, y el múltiplo sigue en 60,5 veces el EBITDA.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AUD) · precio actual 168,3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Margen único en el sector</w:t>
      </w:r>
      <w:r>
        <w:t xml:space="preserve">: EBIT del 74,9 % frente al 23,1 % de Sectra [18].</w:t>
      </w:r>
    </w:p>
    <w:p>
      <w:pPr>
        <w:pStyle w:val="ListParagraph"/>
        <w:numPr>
          <w:ilvl w:val="0"/>
          <w:numId w:val="2"/>
        </w:numPr>
        <w:spacing w:after="60"/>
      </w:pPr>
      <w:r>
        <w:rPr>
          <w:b/>
        </w:rPr>
        <w:t xml:space="preserve">Ingresos asegurados</w:t>
      </w:r>
      <w:r>
        <w:t xml:space="preserve">: 1.340 M de mínimos contratados a cinco años, +41 % [6].</w:t>
      </w:r>
    </w:p>
    <w:p>
      <w:pPr>
        <w:pStyle w:val="ListParagraph"/>
        <w:numPr>
          <w:ilvl w:val="0"/>
          <w:numId w:val="2"/>
        </w:numPr>
        <w:spacing w:after="60"/>
      </w:pPr>
      <w:r>
        <w:rPr>
          <w:b/>
        </w:rPr>
        <w:t xml:space="preserve">Renovaciones del 100 %</w:t>
      </w:r>
      <w:r>
        <w:t xml:space="preserve"> con tarifa por estudio más alta en FY2026 [1].</w:t>
      </w:r>
    </w:p>
    <w:p>
      <w:pPr>
        <w:pStyle w:val="ListParagraph"/>
        <w:numPr>
          <w:ilvl w:val="0"/>
          <w:numId w:val="2"/>
        </w:numPr>
        <w:spacing w:after="60"/>
      </w:pPr>
      <w:r>
        <w:rPr>
          <w:b/>
        </w:rPr>
        <w:t xml:space="preserve">Sin capital</w:t>
      </w:r>
      <w:r>
        <w:t xml:space="preserve">: ROIC por encima del 100 % y reinversión del 2 % del beneficio operativo.</w:t>
      </w:r>
    </w:p>
    <w:p>
      <w:pPr>
        <w:pStyle w:val="ListParagraph"/>
        <w:numPr>
          <w:ilvl w:val="0"/>
          <w:numId w:val="2"/>
        </w:numPr>
        <w:spacing w:after="60"/>
      </w:pPr>
      <w:r>
        <w:rPr>
          <w:b/>
        </w:rPr>
        <w:t xml:space="preserve">Fundadores alineados</w:t>
      </w:r>
      <w:r>
        <w:t xml:space="preserve">: 46,3 % del capital; los consejeros compraron 5,98 M en 12 meses [1].</w:t>
      </w:r>
    </w:p>
    <w:p>
      <w:pPr>
        <w:pStyle w:val="Heading2"/>
      </w:pPr>
      <w:r>
        <w:t xml:space="preserve">En contra</w:t>
      </w:r>
    </w:p>
    <w:p>
      <w:pPr>
        <w:pStyle w:val="ListParagraph"/>
        <w:numPr>
          <w:ilvl w:val="0"/>
          <w:numId w:val="2"/>
        </w:numPr>
        <w:spacing w:after="60"/>
      </w:pPr>
      <w:r>
        <w:rPr>
          <w:b/>
        </w:rPr>
        <w:t xml:space="preserve">El precio pide un 33,0 % anual</w:t>
      </w:r>
      <w:r>
        <w:t xml:space="preserve"> durante diez años; nuestro caso base, un 16,1 %.</w:t>
      </w:r>
    </w:p>
    <w:p>
      <w:pPr>
        <w:pStyle w:val="ListParagraph"/>
        <w:numPr>
          <w:ilvl w:val="0"/>
          <w:numId w:val="2"/>
        </w:numPr>
        <w:spacing w:after="60"/>
      </w:pPr>
      <w:r>
        <w:rPr>
          <w:b/>
        </w:rPr>
        <w:t xml:space="preserve">Múltiplo extremo</w:t>
      </w:r>
      <w:r>
        <w:t xml:space="preserve">: 60,5 veces el EBITDA de los próximos 12 meses frente a 15,1 de la mediana.</w:t>
      </w:r>
    </w:p>
    <w:p>
      <w:pPr>
        <w:pStyle w:val="ListParagraph"/>
        <w:numPr>
          <w:ilvl w:val="0"/>
          <w:numId w:val="2"/>
        </w:numPr>
        <w:spacing w:after="60"/>
      </w:pPr>
      <w:r>
        <w:rPr>
          <w:b/>
        </w:rPr>
        <w:t xml:space="preserve">Freno visible</w:t>
      </w:r>
      <w:r>
        <w:t xml:space="preserve">: el 2S26 creció un 18,2 % en AUD [1].</w:t>
      </w:r>
    </w:p>
    <w:p>
      <w:pPr>
        <w:pStyle w:val="ListParagraph"/>
        <w:numPr>
          <w:ilvl w:val="0"/>
          <w:numId w:val="2"/>
        </w:numPr>
        <w:spacing w:after="60"/>
      </w:pPr>
      <w:r>
        <w:rPr>
          <w:b/>
        </w:rPr>
        <w:t xml:space="preserve">Cobro que empeora</w:t>
      </w:r>
      <w:r>
        <w:t xml:space="preserve">: clientes +55,7 % con ventas +22,9 % [1].</w:t>
      </w:r>
    </w:p>
    <w:p>
      <w:pPr>
        <w:pStyle w:val="ListParagraph"/>
        <w:numPr>
          <w:ilvl w:val="0"/>
          <w:numId w:val="2"/>
        </w:numPr>
        <w:spacing w:after="60"/>
      </w:pPr>
      <w:r>
        <w:rPr>
          <w:b/>
        </w:rPr>
        <w:t xml:space="preserve">Ruido contable</w:t>
      </w:r>
      <w:r>
        <w:t xml:space="preserve">: 174,2 M de plusvalías no realizadas en el beneficio de FY2026 [1].</w:t>
      </w:r>
    </w:p>
    <w:p>
      <w:pPr>
        <w:pStyle w:val="ListParagraph"/>
        <w:numPr>
          <w:ilvl w:val="0"/>
          <w:numId w:val="2"/>
        </w:numPr>
        <w:spacing w:after="60"/>
      </w:pPr>
      <w:r>
        <w:rPr>
          <w:b/>
        </w:rPr>
        <w:t xml:space="preserve">Competencia con escala</w:t>
      </w:r>
      <w:r>
        <w:t xml:space="preserve">: GE HealthCare compró Intelerad por 2.300 M USD [27].</w:t>
      </w:r>
    </w:p>
    <w:p>
      <w:pPr>
        <w:pStyle w:val="Heading2"/>
      </w:pPr>
      <w:r>
        <w:t xml:space="preserve">Qué tiene que pasar para que la tesis funcione</w:t>
      </w:r>
    </w:p>
    <w:p>
      <w:pPr>
        <w:spacing w:after="100"/>
      </w:pPr>
      <w:r>
        <w:t xml:space="preserve">La tesis depende de que el crecimiento baje a ritmos del 15-20 % en dos o tres años, como en cualquier empresa que ya tiene el 11 % de su mercado. La señal de que nos equivocamos sería un primer semestre de FY2027 por encima del 30 % en AUD con contratos nuevos de más de 300 M en el semestre y renovaciones con subidas de tarifa de dos dígitos: eso indicaría que la cuota y el precio pueden crecer a la vez durante más tiempo del que suponemos.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semestral de ingresos en AUD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30 %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necesita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nuevos (valor mínimo)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M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600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ganancia de cuota futura.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estudios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15 % en ago-2027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caso base supone +2 puntos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vencidos a más de 90 días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cobro.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72 %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presión de precios o de gasto comercial.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84,6x / 60,5x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121,7x / 87,0x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Pro Medicus fue fundada en Melbourne en 1983 por el médico de familia Sam Hupert y el ingeniero de software Anthony Hall, que siguen en el consejo como consejero delegado y director de tecnología [1]. Empezó con software de gestión de consultas y de radiología (RIS) y una red de e-salud en Australia, y salió a la ASX en 2000 [1][30]. En enero de 2009 compró con caja propia Visage Imaging, filial de imagen de Mercury Computer Systems con unos 1.200 clientes, en plena caída de precios de los activos [30]. Visage 7, el visor por streaming, es hoy el núcleo del negocio. La entrada en los grandes hospitales de EE. UU. se aceleró con Mayo Clinic (2016) y siguió con Partners Healthcare, NYU Langone, Baylor Scott &amp; White y Trinity Health, el mayor contrato de su historia (330 M AUD, 2024) [31][33][6]. Hupert dejó de ser CEO en 2007 y volvió en 2010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Hupert y Anthony Hall fundan Pro Medicus en Melbourne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ASX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3 años y 10 M AUD con Agfa North America para licenciar en exclusiva su software de gestión y radiología digital en EE. UU. y Canadá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Visage Imaging (Carlsbad, California; antes filial de Mercury Computer Systems, ~1.200 clientes) con caja propia, sin ampliación de capital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«pivotal» con v-Rad (telerradiología, EE. UU.); en 2013 firma también 4 M USD con una red de Veterans Affairs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6 años y ~18 M AUD, por transacción, con Mayo Clinic para implantar Visage 7 en toda su radiología [31][32].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27 M AUD y 7 años con Partners Healthcare (Boston) y primer Visage 7 Open Archive con Mercy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NYU Langone (25 M AUD) y Northwestern (22 M AUD); desde septiembre de 2020 todas las implantaciones nuevas en IDN son en la nube [33][6].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Baylor Scott &amp; White: 140 M AUD a 10 años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Trinity Health: 330 M AUD a 10 años, el mayor contrato de su historia; renovación de Mercy por 98 M AUD a 8 años [33][6].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UCHealth (Colorado): 170 M AUD a 10 años, el segundo mayor, con cardiología («full stack + 1»)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10 contratos nuevos por 407 M AUD, 6 de 6 renovaciones a precio por transacción más alto, ~11 % de los estudios de imagen de EE. UU.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Pro Medicus vende software de imagen médica empresarial. Su producto principal es la plataforma Visage 7 (de su filial Visage Imaging, con I+D en Berlín y sede norteamericana en San Diego): Viewer (visor diagnóstico que transmite las imágenes por streaming en lugar de comprimirlas y enviarlas), Open Archive (archivo neutral, VNA), Workflow (listas de trabajo), y extensiones a cardiología, patología digital, informes con IA (lanzado en 2026) y la app Visage Ease, incluida una versión para Apple Vision Pro [6][1]. Se despliega en la nube (AWS, Azure o Google) o en el centro de datos del cliente [6]. En Australia vende Visage RIS a los dos mayores grupos de radiología, Lumus (Primary Healthcare) e I-MED, y la red de e-salud Promedicus.net [6][1]. Sus clientes son centros médicos académicos, sistemas hospitalarios (IDN) y grupos privados de radiología, sobre todo en EE. UU. (90,5 % de los ingresos de FY26), además de Alemania y Australia [6]. Tiene 153 empleados (135 en FY25) [1].</w:t>
      </w:r>
    </w:p>
    <w:p>
      <w:pPr>
        <w:pStyle w:val="Heading2"/>
      </w:pPr>
      <w:r>
        <w:t xml:space="preserve">Cómo gana dinero</w:t>
      </w:r>
    </w:p>
    <w:p>
      <w:pPr>
        <w:spacing w:after="100"/>
      </w:pPr>
      <w:r>
        <w:t xml:space="preserve">Cobra sobre todo por estudio leído o archivado («pay per view»), con mínimos anuales garantizados en contratos de 5 a 10 años; lo que pasa del mínimo se reconoce cuando ocurre [1]. Ingresos de FY26 por tipo: exámenes y licencias 192,1 M AUD (73 %), soporte 34,8 M AUD y el resto migración de archivos y servicios profesionales [6]. La instalación, la licencia, las transacciones y el soporte forman una sola obligación de desempeño, que se reconoce a lo largo del contrato desde la puesta en marcha [1]. Los costes son casi todos de personal (gasto en empleados 42,1 M AUD en FY26) y la plantilla es pequeña, así que cada estudio adicional cae casi entero al resultado: margen EBIT subyacente del 74,9 % (74,0 % en FY25) [6][1]. Los ingresos mínimos contratados para los próximos cinco años eran 1.340 M AUD a jun-2026 (+41,3 %) [6].</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del grupo en FY26 ni en FY25 [1]. Aun así, el mayor contrato, Trinity Health (330 M AUD a 10 años, ~33 M AUD anuales implícitos), equivale al 12,6 % de los ingresos de FY26 cuando esté implantado del todo (cálculo); estaba implantado al 71-75 % a 30-jun-2026 y al 87 % en ago-2026, y debía terminarse en oct-2026 [6]. Otros grandes: UCHealth (170 M AUD/10 años), Baylor Scott &amp; White (140 M AUD/10 años), Mercy (98 M AUD/8 años), Beth Israel Lahey (90 M AUD/7 años) [6][33]. Las renovaciones de FY26 (6 de 6, 141 M AUD, todas a 5 años) se firmaron con un precio por transacción más alto [6]; el CEO habla de una tasa de renovación del 100 % y de que PME es la opción más cara del mercado [12]. El valor total firmado por año pasó de 157 M AUD (FY22) a 680 M (FY25) y 548 M (FY26) [6]. La empresa no publica el precio por estudio.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nuevos (valor mínimo contratado, TCV)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FY25: 511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407 M AUD (10 contratos: 9 EE. UU., 1 Europa)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FY22 100; FY23 88,5; FY24 245 M. FY25 incluye Trinity Health (330 M, 10 años)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Renovaciones (TCV)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FY25: 169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141 M AUD (6 de 6, más 2,8 M de ampliación VISN23)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Todas a 5 años y con mayor precio por estudio; FY22 57; FY23 15,5; FY24 19 M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mínimos contratados a 5 años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jun-25: 948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1.340 M AUD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jun-24: 624 M. Incluye las renovaciones que vencen dentro de los 5 años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Implantaciones (go-lives)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16 (incluidas cuatro cohortes de Trinity)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anual habla de 13 nuevas puestas en marcha de clientes y la presentación de 16 go-lives [1, 6]. Trinity: 5 de 7 cohortes completadas (87 %) según la presentación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mercado de EE. UU. (según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más del 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11 de los 20 mayores centros sanitarios de EE. UU. según el CEO [6,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de personal FY26 42,1 M (+16,0 %)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TCV firmado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FY25: 680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FY26: 548 M AUD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años (FY22-FY26): 1.753 M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Software de imagen médica empresarial (enterprise imaging): PACS y visor diagnóstico, archivo neutral (VNA) y flujo de trabajo de radiología, con extensiones a cardiología y patología digital, vendido a hospitales, sistemas sanitarios integrados (IDN), centros académicos (AMC) y grupos privados de radiología. El mercado que más pesa es EE. UU. (90,5 % de los ingresos de PME en FY26: 236,8 de 261,7 M AUD [6]). La empresa define su mercado direccionable en volumen: 690 M de estudios de imagen al año en EE. UU. [6]. Para el tamaño en dinero se usa Signify Research (imagen médica IT mundial: radiología, cardiología, visualización avanzada, flujo operativo) [20][21][22] y, como contraste para EE. UU., dos editores de informes de mercado sobre PACS (Arizton [23] y Market Glass vía Research and Markets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Mundo, imagen médica IT: más de 5.500 M USD en 2023 (+5,5 %) y 6.600 M USD previstos en 2028 [21][22]. EE. UU., solo PACS: 981 M USD en 2023 según Arizton (1.270 M USD en 2029e, TCAC 4,5 %) [23] y 908 M USD en 2024 según Market Glass [24]. Volumen: 690 M de estudios de imagen al año en EE. UU. según PME (ago-2026)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Signify Research, imagen médica IT mundial; 2022, 2023 y 2028e publicados; 2024e-2027e interpolados a la TCAC implícita 2023-2028e del 3,7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estudios de imagen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690 M de estudios al año, +~3 % anual; los clientes de Visage crecen ~8 % [6]. Serie de PME: 650 M (2024), 670 M (2025), 690 M (2026) [16][15][6].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Tamaño de los estudios (TAC de conteo de fotones, tomosíntesis, patología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archivos pasan de 2-3 GB a 6-10 GB [1]; TAC de conteo de fotones con más de 10.000 imágenes; patología digital de más de 10 GB, hasta 30 GB en citología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 y al modelo de suscripción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PACS en la nube &gt;65 % del mercado de EE. UU. en 2023 [23]; ingresos recurrentes de nube de Sectra Imaging IT +56,6 % en 2025/26 [18]; pedidos de nube de Agfa HealthCare IT +38 % en 2025 [19]; todas las implantaciones de PME en IDN son en la nube desde sep-2020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radiólogos y lectura remota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PME cita escasez mundial de radiólogos, menos residentes y trabajo desde casa como parte obligada del modelo [6][1].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 los hospitales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de margen operativo de Kaufman Hall: 4,5 % en jun-2026; acumulado del año 2,5 %, un 6 % menos que en el 1S25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ciclo de reposición de PACS en mercados maduros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 preveía desaceleración en EE. UU. desde 2025 al acabar los ciclos de reposición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proveedores (Arizton cita nueve en EE. UU.: Sectra, Fujifilm, Change Healthcare, Philips, Agfa, Intelerad, GE Healthcare, Carestream, IBM) [23] y concentración en marcha (GE HealthCare compró Intelerad por 2.300 M USD en mar-2026) [27]. Pero los márgenes difieren mucho: EBIT del 74,9 % en PME frente a 23,1 % en Sectra Imaging IT y 11,2 % en Agfa HealthCare IT [6][18][19].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grandes sistemas hospitalarios y centros académicos por concurso (RFP) [6]. Aun así, PME renovó 6 de 6 contratos en FY26 con precio por transacción más alto [6] y ningún cliente pesa más del 10 % de sus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sobre todo personal técnico (153 empleados en PME) y nube pública; PME trabaja con AWS, Azure y Google, sin depender de una sola [6][1].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aprobación FDA 510(k) y equivalentes [1], cero fallos en un sistema crítico y referencias de clientes; PME cita el efecto red de las referencias en un sector conservador [12] y que la competencia tarda años en implantar un gran proyecto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tesis de que la IA o los desarrollos propios sustituyan al software (la «SaaSpocalypse») no se ha visto en las renovaciones de PME, según su CEO [12]; PME presenta la IA como algo que se integra en su visor [1].</w:t>
            </w:r>
          </w:p>
        </w:tc>
      </w:tr>
    </w:tbl>
    <w:p>
      <w:pPr>
        <w:spacing w:after="160" w:before="0"/>
      </w:pPr>
    </w:p>
    <w:p>
      <w:pPr>
        <w:pStyle w:val="Heading2"/>
      </w:pPr>
      <w:r>
        <w:t xml:space="preserve">Ciclo</w:t>
      </w:r>
    </w:p>
    <w:p>
      <w:pPr>
        <w:spacing w:after="100"/>
      </w:pPr>
      <w:r>
        <w:t xml:space="preserve">Indicadores: Signify Research esperaba que el mercado mundial se frenara en 2025-2026 al terminar los ciclos de reposición en Norteamérica y Europa occidental [21]; el margen de los hospitales de EE. UU. en 2026 va por debajo de 2025 (2,5 % acumulado en el 1S26) [29]. Aun así, PME firmó en FY26 su segundo mejor año de contratos (548 M AUD) [6] y su CEO dice no ver efecto de los tipos de interés en las ventas [12]. En 2008-09 PME aprovechó la caída de precios para comprar Visage con caja [30]; en 2020 la pandemia aceleró la lectura remota [1]. No hay dato del sector para 2022.</w:t>
      </w:r>
    </w:p>
    <w:p>
      <w:pPr>
        <w:pStyle w:val="Heading2"/>
      </w:pPr>
      <w:r>
        <w:t xml:space="preserve">Regulación</w:t>
      </w:r>
    </w:p>
    <w:p>
      <w:pPr>
        <w:spacing w:after="100"/>
      </w:pPr>
      <w:r>
        <w:t xml:space="preserve">El software de diagnóstico de PME pasa por la FDA (510(k)) en EE. UU. y por los reguladores de cada país, que exigen demostrar equivalencia clínica con dispositivos ya comercializados [1]; su algoritmo de detección de cáncer de mama, desarrollado con NYU, está pendiente de autorización de la FDA [6]. Los datos de pacientes están sujetos a HIPAA en EE. UU. y GDPR en Europa; PME tiene un informe de cumplimiento HIPAA y la certificación SOC 2 Type II para Visage 7 PACS [1]. La obligación de historia clínica electrónica en EE. UU. empuja la demanda de imagen digital [1]. La regulación específica de IA está en desarrollo en varios países [1]. En Australia, PME prepara la información climática obligatoria de la ASX [1]. GE HealthCare cita como riesgos los aranceles y los cambios en el reembolso de pagadores públicos y privados [26].</w:t>
      </w:r>
    </w:p>
    <w:p>
      <w:pPr>
        <w:pStyle w:val="Heading2"/>
      </w:pPr>
      <w:r>
        <w:t xml:space="preserve">Tendencias y disrupción</w:t>
      </w:r>
    </w:p>
    <w:p>
      <w:pPr>
        <w:spacing w:after="100"/>
      </w:pPr>
      <w:r>
        <w:t xml:space="preserve">Nube: el mercado se desplaza a la nube y al cobro por uso (Sectra, Agfa y PME lo confirman) [18][19][6]. IA: PME se presenta como la «puerta de entrada» de la IA de imagen porque su visor es el escritorio del radiólogo, invierte en Elucid, 4DMedical y Echo IQ y co-desarrolla con NYU [6][12]. Plataforma única: cardiología (UCHealth, Vancouver Clinic, MedStar), patología digital en producción en Europa y módulo de informes con IA para EE. UU. en el 1S del año natural 2027 [6][12]. Consolidación: GE HealthCare compró Intelerad (2.300 M USD; ~270 M USD de ingresos previstos, ~90 % recurrentes, margen EBITDA ajustado &gt;30 %) para competir en la nube y en ambulatorio [27]. Sectra crece más rápido en EE. UU.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Proveedor independiente de visor/PACS/archivo con ~11 % de los estudios de imagen de EE. UU. (medido por volumen de estudios de sus clientes) [6]; 11 de los 20 mejores hospitales de EE. UU. (ranking 2026/2027) usan Visage 7 como PACS [6]. En Australia es líder en RIS con contratos con Lumus e I-MED [6]. En Alemania, base creciente (Heidelberg)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Sectra (Imaging IT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may-2025 a abr-2026: ventas del segmento 3.057,4 M SEK (+9,3 %), resultado operativo 706,8 M SEK; ingresos recurrentes de nube +56,6 %; EE. UU. es su zona de mayor crecimiento [18]. Convertido a 0,1508 AUD/SEK (BCE, 30-abr-2026)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 (segmento Imaging, incluye Intelerad desde mar-2026)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GEHC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Imaging 2025: 9.245 M USD de ventas y EBIT de 891 M USD; incluye equipos (TAC, RM, rayos X), no desglosa el software de imagen [26]. Compró Intelerad (PACS en la nube, fuerte en ambulatorio) por 2.300 M USD el 18-mar-2026: ~270 M USD de ingresos previstos el primer año, ~90 % recurrentes, margen EBITDA ajustado &gt;30 %, crecimiento de dos dígitos bajos [27]. Convertido a 1,4963 AUD/USD (BCE, 31-dic-2025)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Intelerad (ya dentro de GE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previstos ~270 M USD el primer año completo bajo GE HealthCare (estimación de GEHC, no cuentas propias); margen EBITDA ajustado &gt;30 % [27]. Convertido a 1,4963 AUD/USD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Agfa HealthCare IT (Agfa-Gevaert)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ventas 232 M EUR (−4,1 %; −1,1 % sin divisa), EBIT ajustado 26,0 M EUR, EBITDA ajustado 14,5 %; pedidos +14 % (187 M EUR), de nube +38 %; el 43 % de los pedidos, de clientes nuevos; Norteamérica es su mercado principal [19]. Convertido a 1,7581 AUD/EUR (BCE, 31-dic-2025)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 (Connected Care, incluye Enterprise Informatics)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ajustado de Connected Care en 2025: 10,7 %; ventas comparables +3 %; grupo 17.800 M EUR [28]. No se obtuvo la cifra de ventas del segmento ni el peso de la informática de imagen.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 (Synapse)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clave de PACS en EE. UU. según Arizton [23]. Sin cifras del negocio de software de imagen en fuentes gratuitas consultadas.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Merative (antes IBM Watson Health / Merge)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(Francisco Partners); Arizton cita a IBM entre los proveedores clave [23]. Sin cuentas públicas.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referencias: el CEO dice que cuanto mayor es la base de clientes más referencias, clave en un sector conservador [3]; 11 de los 20 mejores hospitales de EE. UU. usan Visage 7 [1]. No hay efecto de red en sentido estricto entre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5-10 años; 6 de 6 renovaciones en FY26, todas con precio por transacción más alto, y tasa de renovación del 100 % según el CEO [1][3]; cambiar exige migrar el archivo de imágenes (PME factura la migración de archivos como línea de ingresos) [1][2]; la competencia tarda años en implantar un gran proyecto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de streaming y arquitectura sobre GPU [2]; autorizaciones FDA 510(k) [2]; reputación en centros académicos (Mayo, NYU, Yale, Northwestern) [22][1].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subyacente 74,9 % en FY26 [1] frente a 23,1 % de Sectra Imaging IT [7], 11,2 % de Agfa HealthCare IT [8] y 9,6 % del segmento Imaging de GE HealthCare [15]; el CEO dice que es unas tres veces el de sus competidores más cercanos [3]; ingresos por empleado ~1,7 M AUD (261,7 M / 153) (cálculo) [1][2]; implantaciones en 1/4-1/5 del tiempo habitual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tiene sitio para varios proveedores: PME tiene ~11 % de los estudios de EE. UU. y al menos nueve competidores relevantes [1][12].</w:t>
            </w:r>
          </w:p>
        </w:tc>
      </w:tr>
    </w:tbl>
    <w:p>
      <w:pPr>
        <w:spacing w:after="160" w:before="0"/>
      </w:pPr>
    </w:p>
    <w:p>
      <w:pPr>
        <w:pStyle w:val="Heading2"/>
      </w:pPr>
      <w:r>
        <w:t xml:space="preserve">Amenazas</w:t>
      </w:r>
    </w:p>
    <w:p>
      <w:pPr>
        <w:spacing w:after="100"/>
      </w:pPr>
      <w:r>
        <w:t xml:space="preserve">Hechos: GE HealthCare integra Intelerad (PACS nativo en la nube, 270 M USD de ingresos) en su negocio Imaging desde mar-2026 [27]; Sectra crece más en EE. UU. que en ningún otro sitio y su nube crece un 57 % [18]; Agfa gana pedidos de nube en Norteamérica, el 43 % de clientes nuevos [19]. Signify esperaba menos inversión en EE. UU. al acabar el ciclo de reposición [21]. El CEO admite que PME es la opción más cara del mercado y menciona el temor del mercado a que la IA traiga competidores más baratos o desarrollos propios [12]. La empresa cita la obsolescencia tecnológica y la ciberseguridad entre sus riesgos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FY2017-FY2026: ingresos </w:t>
      </w:r>
      <w:r>
        <w:rPr>
          <w:b/>
          <w:bCs/>
        </w:rPr>
        <w:t xml:space="preserve">26,5 %</w:t>
      </w:r>
      <w:r>
        <w:t xml:space="preserve">, EBITDA </w:t>
      </w:r>
      <w:r>
        <w:rPr>
          <w:b/>
          <w:bCs/>
        </w:rPr>
        <w:t xml:space="preserve">30,6 %</w:t>
      </w:r>
      <w:r>
        <w:t xml:space="preserve">, BPA </w:t>
      </w:r>
      <w:r>
        <w:rPr>
          <w:b/>
          <w:bCs/>
        </w:rPr>
        <w:t xml:space="preserve">44,9 %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AU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se multiplicaron por 8,3 en nueve años (de 31,6 M en FY2017 a 261,7 M en FY2026), sin compras: todo es crecimiento orgánico de Visage 7 en EE. UU., que ya es el 90,5 % de las ventas [1]. El margen EBITDA operativo subió de 58,4 % a 78,0 % y el EBIT de 44,8 % a 74,9 %: el coste es casi todo personal (153 empleados) y cada estudio adicional apenas cuesta, porque los clientes alojan las imágenes en su nube [1, 6]. FY2026 marca un freno: +22,9 % reportado frente al +31,9 % de FY2025; en moneda constante fue +28,4 %, porque el AUD se apreció de 0,647 a 0,678 USD [1]. El segundo semestre creció solo un 18,2 % en AUD, porque muchas implantaciones (cuatro cohortes de Trinity, UC Health, BayCare) entraron tarde y no aportaron en el año [12]. El beneficio estatutario de 265,3 M no es comparable: lleva 174,2 M antes de impuestos de plusvalías no realizadas de 4D Medical y Echo IQ [1].</w:t>
      </w:r>
    </w:p>
    <w:p>
      <w:pPr>
        <w:pStyle w:val="Heading2"/>
      </w:pPr>
      <w:r>
        <w:t xml:space="preserve">Ajustes y partidas no recurrentes</w:t>
      </w:r>
    </w:p>
    <w:p>
      <w:pPr>
        <w:spacing w:after="100"/>
      </w:pPr>
      <w:r>
        <w:t xml:space="preserve">Usamos cifras reportadas con un ajuste: las ganancias de valor razonable de inversiones financieras y las diferencias de cambio, que la empresa presenta entre los gastos operativos, salen del EBITDA y del EBIT como no recurrentes (FY2026: −172,3 M; FY2025: 2,0 M de pérdida de cambio) [1]. Con ello el EBIT coincide con el EBIT subyacente que publica la empresa (196,1 M en FY2026; 157,7 M en FY2025) [1, 10]. El LTM usa el beneficio neto subyacente (144,7 M; BPA 1,383 AUD) para los múltiplos, no el estatutario (265,3 M; 2,536 AUD). En FY2026 la empresa redefinió su beneficio antes de impuestos subyacente para incluir los intereses cobrados (FY2025 reexpresado a 165,2 M) [1]. No hay costes de reestructuración ni deterioros recurrentes.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Pro Medicus no hace conferencias con analistas: publica una entrevista escrita al CEO con preguntas de su agencia de relaciones públicas [11, 12]. En febrero de 2026 (HY26) el mensaje fue el récord de contratación (siete contratos por más de 280 M de mínimo), el contratado a 5 años por encima de 1.000 M y que Visage «no se puede replicar con o sin IA» [11]; la acción cayó un 23,9 % ese día [66]. En agosto de 2026 (FY26) el discurso cambió de los contratos a la ejecución: el resultado «en línea con lo esperado», el objetivo de +30 % de EBIT y beneficio cumplido solo en moneda constante, implantaciones que llegaron tarde y no contribuyeron a FY26 y un FY27 con doce meses completos de Trinity, UC Health y BayCare [10, 12]. Lo que no se trató: ninguna guía numérica para FY27, la caída de la acción, el EBIT por debajo del umbral del bonus de los directivos (199,5 frente a 210,0 M) y la bajada de 4D Medical después del cierre (de 182,0 a 149,1 M a 17-ago-2026)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el activo total crece un 80 % y los ingresos un 23 %).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pasó de −15,2 % de las ventas en FY2020 a +6,8 % en FY2026. La causa son los clientes: 98,0 M, un 52 % más con unas ventas un 23 % mayores, y los vencidos a más de 90 días suben de 1,0 a 6,7 M [1]. Con implantaciones grandes que facturan mínimos anuales y hospitales con márgenes del 2,5 % [29], es la señal de balance que más vigilamos. La caja y activos financieros corrientes suman 252,3 M (19,8 % más), después de pagar 64,8 M de dividendos y 10,1 M de recompras [1]. En el puente restamos el dividendo final de 38,7 M pagado el 29-sep-2026 y el impuesto latente estimado de la plusvalía de 4D Medical, y sumamos esa inversión a su cotización del corte (169,6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491</w:t>
      </w:r>
      <w:r>
        <w:t xml:space="preserve">, conversión </w:t>
      </w:r>
      <w:r>
        <w:rPr>
          <w:b/>
          <w:bCs/>
        </w:rPr>
        <w:t xml:space="preserve">74 %</w:t>
      </w:r>
      <w:r>
        <w:t xml:space="preserve"> del beneficio neto; adquisiciones 0, dividendos 238, recompras 27.</w:t>
      </w:r>
    </w:p>
    <w:p>
      <w:pPr>
        <w:spacing w:after="100"/>
      </w:pPr>
      <w:r>
        <w:t xml:space="preserve">Pro Medicus convierte casi todo su beneficio en caja: 74 % de conversión acumulada en FY2017-FY2026 con el beneficio estatutario, y por encima del 90 % cada año con el subyacente [1]. En FY2026 el flujo operativo fue 127,5 M frente a 144,7 M de beneficio subyacente (88 %), lastrado por los clientes (+34 M) [1]. El capex es pequeño y casi todo es desarrollo activado: 8,2 M de 8,7 M, frente a 6,9 M de amortización de intangibles; los equipos apenas suman 0,4 M porque los clientes alojan el sistema en su nube [1]. A ese capex hay que añadir las comisiones de venta activadas (NIIF 15), que subieron de 4,9 a 11,3 M en el año (2,4 % de las ventas) y no pasan por el capex: las sumamos en el DCF. Estimación propia: el capex de mantenimiento es el desarrollo activado (~3 % de las ventas) y el de crecimiento, las comisiones. Los intereses cobrados (9,0 M) se clasifican en inversión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(Melbourne)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en lo operativo y ruidosas en lo financiero. EY firma sin salvedades y sus dos asuntos clave son el reconocimiento de ingresos y la valoración de 4D Medical [1]. La partida que distorsiona es la plusvalía no realizada de 174,2 M: un préstamo de 10 M valorado con un modelo de opciones (nivel 2) que en agosto ya valía 33 M menos; dobla el beneficio estatutario y saca el BPA de 1,38 a 2,54 AUD [1]. La remuneración en acciones es pequeña (4,2 M, 1,6 % de las ventas) porque los fundadores no cobran variable. El desarrollo activado (8,2 M) es estable y similar a su amortización. El Altman Z de 69,51 y el Piotroski de 6 reflejan una empresa sin deuda; el Beneish M de −0,43 está por encima del umbral de −1,78 porque los clientes crecieron mucho más que las ventas (índice de días de cobro alto) y por la plusvalía. No vemos manipulación, pero sí una calidad del cobro que empeora: es la señal a seguir.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 no realizada de valor razonable dentro del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174,2 M antes de impuestos; 4D Medical valorado con un modelo de opciones (nivel 2); asunto clave de auditoría; tras el cierre el valor bajaría 32,9 M con la cotización del 17-ago-2026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de nivel 3 dentro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 de suscripción de EchoIQ (2,354 M) registrado en «trade and other receivables» antes de desembolsar; revertiría si la operación no se cerrase (contrato firmado el 14-ago-2026)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Capitalizado 8,2 M frente a 6,9 M amortizados en FY26 (3,1 % de los ingresos), vida útil 5 años; estable en 6-9 M al año desde FY17 [1, 2, 3,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vencidos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 cobrar a más de 90 días: 6,7 M a 30-jun-26 (1,0 M un año antes); clientes +55,7 % frente a ingresos +22,9 %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M en FY26 (1,6 % de los ingresos) frente a 0,6 M en FY17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definición de la métrica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FY26 el beneficio antes de impuestos subyacente pasa a incluir los intereses (FY25 reexpresado a 165,2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activadas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de contrato (comisiones) activados: 11,3 M a 30-jun-26 frente a 4,9 M un año antes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113,3 % · </w:t>
      </w:r>
      <w:r>
        <w:rPr>
          <w:b/>
          <w:bCs/>
        </w:rPr>
        <w:t xml:space="preserve">WACC</w:t>
      </w:r>
      <w:r>
        <w:t xml:space="preserve">: 12,3 %.</w:t>
      </w:r>
    </w:p>
    <w:p>
      <w:pPr>
        <w:spacing w:after="100"/>
      </w:pPr>
      <w:r>
        <w:t xml:space="preserve">Pro Medicus crea valor de forma extraordinaria: el ROIC ha estado por encima del 75 % todos los años desde FY2017 y por encima del 240 % en FY2022-FY2025, frente a un WACC del 12,3 %. Lo mueve el margen, no la rotación: el capital operativo es casi nulo (intangibles de 22 M y circulante pequeño) porque la empresa no tiene fábricas, inventario ni centros de datos [1]. El ROIC de FY2026 (110,5 %) baja solo porque el capital invertido del motor incluye el préstamo de 4D Medical (182 M), que no es capital operativo; sin él estaría cerca del 250 %. El ROIC incremental del 113 % dice que el crecimiento ha sido de altísima calidad. Ningún competidor cotizado se acerca: Sectra Imaging IT gana un 23,1 % de EBIT sobre ventas y Agfa HealthCare IT un 11,2 % [18, 19]. La rentabilidad no está en duda; lo está cuánto tiempo puede reinvertirse a ese ritmo en un mercado de 690 M de estudios.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Caja 146,5 M + depósitos bancarios a plazo 69,6 M + activos financieros corrientes 36,2 M = 252,3 M a 30-jun-26 (210,7 M a 30-jun-25) [1]. Sin líneas de crédito comunicadas.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sin covenants ni pensiones de prestación definida. Pasivos por arrendamiento de 2,2 M [1]. Ingresos diferidos (cobros por adelantado) de 65,3 M, un 35 % más que en FY2025: es circulante que se compensa con servicio, no deuda [1]. Pasivo por impuesto diferido de 62,7 M, casi todo por la plusvalía no realizada de 4D Medical [1]. Activos financieros no corrientes de 189,4 M: el préstamo convertible de 4D Medical (182,0 M a 30-jun-2026; 149,1 M con la cotización del 17-ago-2026), que vence en julio-agosto de 2027 y se liquida con 12,5-20 M en caja más acciones de 4D Medical, y 7,3 M en acciones preferentes de Elucid [1]. Compromiso posterior al cierre: notas convertibles de Echo IQ por 10 M (otros 10 M si la FDA aprobaba EchoSolv HF, lo que no ocurrió el 10-sep-2026) [1, 99].</w:t>
      </w:r>
    </w:p>
    <w:p>
      <w:pPr>
        <w:pStyle w:val="Heading1"/>
      </w:pPr>
      <w:r>
        <w:t xml:space="preserve">12. Asignación de capital</w:t>
      </w:r>
    </w:p>
    <w:p>
      <w:pPr>
        <w:pStyle w:val="Confianza"/>
        <w:spacing w:after="100"/>
      </w:pPr>
      <w:r>
        <w:t xml:space="preserve">Confianza: Alta</w:t>
      </w:r>
    </w:p>
    <w:p>
      <w:pPr>
        <w:spacing w:after="100"/>
      </w:pPr>
      <w:r>
        <w:t xml:space="preserve">Pro Medicus reparte ~50 % del beneficio subyacente en dividendo totalmente franqueado: 69 c en FY2026 (32 c a cuenta y 37 c final), +25,5 % [1, 11]. Recompra en el mercado cada año desde 2022, pero pequeñas: 10,1 M en FY2026 (hasta el 10 % del capital autorizado; 48.524 acciones a 190-262 AUD en el programa que terminó el 31-mar-2026) [14]. Prioridades declaradas: financiar el crecimiento orgánico, devolver capital con prudencia y mantener liquidez; compras «muy selectivas» [11, 12]. Sin deuda y sin intención de tomarla.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Elucid Bioimaging Inc. (EE. UU., IA para TC cardiaca): 2.577.718 acciones preferentes serie 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(USD 5,0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Nivel 3, mantenida a 7,336 M a 30-jun-26, sin cambios de valor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4D Medical (4DX): préstamo garantizado de 10 M a 2 años (vence 31-jul/14-ago-2027) con pago de 12,5-20 M y acciones adicionales según la cotización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razonable 182,0 M a 30-jun-26 (ganancia no realizada 172,0 M); 149,1 M con la cotización del 17-ago-2026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EchoIQ: nota convertible de 10 M al 12,5 % (otros 10 M si la FDA aprueba EchoSolv HF) y acuerdo de reventa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(sin desembolsar a 30-jun-26)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Ganancia de 2,354 M por el derecho de suscripción en FY26; contrato principal firmado el 14-ago-2026 [1].</w:t>
            </w:r>
          </w:p>
        </w:tc>
      </w:tr>
    </w:tbl>
    <w:p>
      <w:pPr>
        <w:spacing w:after="160" w:before="0"/>
      </w:pPr>
    </w:p>
    <w:p>
      <w:pPr>
        <w:spacing w:after="100"/>
      </w:pPr>
      <w:r>
        <w:t xml:space="preserve">La asignación de capital ha sido excelente en lo esencial: 491 M de flujo libre acumulado en FY2017-FY2026, de los que 238 M fueron a dividendos y 27 M a recompras, sin una sola compra desde Visage en 2009 (pagada con caja) y con un ROIC incremental del 113 %. La duda nueva son las apuestas pequeñas en empresas cotizadas de IA médica (4D Medical, Echo IQ, Elucid): poco dinero (unos 37 M comprometidos), pero ruido contable y un riesgo de distracción; Echo IQ cayó tras el rechazo de la FDA en septiembre [99]. Las recompras a 190-262 AUD en 2025-2026 se hicieron muy por encima de nuestro valor. Tampoco hay dilución (104,7 M de acciones diluidas, casi las mismas que en 2017).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Sam Hupert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delegado (Managing Director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Médico (Monash), cofundó Pro Medicus en 1983 y fue CEO hasta octubre de 2007; volvió al cargo en octubre de 2010 [1]. En su etapa los ingresos han pasado de 93,5 M en FY22 a 261,7 M en FY26 y el BPA subyacente ha crecido un 34 % anual en FY24-FY26 [1]. 24.196.660 acciones a 30-jun-2026 (23,16 %)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Hall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ejecutivo y director de tecnología (Technology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1983 y arquitecto principal del software de Visage RIS; licenciado y máster en ciencias por La Trobe [1]. 24.174.166 acciones a 30-jun-2026 (23,14 %)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Danny English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marzo de 2015 (Group Financial Controller, luego Head of Finance y secretaria del consejo); CFO desde el 16-mar-2026 en sustitución de Clayton Hatch, CFO desde junio de 2012 [1, 52]. 1.428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Kempen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 según 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12-mar-2008 y presidente desde agosto de 2010; ex socio director de Ernst &amp; Young Corporate Finance Australia y expresidente de Patties Foods [1]. 630.082 acciones (0,60 %) [1,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Malte Westerhoff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Europa (Visage Imaging GmbH) y CTO global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Indeed - Visual Concepts, precursora de Visage Imaging; responsable de producto e I+D global; antes en Mercury Computer Systems [1]. Único directivo con KPI individual en el LTI; 87.099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Sean Lambright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global de ventas y VP de ventas de Norteamérica (Visage Imaging)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Visage desde 2010; antes en AGFA Healthcare, AMICAS y Emageon [1]. Responsable de las ventas en EE. UU.: 10 contratos nuevos por 407 M mínimos en FY26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 Kern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estrategia (Chief Strategy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octubre de 2025; casi 10 años en Resmed (director general de MEDIFOX DAN), antes TPG Capital, Hg Capital y McKinsey [1]. Lleva estrategia, inversiones y alianzas (4DMedical, Echo IQ)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interno del bonus (STI), publicado a posteriori: EBIT subyacente 75,8 M (+25 % sobre FY22); valor anual de contratos nuevos (ACV) 23,4 M [61]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80,7 M; ACV 14,5 M [61]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STI: EBIT subyacente 111,4 M (+36 % sobre FY23); ingresos subyacentes 152,0 M (+21,7 %)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105,01 M (5,39 % por debajo); ingresos 152,5 M (+23,1 %)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STI: EBIT subyacente 147,5 M; ingresos subyacentes 196,5 M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152,4 M; ingresos 206,3 M; pago del STI del 139-146 % del objetivo [1,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Declarado por el CEO: «aiming for 30% increases in EBIT and NPAT» [10]. Objetivo del STI: EBIT subyacente 210,0 M (+37,9 % sobre FY25) e ingresos subyacentes 259,2 M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moneda constante EBIT 206,0 M (+30,6 %) y beneficio neto 154,5 M (+32,5 %); reportado EBIT 196,1 M (+24,4 %) y beneficio neto subyacente 144,7 M (+24,1 %) [10]. Base del STI: EBIT 199,5 M, por debajo del umbral (pago nulo en ese tramo), e ingresos 266,6 M (pago del 151,4 %)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la de siempre: Sam Hupert y Anthony Hall fundaron la empresa en 1983 y siguen como consejero delegado y director técnico, con el 23,2 % del capital cada uno [1]. Su credibilidad es alta en lo que controlan (contratos, margen, renovaciones del 100 %), pero la empresa no da guía numérica y en FY2026 el objetivo de +30 % de EBIT solo se cumplió en moneda constante [10]. La estabilidad se ha roto un poco en 2026: el director financiero de casi 14 años se fue en marzo (le sustituye una promoción interna) y el jefe de operaciones y relaciones con inversores en mayo [52, 53]. No hay plan de sucesión público para Hupert; es el principal riesgo de equipo, porque las ventas a los grandes hospitales de EE. UU. dependen en buena parte de él y de Malte Westerhoff (técnico, Berlín).</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Kempen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Sam Hupert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CEO; cofundador (23,16 %)</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y director de tecnología; cofundador (23,14 %)</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Glenning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Personas y Cultura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Leigh Farrell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Personas y Cultura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Deena Shiff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Personas y Cultura (remuneración y nombramientos);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Alice Williams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y Riesgos; Personas y Cultura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 Reed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 (desde el 1-oct-2026)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asignar aún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5,98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Sam Hupert (directa e indirecta: Alltogether Superannuation Fund, Sam Hupert Family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CEO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+59.000 acciones en FY26 (50.000 heredadas el 3-sep-2025 y 9.000 compradas en dic-2025 y feb-2026) [1, 39, 40, 47, 51]; vendió 1 M de acciones en mar-2023, nov-2023 y dic-2024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Hall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+30.166 acciones compradas en dic-2025 y feb-2026 [1, 41, 42, 48, 49, 50]; vendió 1 M de acciones en mar-2023, nov-2023 y dic-2024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AustralianSuper Pty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 australiano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a accionista significativo el 27-may-2026 con 5.237.486 acciones; sin aviso posterior de salida hasta el corte [33,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(fondos indexados)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9-abr-2026 con 5.237.341 acciones (5,01 %) y bajó del 5 % el 3-sep-2026 [56,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Kempen (con Elaine Kempen)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+1.000 acciones en FY26 [1, 43,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(Employee Share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para los planes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en el mercado (48.524 acciones por 11,6 M) terminó el 31-mar-2026 y las acciones se amortizaron; el trust de empleados entrega acciones por los derechos ejercidos, sin saldo publicado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Hupert (CEO) [39]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Hupert (CEO) [40]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Hall (consejero ejecutivo) [41]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Hall (consejero ejecutivo) [42]</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Kempen (presidente) [43]</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Deena Shiff (consejera independiente) [44]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Glenning (consejero independiente) [45]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Kempen (presidente) [46]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Hupert (CEO) [47]</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Hall (consejero ejecutivo) [48]</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Hall (consejero ejecutivo) [49]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Anthony Hall (consejero ejecutivo) [50]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fundadores solo cobran fijo: Hupert, 1,07 M AUD en FY2026, unas 3,1 veces el coste medio por empleado (estimación propia), sin bonus ni acciones [1]. Para el resto de directivos clave, el variable anual pesa hasta el 50 % del fijo y depende del EBIT subyacente (35-40 %), de los ingresos (30-35 %) y de objetivos individuales; en FY2026 el EBIT (199,5 M) quedó por debajo del umbral de 210,0 M y no pagó, y los ingresos sí (151,4 %) [1]. El variable a largo plazo mide BPA subyacente (sin divisas ni plusvalías) y TSR relativo al S&amp;P/ASX 100 en tres años. Hay malus pero no recuperación de lo pagado. El voto en contra del informe de remuneración fue del 17,62 % en 2023 y bajó al 2,86 % y 3,91 % en 2024 y 2025, sin «strike» [36, 37, 38].</w:t>
      </w:r>
    </w:p>
    <w:p>
      <w:pPr>
        <w:pStyle w:val="Heading2"/>
      </w:pPr>
      <w:r>
        <w:t xml:space="preserve">Operaciones vinculadas, estructura de control y defensas</w:t>
      </w:r>
    </w:p>
    <w:p>
      <w:pPr>
        <w:spacing w:after="100"/>
      </w:pPr>
      <w:r>
        <w:t xml:space="preserve">Hupert (23,16 %) y Hall (23,14 %) suman el 46,3 % del capital. No hay pacto declarado, pero son socios desde 1983, consejeros ejecutivos ambos y dueños de la sociedad que alquila la sede a la empresa; en la junta de 2025 sus acciones serían ~55,6 % de los votos emitidos (estimación propia): de hecho controlan la junta [1, 36]. El presidente, Peter Kempen, es independiente según el consejo pese a sus 18 años en él [34]. Una acción, un voto; sin blindajes. La operación vinculada es menor: 215.120 AUD al año de alquiler a Champagne Properties, en condiciones de mercado según la empresa [1]. El voto de remuneración excluye a los directivos clave, así que mide al capital libre.</w:t>
      </w:r>
    </w:p>
    <w:p>
      <w:pPr>
        <w:pStyle w:val="Heading2"/>
      </w:pPr>
      <w:r>
        <w:t xml:space="preserve">Señales de alerta</w:t>
      </w:r>
    </w:p>
    <w:p>
      <w:pPr>
        <w:pStyle w:val="ListParagraph"/>
        <w:numPr>
          <w:ilvl w:val="0"/>
          <w:numId w:val="2"/>
        </w:numPr>
        <w:spacing w:after="60"/>
      </w:pPr>
      <w:r>
        <w:t xml:space="preserve">Rotación de la dirección financiera: el CFO de casi 14 años (Clayton Hatch) dejó el cargo el 16-mar-2026 y la empresa en agosto de 2026; le sustituye una promoción interna (Danny English) [1, 52, 53].</w:t>
      </w:r>
    </w:p>
    <w:p>
      <w:pPr>
        <w:pStyle w:val="ListParagraph"/>
        <w:numPr>
          <w:ilvl w:val="0"/>
          <w:numId w:val="2"/>
        </w:numPr>
        <w:spacing w:after="60"/>
      </w:pPr>
      <w:r>
        <w:t xml:space="preserve">Alquiler de la sede (450 Swan Street, Richmond) a Champagne Properties Pty Ltd, sociedad controlada por Hupert y Hall: 215.120 AUD al año en FY25 y FY26, en condiciones de mercado según una valoración independiente [1].</w:t>
      </w:r>
    </w:p>
    <w:p>
      <w:pPr>
        <w:pStyle w:val="ListParagraph"/>
        <w:numPr>
          <w:ilvl w:val="0"/>
          <w:numId w:val="2"/>
        </w:numPr>
        <w:spacing w:after="60"/>
      </w:pPr>
      <w:r>
        <w:t xml:space="preserve">No hay función de auditoría interna (ni externalizada); el consejo lo revisa a medida que crece la empresa [34, 35].</w:t>
      </w:r>
    </w:p>
    <w:p>
      <w:pPr>
        <w:pStyle w:val="ListParagraph"/>
        <w:numPr>
          <w:ilvl w:val="0"/>
          <w:numId w:val="2"/>
        </w:numPr>
        <w:spacing w:after="60"/>
      </w:pPr>
      <w:r>
        <w:t xml:space="preserve">Presidente con 18 años en el consejo y el 0,60 % del capital; el consejo lo declara independiente pese a la antigüedad [34].</w:t>
      </w:r>
    </w:p>
    <w:p>
      <w:pPr>
        <w:pStyle w:val="ListParagraph"/>
        <w:numPr>
          <w:ilvl w:val="0"/>
          <w:numId w:val="2"/>
        </w:numPr>
        <w:spacing w:after="60"/>
      </w:pPr>
      <w:r>
        <w:t xml:space="preserve">Incidente de ciberseguridad (jul-2025, comunicado el 4-dic-2025 tras rumores): acceso a un buzón de correo con datos personales de unos 100 empleados; sin acceso a sistemas de clientes ni pérdidas, según la empresa [62].</w:t>
      </w:r>
    </w:p>
    <w:p>
      <w:pPr>
        <w:pStyle w:val="ListParagraph"/>
        <w:numPr>
          <w:ilvl w:val="0"/>
          <w:numId w:val="2"/>
        </w:numPr>
        <w:spacing w:after="60"/>
      </w:pPr>
      <w:r>
        <w:t xml:space="preserve">Auditor: Ernst &amp; Young, sin cambios; honorarios de otros servicios de EY Australia de 15.936 AUD frente a 529.423 de auditoría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Pro Medicus no publica guía numérica. Para FY2026 el CEO dijo que apuntaban a crecer un 30 % en EBIT y beneficio neto, y lo cumplieron solo en moneda constante (+30,6 % y +32,5 %) [10]. Para FY2027 (18-ago-2026) solo dice que tendrá doce meses completos de las implantaciones de FY2026 (Trinity, UC Health Colorado, BayCare, Beth Israel Lahey) y que el contratado mínimo a cinco años es de 1.340 M (+41 %) [6, 12]. No hay plan a medio plazo con cifras; el objetivo de BPA del plan de acciones de los directivos (+25,6 % anual en FY2026-FY2028) es la referencia interna más concreta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12-oct-2026 (15 analistas) [69]; Stock Analysis (S&amp;P Global, 14 analistas FY27): ingresos 338,7 M (rango 321,5-354,8), BPA 1,83 (1,72-1,88)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12-oct-2026 [69]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12-oct-2026 [69]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 – 250,00</w:t>
            </w:r>
          </w:p>
        </w:tc>
      </w:tr>
    </w:tbl>
    <w:p>
      <w:pPr>
        <w:spacing w:after="160" w:before="0"/>
      </w:pPr>
    </w:p>
    <w:p>
      <w:pPr>
        <w:pStyle w:val="Heading2"/>
      </w:pPr>
      <w:r>
        <w:t xml:space="preserve">Revisiones de estimaciones</w:t>
      </w:r>
    </w:p>
    <w:p>
      <w:pPr>
        <w:spacing w:after="100"/>
      </w:pPr>
      <w:r>
        <w:t xml:space="preserve">No hay historial gratuito de revisiones de estimaciones (registrado como hueco). Lo observable: tras los resultados de FY2026, dos analistas pasaron de comprar a mantener (de 12 compras y 2 mantener en junio a 9 y 5 en septiembre) [71], y el precio objetivo medio (202,47 AUD) está muy por debajo del precio de hace un año (300 AUD) [66, 70]. El consenso de FY2027 (ingresos 338,7 M, +29,4 %) sigue suponiendo que el ritmo en moneda local se mantiene pese a un AUD más fuerte; el rango de ingresos de Stock Analysis (321,5-354,8 M) es estrecho [71].</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bl>
    <w:p>
      <w:pPr>
        <w:spacing w:after="160" w:before="0"/>
      </w:pPr>
    </w:p>
    <w:p>
      <w:pPr>
        <w:spacing w:after="100"/>
      </w:pPr>
      <w:r>
        <w:t xml:space="preserve">La acción multiplicó por 31 su precio en diez años (41,6 % anual) y llegó a 300 AUD en octubre de 2025, a más de 200 veces el beneficio [66]. Desde ahí ha perdido el 44,6 % en un año y llegó a caer un 67,2 % hasta febrero de 2026. Tres causas: la venta general de software por el miedo a la IA desde finales de 2025 [93], el semestre de febrero (−23,9 % el día de resultados, con un crecimiento del 28 % que el mercado consideró insuficiente para el múltiplo) y la salida de índices y fondos (State Street bajó del 5 % en septiembre) [58, 66]. Desde el mínimo de 107,75 AUD ha subido un 56 %. La beta (1,58 mensual a 5 años) y la volatilidad del 55,1 % son de valor de crecimiento, no de empresa sanitaria. La posición corta es del 3,94 % del capital (6-oct-2026), alta para un valor del ASX 50 [59].</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cierre de cada ejercicio, el EV/EBITDA de los últimos 12 meses fue de 78,1x de media en diez años; hoy es 84,6x, en el percentil 60. Pro Medicus siempre ha cotizado caro y el mercado lo ha mantenido mientras crecía al 25-35 %. Lo que ha cambiado es que el crecimiento reportado baja del 30 % al 23 % y los tipos australianos a 10 años están en el 5,4 %, frente al 1-2 % de 2019-2021 [67]. El PER histórico de FY2026 sale bajo porque usa el beneficio estatutario con las plusvalías; sobre el subyacente la acción cotiza a ~122 veces los últimos 12 meses y a 87,0 veces los próximos.</w:t>
      </w:r>
    </w:p>
    <w:p>
      <w:pPr>
        <w:pStyle w:val="Heading1"/>
      </w:pPr>
      <w:r>
        <w:t xml:space="preserve">18. Comparables cotizados</w:t>
      </w:r>
    </w:p>
    <w:p>
      <w:pPr>
        <w:pStyle w:val="Confianza"/>
        <w:spacing w:after="100"/>
      </w:pPr>
      <w:r>
        <w:t xml:space="preserve">Confianza: Media</w:t>
      </w:r>
    </w:p>
    <w:p>
      <w:pPr>
        <w:spacing w:after="100"/>
      </w:pPr>
      <w:r>
        <w:t xml:space="preserve">Software vertical de alto margen y alto crecimiento: Sectra (el competidor directo cotizado más puro en PACS), Veeva y Doximity (software para el sector sanitario de EE. UU.), Craneware (software para hospitales de EE. UU.), y cuatro compañías de software «de calidad» de Australasia y Europa con las que compite por el capital de los inversores (WiseTech, Xero, TechnologyOne, Nemetschek) [73, 74, 75, 76, 77, 78, 79, 80]. Fuera: GE HealthCare, Philips y Fujifilm (fabricantes de equipos con márgenes del 10 %), CompuGroup y Nexus (excluidas de bolsa tras OPA) y Tempus AI (EBITDA negativo).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 Medicus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Doximity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Craneware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WiseTech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15,1x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17,4x / 27,9x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 / 41,9x / 51,3x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 / 7,4x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16,0 + 0,39 × crecimiento; R² = 0,09. El crecimiento explica poco los múltiplos de estos comparables (R² &lt; 0,3): la regresión no se usa en la valoración.</w:t>
      </w:r>
    </w:p>
    <w:p>
      <w:pPr>
        <w:spacing w:after="100"/>
      </w:pPr>
      <w:r>
        <w:t xml:space="preserve">Pro Medicus es un caso aparte en el mapa: su margen EBITDA (78 %) duplica la mediana de los comparables (36,3 %) y su crecimiento esperado está en lo alto del grupo, pero su EV/EBITDA de los próximos 12 meses (60,5x) cuadruplica la mediana (15,1x) y su PER (87,0x) dobla la mediana (41,9x). Ni siquiera Sectra, el competidor directo, que cotiza a 49,9x y crece un 16,9 %, se le acerca. Aplicando las medianas el valor sale entre 44,46 (EV/EBITDA) y 81,06 AUD (PER) por acción; con el percentil 75, entre 69,84 y 99,20. La prima se justifica en parte por el margen y el ROIC, pero un múltiplo de 60x sobre el EBITDA solo se paga si el crecimiento dura más de una década. Usamos el EV/EBITDA, con PER como contraste, y la regresión no explica nada (R² = 0,09).</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 (IA clínica y dictado; PowerScribe en radiología)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19.700 M USD con la deuda neta [82]; ventas FY2020 de 1.283,8 M USD [83]; EBITDA no significativo.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Inovalon (datos y software para aseguradoras y proveedores)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Nordic Capital e Insight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~7.300 M USD [86]; EBITDA contable 2020 de 186,6 M USD [87] (estimación propia del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Cerner (historia clínica electrónica)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Oracle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estimado de 29.354 M USD [84, 85]; EBITDA contable 2020 de 1.612 M USD [85]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Volpara Health Technologies (IA para imagen mamaria, ASX)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Lunit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veces las ventas FY24, múltiplo publicado por el vendedor [88]; con pérdidas operativas.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CompuGroup Medical (software para médicos y hospitales)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CVC Capital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22,00 EUR por acción; prima del 33,5 % [89]. Sin valor empresa ni múltiplo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Intelerad (PACS y visor de imagen médica)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M USD por ~270 M USD de ingresos del primer año, ~90 % recurrentes y margen EBITDA superior al 30 % [27] (múltiplo de ventas, cálculo propio). Es el competidor directo más parecido.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 – 30,51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Ninguna operación es un buen espejo: las de software sanitario se pagaron a 5-15 veces las ventas y 18-39 veces el EBITDA, frente a 66 veces las ventas y 85 veces el EBITDA a las que cotiza hoy Pro Medicus. La más cercana es la compra de Intelerad, competidor directo en PACS, por GE HealthCare en marzo de 2026: unas 8,5 veces los ingresos [27]. Una OPA sobre Pro Medicus es improbable: los fundadores controlan el 46,3 % y el tamaño (17.622 M de capitalización) solo está al alcance de GE HealthCare, Siemens Healthineers, Philips u Oracle. Las transacciones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26 % en FY2027e: doce meses completos de Trinity (5 de 7 cohortes implantadas), UC Health Colorado, BayCare y Beth Israel Lahey, más la base de clientes creciendo ~8 % en estudios [6, 12], menos ~2,5 puntos por un AUD más fuerte (0,698 USD frente a 0,678 de media en FY2026). Es un 2,6 % menos que el consenso en ingresos de FY2027 y un 3,5 % menos en FY2029 [69]. Después bajamos dos puntos al año hasta el 7 % de FY2036e: 16,1 % anual de media en diez años, frente al 26,5 % de los últimos nueve. Los ingresos de FY2036e (1.149 M) multiplican por 4,4 los de hoy.</w:t>
      </w:r>
    </w:p>
    <w:p>
      <w:pPr>
        <w:keepNext/>
        <w:spacing w:after="100"/>
      </w:pPr>
      <w:r>
        <w:rPr>
          <w:b/>
          <w:bCs/>
        </w:rPr>
        <w:t xml:space="preserve">Márgenes.</w:t>
      </w:r>
    </w:p>
    <w:p>
      <w:pPr>
        <w:spacing w:after="100"/>
      </w:pPr>
      <w:r>
        <w:t xml:space="preserve">El margen EBITDA sube de 78,0 % a 80 % en FY2030e y se queda ahí. El historial lo apoya: +19,6 puntos en nueve años con 153 empleados, cada contrato nuevo apenas añade coste y el consenso prevé un EBIT del 76-77,5 % [69]. No suponemos más porque los precios de renovación suben poco y la empresa invierte en cardiología, patología e IA. Ningún competidor gana más del 25 % de EBIT [18, 19], así que un margen del 80 % ya es el máximo del sector.</w:t>
      </w:r>
    </w:p>
    <w:p>
      <w:pPr>
        <w:keepNext/>
        <w:spacing w:after="100"/>
      </w:pPr>
      <w:r>
        <w:rPr>
          <w:b/>
          <w:bCs/>
        </w:rPr>
        <w:t xml:space="preserve">Inversión y circulante.</w:t>
      </w:r>
    </w:p>
    <w:p>
      <w:pPr>
        <w:spacing w:after="100"/>
      </w:pPr>
      <w:r>
        <w:t xml:space="preserve">Capex del 4,4 % de las ventas en FY2027e bajando al 3,3 %: desarrollo activado (~3 %, como en FY2017-FY2026) más el aumento de las comisiones de venta activadas (2,4 % de las ventas en FY2026, que se normaliza con la contratación) [1]. Amortización del 3,1 % (como en FY2026). Circulante del 5 % de las ventas (6,8 % en FY2026, −15 % a −2 % en FY2019-FY2024), por los clientes que crecen más que las ventas. Impuesto del 30 % (29,7 % en FY2026).</w:t>
      </w:r>
    </w:p>
    <w:p>
      <w:pPr>
        <w:keepNext/>
        <w:spacing w:after="100"/>
      </w:pPr>
      <w:r>
        <w:rPr>
          <w:b/>
          <w:bCs/>
        </w:rPr>
        <w:t xml:space="preserve">Coste del capital.</w:t>
      </w:r>
    </w:p>
    <w:p>
      <w:pPr>
        <w:spacing w:after="100"/>
      </w:pPr>
      <w:r>
        <w:t xml:space="preserve">Tasa libre: bono australiano a 10 años del 5,40 % (7-oct-2026, tabla F2 del RBA) [67]. Beta 1,25: entre la semanal de 2 años (1,19) y la sectorial de software de Damodaran corregida por caja (1,25) [66, 90]; la mensual de 5 años (1,58; 1,39 ajustada) recoge la burbuja y caída de 2025-26 y daría un 13,0 %. Prima de mercado del 5,5 %, sin prima adicional (empresa sin deuda, ingresos en EE. UU.). WACC = coste de capital = 12,28 %. Con la prima implícita de Damodaran (4,20 % [68]) sería el 10,65 %; el motor da también ese caso.</w:t>
      </w:r>
    </w:p>
    <w:p>
      <w:pPr>
        <w:keepNext/>
        <w:spacing w:after="100"/>
      </w:pPr>
      <w:r>
        <w:rPr>
          <w:b/>
          <w:bCs/>
        </w:rPr>
        <w:t xml:space="preserve">Valor terminal.</w:t>
      </w:r>
    </w:p>
    <w:p>
      <w:pPr>
        <w:spacing w:after="100"/>
      </w:pPr>
      <w:r>
        <w:t xml:space="preserve">Crecimiento a perpetuidad del 3,0 %: entre la inflación objetivo del RBA (2-3 %) y la tasa libre menos medio punto (4,9 %), coherente con flujos en AUD de un negocio que a esas alturas tendría ~30 % de su mercado. El valor terminal pesa el 35 % del valor (más la transición, el 54 %). El múltiplo implícito de salida es 7,4 veces el EBITDA: bajo frente al actual porque el negocio crecería ya al 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45,92 por acción; sin ella (crecimiento terminal desde FY2036e), 43,79.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Pro Medicus tiene ~11 % de los estudios de imagen de EE. UU. [6], firma contratos a 5-10 años con renovaciones del 100 % y precio por estudio más alto [1], y su ROIC (más del 100 %) supera el WACC en más de 90 puntos. El contratado mínimo a cinco años (1.340 M) ya cubre buena parte de los ingresos de FY2027-FY2031 [6]. Además entra en cardiología y patología digital, mercados nuevos [1]. Por eso dejamos una transición de cinco años desde el 7 % de FY2036e hasta el 3 % terminal, en vez de cortar en seco. Aporta el 4,9 % del valor (43,79 AUD sin ella).</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 (hoy: 11,0 %)</w:t>
            </w:r>
          </w:p>
        </w:tc>
      </w:tr>
    </w:tbl>
    <w:p>
      <w:pPr>
        <w:spacing w:after="160" w:before="0"/>
      </w:pPr>
    </w:p>
    <w:p>
      <w:pPr>
        <w:spacing w:after="100"/>
      </w:pPr>
      <w:r>
        <w:t xml:space="preserve">La proyección apenas necesita inversión neta de la amortización (reinversión acumulada de 82 M, el 2 % del NOPAT, con un capex bruto medio del 3,8 % de las ventas). En un negocio de activos ligeros, el crecimiento medio del 16,1 % tiene que salir de subir precios y de ganar volumen sin capital nuevo, y la prueba es el poder de precios y la cuota (31,1 % del mercado en FY2036e, frente al 11,0 %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año completo de Trinity, UC Health, BayCare y BILH más ~8 % de estudios en los clientes actuales [6, 12]. Precio: renovaciones de FY2026 con tarifa por estudio más alta [1]. Otros: AUD más fuerte frente al USD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contratos de FY2026-FY2027 (Radiology Associates of North Texas, Valley Health, St Luke’s) y crecimiento de estudios de los clientes [1, 33]. Precio: renovaciones al alza.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cuota de EE. UU. de ~15 % (+2 puntos al año, como en 2024-2026 [6]) y cardiología. Precio: ~2,5 % anual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ganancia de cuota y patología digital, aún incipiente [1]. Precio: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cuota de EE. UU. ~20 % y estudios del mercado +3 % [6]. Precio: ~2,5 %.</w:t>
            </w:r>
          </w:p>
        </w:tc>
      </w:tr>
    </w:tbl>
    <w:p>
      <w:pPr>
        <w:spacing w:after="160" w:before="0"/>
      </w:pPr>
    </w:p>
    <w:p>
      <w:pPr>
        <w:spacing w:after="100"/>
      </w:pPr>
      <w:r>
        <w:t xml:space="preserve">En parte. La calidad es indiscutible: margen EBIT del 75 %, ROIC por encima del 100 %, renovaciones del 100 % con precio más alto y 1.340 M de ingresos mínimos contratados a cinco años [1, 6]; el crecimiento no necesita capital (reinversión del 2 % del beneficio operativo). La prueba que falla es la cuota: nuestro caso base, que ya es exigente (16,1 % anual en diez años), lleva a Pro Medicus del 11 % al ~31 % de los estudios de EE. UU. (al ingreso por estudio de PME, ~3,1 AUD, el mercado sería de unos 3.700 M en FY2036e), y eso supone ganar unos 2 puntos al año durante una década frente a GE HealthCare-Intelerad, Sectra, Philips o Fujifilm. El precio por estudio no ha subido de forma visible: unos 3,1 AUD en FY2024 y en FY2026 (estimación propia) [6]. El precio actual pide mucho más: un crecimiento del 33,0 % anual en diez años, unos ingresos superiores a todo el mercado de EE. UU.</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 (base: 16,1 %)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110 % justifica el precio (base: 80,0 %)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12,3 %)</w:t>
            </w:r>
          </w:p>
        </w:tc>
      </w:tr>
    </w:tbl>
    <w:p>
      <w:pPr>
        <w:spacing w:after="160" w:before="0"/>
      </w:pPr>
    </w:p>
    <w:p>
      <w:pPr>
        <w:spacing w:after="100"/>
      </w:pPr>
      <w:r>
        <w:t xml:space="preserve">El DCF da 45,92 AUD por acción frente a 168,37 de precio (−72,7 %), con el valor terminal en el 35 % del valor. El DCF inverso es la clave: para justificar el precio con nuestros márgenes (80 %) y nuestro WACC, Pro Medicus tendría que crecer un 33,0 % anual durante diez años, frente al 16,1 % de nuestro caso base y al 26,5 % de los últimos nueve años. Unos ingresos que crecen al 33 % durante diez años llegarían a unos 4.500 M en FY2036, más que todo el mercado de imagen de EE. UU. valorado a su precio por estudio (~3.700 M): no basta con ganar cuota, haría falta cardiología, patología y otros países al mismo ritmo. Dicho de otro modo, quien compra hoy a 168,37 con nuestras cifras obtiene una rentabilidad anual del 5,7 %, igual que el bono australiano (5,40 %). Ningún margen alcanza: con el 80 % ya suponemos el máximo del sector. Con la prima implícita del mercado (WACC del 10,65 %) el DCF sube a 56,51 AUD, aún un 66 % por debajo del precio. Coincidimos con el consenso en los tres próximos años (−2,6 % a −3,5 % en ingresos): la diferencia está en lo que el precio supone para la década siguiente.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y los grandes fabricantes (GE HealthCare con Intelerad, Philips) abaratan el visor y el archivo; las renovaciones de 2027-2029 se firman sin subida de tarifa y la ganancia de cuota se frena en el ~18 %. El crecimiento baja 6 puntos cada año y el margen 5 puntos por más gasto comercial e I+D, como le pasó a Sectra al pasar a la nube.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 Medicus sigue ganando unos 2 puntos de cuota al año en EE. UU. hasta ~31 % de los estudios en FY2036e, con precios +2,5 % anual y margen EBITDA del 80 %. El crecimiento baja de 26 % a 7 % en diez años.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Cardiología, patología digital e informes con IA se suman al PACS y Europa despega; el crecimiento es 5 puntos mayor cada año (21,1 % de media en diez años) y el margen sube al 81 %. Ni siquiera así alcanza el precio: harían falta otros 12 puntos de crecimiento anual.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AUD) · precio actual 168,3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47,28 AUD (-71,9 %).</w:t>
      </w:r>
    </w:p>
    <w:p>
      <w:pPr>
        <w:spacing w:after="100"/>
      </w:pPr>
      <w:r>
        <w:t xml:space="preserve">La asimetría es completamente desfavorable: incluso el alcista (69,54 AUD, −58,7 %) queda muy por debajo del precio, y el bajista (27,75 AUD, −83,5 %) es una caída del orden de la que ya sufrió la acción entre julio de 2025 y febrero de 2026 (−67,2 %) [66]. La probabilidad del bajista (25 %) no es cosmética: el precio por estudio estimado no ha subido en dos años y Sectra muestra lo que pasa con el margen de un competidor bueno en un mercado que crece al 4 %. Con la prima del mercado el alcista vale 88,49 AUD. Para que la acción valga lo que cuesta hace falta un escenario fuera de nuestro rango: crecimiento del 33 % durante una década.</w:t>
      </w:r>
    </w:p>
    <w:p>
      <w:pPr>
        <w:pStyle w:val="Heading1"/>
      </w:pPr>
      <w:r>
        <w:t xml:space="preserve">22. Suma de partes</w:t>
      </w:r>
    </w:p>
    <w:p>
      <w:pPr>
        <w:pStyle w:val="Confianza"/>
        <w:spacing w:after="100"/>
      </w:pPr>
      <w:r>
        <w:t xml:space="preserve">Confianza: Alta</w:t>
      </w:r>
    </w:p>
    <w:p>
      <w:pPr>
        <w:spacing w:after="100"/>
      </w:pPr>
      <w:r>
        <w:t xml:space="preserve">Un solo negocio (software de imagen médica con cobro por estudio): no hay partes con perfiles distintos.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AUD) · precio actual 168,3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50,61 AUD (-69,9 % sobre 168,37).</w:t>
      </w:r>
    </w:p>
    <w:p>
      <w:pPr>
        <w:spacing w:after="100"/>
      </w:pPr>
      <w:r>
        <w:t xml:space="preserve">Pesamos el DCF (40 %) y los escenarios (35 %) porque el valor de Pro Medicus depende de cuánto dure su crecimiento, y solo el DCF lo hace explícito. Los comparables (25 %) sirven de contraste: dan entre 44,46 y 81,06 AUD con las medianas y hasta 99,20 con el percentil 75 del PER, pero son empresas que crecen menos y ganan menos. Las transacciones (5-15 veces ventas) no pesan: ninguna se parece y una OPA es improbable con los fundadores en el 46,3 %. Todos los métodos dan entre 28 y 99 AUD; el precio (168,37) está fuera del rango de todos, y solo el precio objetivo de los analistas (202,47) y el rango de 52 semanas lo contienen. La dispersión entre métodos es grande, pero todos apuntan en la misma dirección.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 y 25-nov-2026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Convocatoria y junta general de accionistas (posible actualización comercial)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comentario sobre el arranque de FY2027 y la implantación completa de Trinity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29-nov a 3-dic-2026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Congreso RSNA (Chicago): ventana habitual de anuncios de contratos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nuevos sostienen la tesis de cuota; la falta de anuncios la debilita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con Trinity, UC Health y BayCare completos; un crecimiento en AUD por debajo del 25 % repetiría la caída de febrero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convertible de 4D Medical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 en caja y acciones la plusvalía (169,6 M al corte); fin del ruido contable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 contratos de la primera ola (2021-2022: Novant, Mayo y otros)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Miden el poder de precios: tarifa por estudio al alza o a la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Mediados de 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si el crecimiento se reacelera al 25-30 %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crecimiento por debajo de lo que exige 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precio converge al escenario base (−73 %)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Contratado mínimo a 5 años de 1.340 M (+41 %)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AUD del 1S27 por debajo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por la IA y por competidores grandes (GE HealthCare-Intelerad, Philips, Sectra)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−40 %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del 100 % con tarifa más alta; nube nativa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sin subida de tarifa o pérdida de un cliente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EE. UU. y en el dólar (90,5 %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5 % de apreciación del AUD resta ~4,5 % a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largos en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AUD/USD por encima de 0,72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 los fundadores (Hupert y Hall, desde 1983)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Compresión del múltiplo de 10-20 %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CTO y jefe de ventas con más de 15 años en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o venta de acciones de los fundadores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cobro: clientes +55,7 % con ventas +22,9 %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 en valor, alto en credibilidad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hospitalarios grandes; sin pérdidas esperadas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Vencidos a más de 90 días por encima de 10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en pequeñas empresas de IA (4D Medical, Echo IQ, Elucid)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AUD por acción si 4D Medical vuelve a su coste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(~37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inversiones o pérdidas de valor razonable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Ciberataque o fallo de seguridad con datos de pacientes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de contratos y del argumento de calidad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 2 Type II, HIPAA; sistemas en la nube de los clientes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Incidentes comunicados (hubo uno de correo en dic-2025)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Salida de índices y venta de fondos tras la caída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Volatilidad (55 %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 liquidez (39 M AUD/día)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por encima del 5 %</w:t>
            </w:r>
          </w:p>
        </w:tc>
      </w:tr>
    </w:tbl>
    <w:p>
      <w:pPr>
        <w:spacing w:after="160" w:before="0"/>
      </w:pPr>
    </w:p>
    <w:p>
      <w:pPr>
        <w:pStyle w:val="Heading2"/>
      </w:pPr>
      <w:r>
        <w:t xml:space="preserve">Pre-mortem</w:t>
      </w:r>
    </w:p>
    <w:p>
      <w:pPr>
        <w:spacing w:after="100"/>
      </w:pPr>
      <w:r>
        <w:t xml:space="preserve">Para una recomendación de Vender, el fracaso es que la acción suba: estamos en octubre de 2029, Pro Medicus vale 300 AUD y nuestra venta fue un error. Lo que habría pasado: la nube habría hecho de los grandes sistemas de EE. UU. un mercado de «el ganador se lo lleva casi todo»; tras Trinity y UC Health, otros diez grandes sistemas habrían migrado a Visage en 2027-2028 y la cuota habría pasado del 11 % al 25 % en tres años en vez de en ocho; las renovaciones de la primera ola se habrían firmado con subidas de tarifa del 20-30 %; cardiología y patología habrían añadido otro mercado del tamaño del radiológico; y el margen habría llegado al 82 %. Con un crecimiento del 35 % anual hasta FY2029 y los tipos australianos bajando al 4 %, el mercado habría seguido pagando 80 veces el EBITDA. Lo habríamos visto antes en tres indicadores: contratos nuevos de más de 600 M al año (FY2026: 407 M), el ingreso por estudio subiendo con fuerza y el crecimiento semestral en AUD por encima del 30 %. Por eso son nuestros disparadores de revisión.</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más pueden mover las cifras son tres. 1) Ciberseguridad y privacidad de datos de pacientes: PME guarda y sirve imágenes clínicas de grandes hospitales, gran parte en la nube; tiene un responsable de seguridad (CISO), atestación SOC 2 Type II para Visage 7 PACS e informe de cumplimiento HIPAA, y dice que ningún incidente ha tenido efecto material ni hubo incumplimientos de privacidad en FY26 [1]. 2) IA responsable y seguridad clínica: los productos con IA requieren autorización de la FDA y validación clínica [1]. 3) Talento: el negocio depende de 153 especialistas; rotación voluntaria del 2,1 % en FY26 (5,6 % en FY25) y 30,5 % de mujeres en plantilla [1]. El impacto climático es bajo: PME destaca que su software necesita menos hardware que el de la competencia y prepara la información climática obligatoria de la ASX [1].</w:t>
      </w:r>
    </w:p>
    <w:p>
      <w:pPr>
        <w:pStyle w:val="Heading2"/>
      </w:pPr>
      <w:r>
        <w:t xml:space="preserve">Controversias</w:t>
      </w:r>
    </w:p>
    <w:p>
      <w:pPr>
        <w:spacing w:after="100"/>
      </w:pPr>
      <w:r>
        <w:t xml:space="preserve">No se han encontrado sanciones, litigios materiales ni brechas de datos en 2023-2026. El informe anual FY26 declara que no hubo incumplimientos de privacidad conocidos y que ningún incidente de ciberseguridad tuvo efecto material [1]; la búsqueda de prensa no dio resultados relevantes. PME completó las acciones de su primera declaración sobre esclavitud moderna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estudio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subido la tarifa media por estudio en las seis renovaciones de FY2026 y cuál es el ingreso medio por estudio de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el valor y la empresa no la publica; nuestra estimación (~3,1 AUD) no ha subido desde FY2024.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~11 % de cuota en EE. UU. cuenta clientes firmados que aún no están implantados? ¿Cuál es la cuota implantada?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incluye Trinity entera, la cuota «en ingresos» es menor y el recorrido parece mayor de lo que 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cuentas a cobrar crecen un 55,7 % frente a un 22,9 % de las ventas y los vencidos a más de 90 días pasan de 1,0 a 6,7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señal de calidad de cobro que empeora.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consejero delegado y del director técnico, fundadores desde 1983?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a los grandes sistemas de EE. UU. dependen de ellos.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criterio sigue la empresa para invertir en compañías cotizadas de IA (4D Medical, Echo IQ) y hay un límite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Añaden ruido contable y riesgo de distracción sin relación clara con el negocio principal.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perdido algún concurso frente a GE HealthCare-Intelerad o Sectra en 2026, y con qué diferencia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Intelerad crea un competidor con escala de fabricante.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 tarifa por estudio se vería afectada si los visores con IA de los fabricantes de equipos se regalan con el escáner?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núcleo del miedo del mercado y la empresa solo responde con cualitativos.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(listado de artículos de PME)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20-sep y el 9-oct de 2026 Pro Medicus aparece en una docena de artículos, casi todos de tono comprador (compounders a largo plazo, acciones para mantener hasta 2040, recomendaciones de expertos), con alguna comparación neutra frente a CSL y Codan; la página recuerda que la acción sigue en negativo en el año [91].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CSL vs Pro Medicus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autora prefiere CSL: ve la valoración de Pro Medicus «rica», con una inercia de corto plazo «firmemente negativa», y la considera difícil de justificar al precio actual pese a su tecnología única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Down 43%! 4 reasons to buy the big dip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la caída al miedo a que la IA sustituya al software como servicio («SaaSpocalypse») y recoge la tesis compradora de un gestor (liderazgo de Visage en hospitales de EE. UU., resultados FY26 mejores de lo esperado, contratos nuevos y punto de entrada atractivo) [93].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Buy, hold, sell (Pro Medicus, BHP, CBA)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 de compra de un gestor (Medallion Financial, vía The Bull) sin riesgos concretos citados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Cochlear vs Pro Medicus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autora elige Pro Medicus frente a Cochlear porque ha resistido mejor la caída y tiene más capacidad de generar beneficios, aunque reconoce que ninguna de las dos es barata por PER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How much could the Pro Medicus share price rise in the next year?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FY26 el autor ve recorrido al alza apoyándose en los precios objetivo de los analistas y en la racha de contratos; los únicos riesgos que nombra son la IA y el tipo de cambio por la exposición a EE. UU.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These ASX 50 shares have lost up to 60%. Is the sell-off overdone?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la caída al temor a la IA, destaca que los números de fondo siguen siendo buenos y que la mayoría de los brókeres ve potencial, pero no decide si es una ganga o una trampa de valor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ASX 200 healthcare shares soar amid FY26 reports from CSL, Pro Medicus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 de satisfactorios los resultados FY26 y describe una subida de la acción en la semana de su publicación, sin objeciones [98].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Motley Fool Australia: EchoIQ shares just crashed 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rechazó por no equivalencia sustancial el software EchoSolv HF de Echo IQ; el segundo tramo de la inversión de Pro Medicus en notas convertibles, ligado a esa aprobación, queda en duda, aunque el acuerdo de reventa sigue en pie [99].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e IA («SaaSpocalypse»): miedo a que la IA sustituya al software como servicio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de la caída que más se repite [93, 97] y casi nadie la argumenta con datos de la empresa; los artículos compradores replican con los resultados FY26 y los contratos nuevos [93, 96]. Contrastar con el crecimiento de ingresos, la cartera de ingresos mínimos contratados y las renovaciones con precio por estudio más alto del comunicado FY26.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(PER alto)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Incluso los autores favorables admiten que no es barata [92, 95]; una autora la descarta por precio [92]. Contrastar con los múltiplos y el DCF inverso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cotización como punto de entrada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 la lectura de «comprar la caída» con apoyo de gestores y brókeres [93, 94, 96, 97]; la propia página recuerda que la inercia sigue siendo negativa en el año [91, 92].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nuevos, renovaciones y penetración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citan los contratos del FY26 y la cuota de mercado que estima la empresa como prueba de recorrido [93, 96, 97]; son datos de la empresa, comprobables en el comunicado y la presentación FY26.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en empresas cotizadas pequeñas (Echo IQ)</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revés regulatorio de Echo IQ en la FDA [99] afecta a una de las inversiones cuya revalorización no realizada infla el beneficio estatutario FY26; los foros apenas lo relacionan con Pro Medicus. Vigilar el valor razonable en el HY27.</w:t>
            </w:r>
          </w:p>
        </w:tc>
      </w:tr>
    </w:tbl>
    <w:p>
      <w:pPr>
        <w:spacing w:after="160" w:before="0"/>
      </w:pPr>
    </w:p>
    <w:p>
      <w:pPr>
        <w:spacing w:after="100"/>
      </w:pPr>
      <w:r>
        <w:t xml:space="preserve">No aporta información nueva sobre las cifras, pero sí sobre el posicionamiento. Lo que se puede leer (artículos de opinión y recomendaciones de gestores en Motley Fool Australia; los foros de particulares no abren) es optimista: «comprar la caída» tras FY2026, con el miedo a la IA presentado como excesivo [91, 92, 93, 94, 95, 96, 97, 98]. Nadie discute el múltiplo con cifras; incluso los autores favorables lo ven caro. Contrasta con el 3,94 % de posiciones cortas [59] y con que dos analistas rebajaron a mantener [71]. El riesgo que los foros sí señalan y el informe recoge es el de las inversiones en pequeñas empresas de IA (Echo IQ, −48 % tras el rechazo de la FDA) [99]. El sentimiento no es extremo: no hay capitulación que sugiera un suelo.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22 controles correctos y 5 explicados. Fuentes: 99 (67 primarias); citas distintas en el texto: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80 % y los ingresos un 23 %: si hubo una compra cerca del cierre, decláralo en financieros.cambios_perimetro y explícalo. Explicación: No hubo compras. El activo crece un 80 % porque el préstamo convertible de 10 M a 4D Medical pasó a valer 182,0 M a valor razonable y la caja creció 42 M; el pasivo por impuesto diferido subió de 7,5 a 62,7 M por la misma plusvalía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31,1 % en FY2036e frente al 11,0 % de hoy. Explicación: Es la conclusión de la prueba de sostenibilidad: el caso base exige pasar del 11 % al ~31 % de los estudios de EE. UU. en diez años (de ellos ~10 % de los ingresos fuera de EE. UU.), al ritmo de los últimos dos años (+2 puntos al año). Por eso el veredicto es «En parte». El precio exige bastante más.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6,8 %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110,5 % frente a WACC 12,3 %: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211 M de flujo libre medio en sus tres primeros años, frente a 99 M de media real en los tres últimos: justifica el salto (circulante, inversión, márgenes) o ajusta los supuestos. Explicación: El flujo libre de 211 M de media en FY27-FY29 coincide con el del consenso (179,5 / 216,3 / 262,9 M [69]): crece con unos ingresos que suben un 23 % anual con margen EBITDA del 78-80 % y capex del 4 % de las ventas.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0,09: el crecimiento no explica los múltiplos de estos comparables; no uses el valor de la regresión. Explicación: Con R² = 0,09 el crecimiento no explica los múltiplos de los comparables;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44,46 y PER 81,06 por acción: si la empresa amortiza mucho más que sus comparables (licencias, intangibles adquiridos) el EBITDA la favorece; usa EV/EBIT o EV/(EBITDA − capex) y explícalo. Explicación: No es un efecto de amortizaciones (3 % de las ventas en PME). El PER de los comparables es alto frente a su EV/EBITDA porque Veeva y Doximity publican un EBITDA que suma la remuneración en acciones y varios tienen intereses o amortización de compras; en PME el beneficio incluye intereses de 9 M de caja. Se usan los dos y el EV/EBITDA pesa más.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 fuentes (67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y presentaciones HY26/FY26 (no citan consenso); 2) entrevistas del CEO (no lo mencionan); 3) no se buscó consenso previo de terceros por el presupuesto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semestrales (solo crecimiento reportado); 2) presentación FY26 (moneda constante solo anual: +28,4 %); 3) derivar el 2S en moneda constante exige el efecto divisa del 1S, no publicado en lo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conferencia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ASX 2021-2026 (solo «CEO Interview» escritas y presentaciones); 2) informe anual FY26; 3) no se buscó en la web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(no indica fecha de nombramiento); 2) cuentas FY2018 (EY ya auditor); 3) informe de gobierno no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implantaciones FY25 y cuota previa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FY26 (solo FY26); 2) informe anual FY26; 3) informe FY25 no descargado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Signify Research: solo publica gratis 2022 (5.200 M USD) y 2023 (+5,5 %); 2) Arizton y Market Glass: solo un año base y la previsión; 3) serie de volumen de PME solo desde 2024 (650→690 M estudios, +3,0 % anual, en sector.extra)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Signify Research (cuotas de proveedores de pago); 2) Arizton y Market Glass (solo lista de proveedores); 3) búsqueda web de cuotas KLAS/Signify sin cifras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(2024e-2027e)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Signify Research solo da 2022, 2023 y 2028e en abierto; 2) búsqueda del informe 2025 de Signify sin cifra; 3) interpolación a la TCAC implícita 2023-2028e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Estudios de imagen en EE. UU. de fuente oficial o sectorial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PME (650/670/690 M); 2) informes de mercado (solo dinero); 3) no se buscó IMV/CMS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Reembolso de CMS para imagen (regulación)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PME FY26 (no lo trata); 2) 10-K de GE HealthCare (mención genérica al reembolso); 3) sin búsqueda específica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por estudio de PME y su evolución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FY24-FY26 (solo «higher per transaction fee»); 2) entrevista al CEO FY26 (sin cifra); 3) cálculo implícito ingresos NA / estudios implícitos (en competencia.extra, estimación)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de Philips (informática de imagen), Fujifilm (Synapse) y Merative; cuotas de todos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anuales 2025 de Philips (solo márgenes de segmento); 2) búsqueda web de segmentos; 3) Merative es privada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web de la calificación MSCI y Sustainalytics de PME; 2) página de Sustainalytics (sin ficha de la empresa); 3) knowesg.com (cita cobertura MSCI/Sustainalytics/LSEG sin calificación)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(tabla de 5 años sin objetivos); 2) comunicados de resultados FY23-FY25 (sin objetivos numéricos: la empresa no da guía); 3) informes de remuneración FY23-FY25 (objetivos del STI desde FY23; FY21-FY22 no leídos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Edad de Sam Hupert y plan de sucesión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y Corporate Governance Statement 2026 (sin edad; solo «succession planning of key roles»); 2) entrevistas al CEO de jun-2026 y de FY26 (sin mención a la sucesión); 3) derivación: médico de cabecera desde 1980 (sin fecha de nacimiento)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Saldo de autocartera (Employee Share Trust)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18 del informe anual FY26 (solo movimientos en importe); 2) información adicional de la ASX (el trust no figura entre los 20 mayores); 3) anuncios de recompra (terminada en mar-2026 y amortizada)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Lambright y Kern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FY26 (no son KMP); 2) lista de los 20 mayores accionistas (no figuran); 3) Appendix 3Y (solo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[73, 74, 75, 76, 77, 78, 79, 80]; 2) no se consultó Stock Analysis por presupuesto; 3) no derivable sin capital invertido de cada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Healthcare (UnitedHealth), Nexus AG (TA), Merative (Francisco Partners), Intelerad (Hg) / Ambra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UnitedHealth: página no encontrada; 2) Merative, Intelerad y Ambra: precio no publicado; 3) Nexus y CompuGroup: oferta por acción sin valor empresa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(HotCopper, Reddit, Strawman, Market Index, Livewire, Simply Wall 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WebFetch a hotcopper.com.au/asx/pme/ (403), strawman.com/reports/PME (página vacía, solo título), reddit.com (bloqueado para WebFetch); 2) descargar.mjs a HotCopper (403), Strawman (35 caracteres), old.reddit.com JSON (redirige al inicio de sesión), Market Index (403) y Livewire (403); 3) WebFetch a marketindex.com.au, livewiremarkets.com y la comunidad de simplywall.st (403), y Stockhead (sin artículos de PME en el periodo); RSS de Seeking Alpha sin artículos de opinión desde ago-2026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FY26 (cuentas consolidadas a 30-jun-2026 y comparativas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https://announcements.asx.com.au/asxpdf/20260818/pdf/072w8h7mqc909z.pdf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(cuentas FY24 y comparativas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https://announcements.asx.com.au/asxpdf/20240814/pdf/066lmt5wzzbl8k.pdf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(cuentas FY22 y comparativas FY21)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https://announcements.asx.com.au/asxpdf/20220818/pdf/45czlrkrfldpcl.pdf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FY2020 (y comparativas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https://announcements.asx.com.au/asxpdf/20200820/pdf/44lpsxjp2q03t6.pdf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FY2018 (y comparativas FY2017)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https://announcements.asx.com.au/asxpdf/20180816/pdf/43xd0482kszgt7.pdf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FY26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https://announcements.asx.com.au/asxpdf/20260818/pdf/072w6n72g1wvfj.pdf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Accounts HY26 (1S26 y comparativa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https://announcements.asx.com.au/asxpdf/20260212/pdf/06w74gd9qzwy1w.pdf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Financial Statements HY25 (1S25 y comparativa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https://announcements.asx.com.au/asxpdf/20250213/pdf/06fgshwqsj4tpy.pdf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Accounts HY23 (1S23 y comparativa 1S22)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https://announcements.asx.com.au/asxpdf/20230215/pdf/45lmdj23q5x129.pdf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Final Report / comunicado de resultados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https://announcements.asx.com.au/asxpdf/20260818/pdf/072w56p5l1yyr7.pdf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Interview - 1HY26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https://announcements.asx.com.au/asxpdf/20260212/pdf/06w75ykl2xwhpj.pdf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Interview FY26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https://announcements.asx.com.au/asxpdf/20260818/pdf/072w5zqx5nxbs5.pdf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https://announcements.asx.com.au/asxpdf/20260212/pdf/06w79c8zk9ml0c.pdf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3C – Final buy-back notification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https://announcements.asx.com.au/asxpdf/20260401/pdf/06y19ddjg51hf3.pdf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FY2025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https://announcements.asx.com.au/asxpdf/20250814/pdf/06mw16hmy2n6x7.pdf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FY2024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https://announcements.asx.com.au/asxpdf/20240814/pdf/066lwynv1xzbhl.pdf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Macquarie Conference May 2024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https://announcements.asx.com.au/asxpdf/20240508/pdf/063c5lzfq4d4zx.pdf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year-end report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https://mb.cision.com/Main/1263/4358145/4135325.pdf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Agfa-Gevaert Group in 2025: strong Q4 profitability and free cash flow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Agfa-Gevaert (reproducido por finanznachrichten.de)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https://www.finanznachrichten.de/nachrichten-2026-03/67913103-agfa-gevaert-group-in-2025-strong-q4-profitability-and-free-cash-flow-good-step-up-in-fy-profitability-in-healthcare-it-and-digital-print-chemica-399.htm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 the pandemic fades, the global market for imaging IT has hit $5.2b in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https://signifyresearch.net/?p=3069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Opportunities for Growth in the Imaging IT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https://signifyresearch.net/?p=6966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Imaging IT Market Insights – Free Infographic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https://signifyresearch.net/?p=7243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Picture Archiving &amp; Communication System (PACS) Market - Focused Insights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https://www.arizton.com/market-reports/us-picture-archiving-and-communication-system-market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Picture Archiving and Communication Systems (PACS) - Global Strategic Business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Glass, Inc. (Research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https://www.researchandmarkets.com/reports/338871/picture_archiving_and_communication_systems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Technologies Inc. 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https://www.sec.gov/Archives/edgar/data/1932393/000193239326000007/gehc-20251231.htm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completes Intelerad acquisition accelerating shift to cloud first enterprise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(Business Wire, vía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https://www.biospace.com/press-releases/ge-healthcare-completes-intelerad-acquisition-accelerating-shift-to-cloud-first-enterprise-solutions-to-deliver-precision-care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Philips' Fourth-Quarter and Annual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Koninklijke Philips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https://www.philips.com/a-w/about/news/archive/corpcomms/news/press/2026/philips-fourth-quarter-results-2025.html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Charted: Why hospital margins haven't fully recovered (datos de Kaufman Hall)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Advisory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https://www.advisory.com/daily-briefing/2026/08/27/hospital-performance-ab-ec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acquires Visage Imaging – Leaders in Advanced Digital Imaging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2009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https://announcements.asx.com.au/asxpdf/20090128/pdf/31fqp0h43t893b.pdf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signs 6 year deal with Mayo Clinic in the 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https://announcements.asx.com.au/asxpdf/20160704/pdf/438b5j8hxvcl7z.pdf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 Briefing - CEO on Significant New contract (Mayo Clinic)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https://announcements.asx.com.au/asxpdf/20160704/pdf/438bht6yycqj1p.pdf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anuncios de PME en la ASX (títulos de contratos 2009-2026)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https://www.asx.com.au/asx/v2/statistics/announcements.do?by=asxCode&amp;asxCode=PME&amp;timeframe=Y&amp;year=2026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Corporate Governance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https://announcements.asx.com.au/asxpdf/20260818/pdf/072w5ccfllwlcd.pdf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4G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https://announcements.asx.com.au/asxpdf/20260818/pdf/072w5pzqtd0mrw.pdf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AGM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https://announcements.asx.com.au/asxpdf/20251124/pdf/06sdw72c2wrckr.pdf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AGM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https://announcements.asx.com.au/asxpdf/20241125/pdf/06bt82vv1gkk37.pdf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AGM - 2023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https://announcements.asx.com.au/asxpdf/20231120/pdf/05xjtjx86fxlcr.pdf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Sam Hupert (22-dic-2025)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https://announcements.asx.com.au/asxpdf/20251222/pdf/06tm1xm1zm2d8b.pdf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Sam Hupert (23-dic-2025)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https://announcements.asx.com.au/asxpdf/20251223/pdf/06tnj9r36m8w35.pdf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(22-dic-2025)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https://announcements.asx.com.au/asxpdf/20251222/pdf/06tm268h86csbc.pdf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(23-dic-2025)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https://announcements.asx.com.au/asxpdf/20251223/pdf/06tnjl5bzv0t3p.pdf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Peter Kempen (30-dic-2025)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https://announcements.asx.com.au/asxpdf/20251230/pdf/06tv4vqs7f4f16.pdf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Deena Shiff (16-feb-2026)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https://announcements.asx.com.au/asxpdf/20260216/pdf/06wbdy4k88q69q.pdf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Glenning (16-feb-2026)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https://announcements.asx.com.au/asxpdf/20260216/pdf/06wbz839c8lhjc.pdf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Peter Kempen (24-feb-2026)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https://announcements.asx.com.au/asxpdf/20260224/pdf/06wp5pvj8rmll2.pdf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Sam Hupert (25-feb-2026)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https://announcements.asx.com.au/asxpdf/20260225/pdf/06wqsqrp092wr6.pdf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https://announcements.asx.com.au/asxpdf/20260225/pdf/06wqsydpy9s4zw.pdf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(26-feb-2026, operación del 25-feb)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https://announcements.asx.com.au/asxpdf/20260226/pdf/06ws5x73rtdw5z.pdf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(26-feb-2026, operación del 26-feb)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https://announcements.asx.com.au/asxpdf/20260226/pdf/06wt2d83y4zdbd.pdf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Dr Sam Hupert (3-sep-2025)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https://announcements.asx.com.au/asxpdf/20250903/pdf/06nrpkxtvzh3rl.pdf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Senior Management Appointments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https://announcements.asx.com.au/asxpdf/20260316/pdf/06xghhzrzbtw1q.pdf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Resignation Head of Business Operations &amp; Investor Relations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https://announcements.asx.com.au/asxpdf/20260518/pdf/06zp9xfdwl1wsm.pdf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announces appointment Head of Investor Relations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https://announcements.asx.com.au/asxpdf/20260708/pdf/071hl2k4plyhcd.pdf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Ltd Appoints Non-Executive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https://announcements.asx.com.au/asxpdf/20260923/pdf/074dg4p3wcx54n.pdf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(State Street, formulario 603)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Corporation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https://announcements.asx.com.au/asxpdf/20260413/pdf/06yfmbpx93m67z.pdf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(AustralianSuper, formulario 603)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AustralianSuper Pty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https://announcements.asx.com.au/asxpdf/20260529/pdf/0703rkjg4v3kwy.pdf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Ceasing to be a substantial holder (State Street, formulario 605)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Corporation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https://announcements.asx.com.au/asxpdf/20260907/pdf/073twhwb30vtrd.pdf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 report 6-oct-2026 (RR20261006-001-SSDailyAggShortPos.csv)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https://download.asic.gov.au/short-selling/RR20261006-001-SSDailyAggShortPos.csv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https://announcements.asx.com.au/asxpdf/20250814/pdf/06mvy2n8zxdyy8.pdf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https://announcements.asx.com.au/asxpdf/20230815/pdf/05smy5kg0ytxgt.pdf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Response to speculation (incidente de correo)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https://announcements.asx.com.au/asxpdf/20251204/pdf/06sy37fmh5j8mj.pdf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EIQ: Binding HOA secured with Pro Medicus Limited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Echo IQ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https://announcements.asx.com.au/asxpdf/20260625/pdf/070zqvs6lwttpp.pdf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4DX: 4DMedical secures $10m strategic investment from Pro Medicus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4DMedical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https://announcements.asx.com.au/asxpdf/20250731/pdf/06mdbyfdsqbfz0.pdf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Dividend/Distribution - PME (dividendo final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https://announcements.asx.com.au/asxpdf/20260818/pdf/072w5hm15p6p4t.pdf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PME.AX, IOZ.AX, IXJ.AX, ^AXJO, ^AXHJ, 4DX.AX y EIQ.AX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https://finance.yahoo.com/quote/PME.AX/history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F2 Capital Market Yields – Government Bonds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https://www.rba.gov.au/statistics/tables/xls/f02d.xlsx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https://www.marketscreener.com/quote/stock/PRO-MEDICUS-LIMITED-6492507/finances/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https://www.marketscreener.com/quote/stock/PRO-MEDICUS-LIMITED-6492507/consensus/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(ASX:PME)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https://stockanalysis.com/quote/asx/PME/forecast/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(ASX:PME)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https://stockanalysis.com/quote/asx/PME/statistics/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https://www.marketscreener.com/quote/stock/SECTRA-AB-60037704/finances/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Doximity,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https://www.marketscreener.com/quote/stock/DOXIMITY-INC-124007887/finances/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Craneware plc: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https://www.marketscreener.com/quote/stock/CRANEWARE-PLC-4007384/finances/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WiseTech Global Limited: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https://www.marketscreener.com/quote/stock/WISETECH-GLOBAL-LIMITED-27114123/finances/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Limited: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https://www.marketscreener.com/quote/stock/XERO-LIMITED-11900043/finances/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https://www.marketscreener.com/quote/stock/TECHNOLOGY-ONE-LIMITED-6491442/finances/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accelerates industry cloud strategy for healthcare with the acquisition of Nuance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https://news.microsoft.com/2021/04/12/microsoft-accelerates-industry-cloud-strategy-for-healthcare-with-the-acquisition-of-nuance/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Nuance Communications, XBRL company facts (10-K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https://data.sec.gov/api/xbrl/companyfacts/CIK0001002517.json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to acquire Cerner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https://www.sec.gov/Archives/edgar/data/1341439/000119312521362532/d276733dex991.htm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Cerner Corporation, XBRL company facts (10-K 2020 y 10-Q 3T21)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https://data.sec.gov/api/xbrl/companyfacts/CIK0000804753.json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to be acquired by equity consortium led by Nordic Capital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https://www.sec.gov/Archives/edgar/data/1619954/000161995421000116/ex-991x08192021.htm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Holdings, XBRL company facts (10-K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https://data.sec.gov/api/xbrl/companyfacts/CIK0001619954.json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Volpara enters into Scheme Implementation Agreement with Lunit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Volpara Health Technologies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https://announcements.asx.com.au/asxpdf/20231214/pdf/05yjxz43x7cx9d.pdf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CompuGroup Medical enters into an investment agreement with CVC Capital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CVC Capital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https://www.cvc.com/media/news/2024/compugroup-medical-enters-into-an-investment-agreement-with-cvc-capital-partners/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Ltd (ASX: PME): últimas noticias y artículos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https://www.fool.com.au/tickers/asx-pme/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vs Pro Medicus: Which ASX healthcare share is better?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https://www.fool.com.au/2026/09/30/csl-vs-pro-medicus-which-asx-healthcare-share-is-better/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43%! 4 reasons to buy the BIG dip in Pro Medicus shares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https://www.fool.com.au/2026/09/08/down-43-4-reasons-to-buy-the-big-dip-in-pro-medicus-shares-today/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Buy, hold, sell: Pro Medicus, BHP, CBA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https://www.fool.com.au/2026/09/07/buy-hold-sell-pro-medicus-bhp-cba-shares/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vs Pro Medicus: Which beaten-down ASX healthcare share is the better buy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https://www.fool.com.au/2026/09/16/cochlear-vs-pro-medicus-which-beaten-down-asx-healthcare-share-is-the-better-buy-today/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much could the Pro Medicus share price rise in the next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https://www.fool.com.au/2026/08/31/how-much-could-the-pro-medicus-share-price-rise-in-the-next-year-2/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These ASX 50 shares have lost up to 60%. Is the sell-off overdone?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https://www.fool.com.au/2026/09/07/these-asx-50-shares-have-lost-up-to-60-is-the-sell-off-overdone/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ASX 200 healthcare shares soar 9% amid notable FY26 reports from CSL, Pro Medicus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https://www.fool.com.au/2026/08/23/asx-200-healthcare-shares-soar-9-amid-notable-fy26-reports-from-csl-pro-medicus-week-34-2026/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EchoIQ shares just crashed 48%. What happens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https://www.fool.com.au/2026/09/10/echoiq-shares-just-crashed-48-what-happens-now/</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93,1 %</w:t>
      </w:r>
      <w:r>
        <w:t xml:space="preserve"> · Secciones con menos del 60 % de campos cubiertos: </w:t>
      </w:r>
      <w:r>
        <w:rPr>
          <w:b/>
          <w:bCs/>
        </w:rPr>
        <w:t xml:space="preserve">ninguna</w:t>
      </w:r>
      <w:r>
        <w:t xml:space="preserve"> · Generado el 12 oct 2026.</w:t>
      </w:r>
    </w:p>
    <w:p>
      <w:pPr>
        <w:pStyle w:val="Nota"/>
        <w:spacing w:after="100"/>
      </w:pPr>
      <w:r>
        <w:t xml:space="preserve">Línea cotizada: acciones ordinarias en la ASX (PME), única línea. Cuentas en AUD con normas australianas (AASB, conformes con las NIIF); ejercicio a 30 de junio, nombrado por el año en que termina (FY2026 = julio de 2025 a junio de 2026). Pro Medicus publica semestres, no trimestres; el segundo semestre se obtiene como ejercicio menos primer semestre. La cuenta no tiene línea de EBIT: las ganancias de valor razonable de 4D Medical y Echo IQ y las diferencias de cambio van entre los gastos operativos y se sacan del EBITDA y del EBIT como no recurrentes. El LTM usa el beneficio neto subyacente de la empresa (144,7 M) para que el PER de los últimos 12 meses no cuente 174,2 M de plusvalías no realizadas. La cuota de mercado (~11 % de los estudios de imagen de EE. UU.) y el tamaño del mercado en estudios los publica la propia empresa; el ingreso por estudio es una estimación propia. No hay conferencias con analistas transcritas: solo entrevistas escritas al CEO. Comparables y competidores convertidos a AUD con los tipos del BCE del 9-oct-2026 o del cierre de su ejercicio. Los foros de particulares australianos (HotCopper, Strawman, Market Index) no se pudieron abrir sin navegador.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Pro Medicus Limited (PME)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168,37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(107,75 – 300,00)</c:v>
                </c:pt>
                <c:pt idx="1">
                  <c:v>Precio objetivo de los analistas (60,00 – 250,00)</c:v>
                </c:pt>
                <c:pt idx="2">
                  <c:v>Comparables: EV/EBITDA NTM (38,66 – 69,84)</c:v>
                </c:pt>
                <c:pt idx="3">
                  <c:v>Comparables: PER NTM (71,34 – 99,20)</c:v>
                </c:pt>
                <c:pt idx="4">
                  <c:v>DCF (WACC y g ± 0,5) (42,48 – 50,14)</c:v>
                </c:pt>
                <c:pt idx="5">
                  <c:v>Escenarios (bajista – alcista) (27,75 – 69,54)</c:v>
                </c:pt>
                <c:pt idx="6">
                  <c:v>DCF con la prima implícita del mercado (4,2 %)</c:v>
                </c:pt>
                <c:pt idx="7">
                  <c:v>Precio actual (168,37)</c:v>
                </c:pt>
              </c:strCache>
            </c:strRef>
          </c:cat>
          <c:val>
            <c:numRef>
              <c:f>Hoja1!$B$2:$B$9</c:f>
              <c:numCache>
                <c:formatCode>#,##0</c:formatCode>
                <c:ptCount val="8"/>
                <c:pt idx="0">
                  <c:v>107.75</c:v>
                </c:pt>
                <c:pt idx="1">
                  <c:v>60</c:v>
                </c:pt>
                <c:pt idx="2">
                  <c:v>38.66</c:v>
                </c:pt>
                <c:pt idx="3">
                  <c:v>71.34</c:v>
                </c:pt>
                <c:pt idx="4">
                  <c:v>42.48</c:v>
                </c:pt>
                <c:pt idx="5">
                  <c:v>27.75</c:v>
                </c:pt>
                <c:pt idx="6">
                  <c:v>52.78</c:v>
                </c:pt>
                <c:pt idx="7">
                  <c:v>167.53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(107,75 – 300,00)</c:v>
                </c:pt>
                <c:pt idx="1">
                  <c:v>Precio objetivo de los analistas (60,00 – 250,00)</c:v>
                </c:pt>
                <c:pt idx="2">
                  <c:v>Comparables: EV/EBITDA NTM (38,66 – 69,84)</c:v>
                </c:pt>
                <c:pt idx="3">
                  <c:v>Comparables: PER NTM (71,34 – 99,20)</c:v>
                </c:pt>
                <c:pt idx="4">
                  <c:v>DCF (WACC y g ± 0,5) (42,48 – 50,14)</c:v>
                </c:pt>
                <c:pt idx="5">
                  <c:v>Escenarios (bajista – alcista) (27,75 – 69,54)</c:v>
                </c:pt>
                <c:pt idx="6">
                  <c:v>DCF con la prima implícita del mercado (4,2 %)</c:v>
                </c:pt>
                <c:pt idx="7">
                  <c:v>Precio actual (168,37)</c:v>
                </c:pt>
              </c:strCache>
            </c:strRef>
          </c:cat>
          <c:val>
            <c:numRef>
              <c:f>Hoja1!$C$2:$C$9</c:f>
              <c:numCache>
                <c:formatCode>#,##0</c:formatCode>
                <c:ptCount val="8"/>
                <c:pt idx="0">
                  <c:v>192.25</c:v>
                </c:pt>
                <c:pt idx="1">
                  <c:v>190</c:v>
                </c:pt>
                <c:pt idx="2">
                  <c:v>31.180000000000007</c:v>
                </c:pt>
                <c:pt idx="3">
                  <c:v>27.86</c:v>
                </c:pt>
                <c:pt idx="4">
                  <c:v>7.660000000000004</c:v>
                </c:pt>
                <c:pt idx="5">
                  <c:v>41.790000000000006</c:v>
                </c:pt>
                <c:pt idx="6">
                  <c:v>8</c:v>
                </c:pt>
                <c:pt idx="7">
                  <c:v>1.6800000000000068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(AUD,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21.517</c:v>
                </c:pt>
                <c:pt idx="1">
                  <c:v>25.471</c:v>
                </c:pt>
                <c:pt idx="2">
                  <c:v>34.412</c:v>
                </c:pt>
                <c:pt idx="3">
                  <c:v>42.57</c:v>
                </c:pt>
                <c:pt idx="4">
                  <c:v>50.224</c:v>
                </c:pt>
                <c:pt idx="5">
                  <c:v>73.723</c:v>
                </c:pt>
                <c:pt idx="6">
                  <c:v>104.564</c:v>
                </c:pt>
                <c:pt idx="7">
                  <c:v>140.555</c:v>
                </c:pt>
                <c:pt idx="8">
                  <c:v>190.865</c:v>
                </c:pt>
                <c:pt idx="9">
                  <c:v>236.805</c:v>
                </c:pt>
              </c:numCache>
            </c:numRef>
          </c:val>
        </c:ser>
        <c:ser>
          <c:idx val="1"/>
          <c:order val="1"/>
          <c:tx>
            <c:strRef>
              <c:f>Hoja1!$C$1</c:f>
              <c:strCache>
                <c:ptCount val="1"/>
                <c:pt idx="0">
                  <c:v>Australia</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8.34</c:v>
                </c:pt>
                <c:pt idx="1">
                  <c:v>8.172</c:v>
                </c:pt>
                <c:pt idx="2">
                  <c:v>9.182</c:v>
                </c:pt>
                <c:pt idx="3">
                  <c:v>10.945</c:v>
                </c:pt>
                <c:pt idx="4">
                  <c:v>13.505</c:v>
                </c:pt>
                <c:pt idx="5">
                  <c:v>14.568</c:v>
                </c:pt>
                <c:pt idx="6">
                  <c:v>15.936</c:v>
                </c:pt>
                <c:pt idx="7">
                  <c:v>16.876</c:v>
                </c:pt>
                <c:pt idx="8">
                  <c:v>17.7</c:v>
                </c:pt>
                <c:pt idx="9">
                  <c:v>18.938</c:v>
                </c:pt>
              </c:numCache>
            </c:numRef>
          </c:val>
        </c:ser>
        <c:ser>
          <c:idx val="2"/>
          <c:order val="2"/>
          <c:tx>
            <c:strRef>
              <c:f>Hoja1!$D$1</c:f>
              <c:strCache>
                <c:ptCount val="1"/>
                <c:pt idx="0">
                  <c:v>Europa</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1.74</c:v>
                </c:pt>
                <c:pt idx="1">
                  <c:v>2.318</c:v>
                </c:pt>
                <c:pt idx="2">
                  <c:v>6.511</c:v>
                </c:pt>
                <c:pt idx="3">
                  <c:v>3.306</c:v>
                </c:pt>
                <c:pt idx="4">
                  <c:v>4.155</c:v>
                </c:pt>
                <c:pt idx="5">
                  <c:v>5.17</c:v>
                </c:pt>
                <c:pt idx="6">
                  <c:v>4.287</c:v>
                </c:pt>
                <c:pt idx="7">
                  <c:v>3.998</c:v>
                </c:pt>
                <c:pt idx="8">
                  <c:v>4.34</c:v>
                </c:pt>
                <c:pt idx="9">
                  <c:v>5.873</c:v>
                </c:pt>
              </c:numCache>
            </c:numRef>
          </c:val>
        </c:ser>
        <c:ser>
          <c:idx val="3"/>
          <c:order val="3"/>
          <c:tx>
            <c:strRef>
              <c:f>Hoja1!$E$1</c:f>
              <c:strCache>
                <c:ptCount val="1"/>
                <c:pt idx="0">
                  <c:v>Otros ingresos no asignados</c:v>
                </c:pt>
              </c:strCache>
            </c:strRef>
          </c:tx>
          <c:spPr>
            <a:solidFill>
              <a:srgbClr val="EDA100"/>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6">
                  <c:v>0.113</c:v>
                </c:pt>
                <c:pt idx="7">
                  <c:v>0.072</c:v>
                </c:pt>
                <c:pt idx="8">
                  <c:v>0.075</c:v>
                </c:pt>
                <c:pt idx="9">
                  <c:v>0.072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Norteamérica</c:v>
                </c:pt>
                <c:pt idx="1">
                  <c:v>Australia</c:v>
                </c:pt>
                <c:pt idx="2">
                  <c:v>Europa</c:v>
                </c:pt>
                <c:pt idx="3">
                  <c:v>Otros ingresos no asignados</c:v>
                </c:pt>
              </c:strCache>
            </c:strRef>
          </c:cat>
          <c:val>
            <c:numRef>
              <c:f>Hoja1!$B$2:$B$5</c:f>
              <c:numCache>
                <c:formatCode>General</c:formatCode>
                <c:ptCount val="4"/>
                <c:pt idx="0">
                  <c:v>90.5</c:v>
                </c:pt>
                <c:pt idx="1">
                  <c:v>7.2</c:v>
                </c:pt>
                <c:pt idx="2">
                  <c:v>2.2</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 (EE. UU.)</c:v>
                </c:pt>
                <c:pt idx="1">
                  <c:v>Australia</c:v>
                </c:pt>
                <c:pt idx="2">
                  <c:v>Europa (Alemania)</c:v>
                </c:pt>
                <c:pt idx="3">
                  <c:v>Otros</c:v>
                </c:pt>
              </c:strCache>
            </c:strRef>
          </c:cat>
          <c:val>
            <c:numRef>
              <c:f>Hoja1!$B$2:$B$5</c:f>
              <c:numCache>
                <c:formatCode>0"%"</c:formatCode>
                <c:ptCount val="4"/>
                <c:pt idx="0">
                  <c:v>90.5</c:v>
                </c:pt>
                <c:pt idx="1">
                  <c:v>7.2</c:v>
                </c:pt>
                <c:pt idx="2">
                  <c:v>2.2</c:v>
                </c:pt>
                <c:pt idx="3">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(Signify Research, imagen médica IT mundial; 2022, 2023 y 2028e publicados; 2024e-2027e interpolados a la TCAC implícita 2023-2028e del 3,7 %))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2023</c:v>
                </c:pt>
                <c:pt idx="2">
                  <c:v>2024e</c:v>
                </c:pt>
                <c:pt idx="3">
                  <c:v>2025e</c:v>
                </c:pt>
                <c:pt idx="4">
                  <c:v>2026e</c:v>
                </c:pt>
                <c:pt idx="5">
                  <c:v>2027e</c:v>
                </c:pt>
                <c:pt idx="6">
                  <c:v>2028e</c:v>
                </c:pt>
              </c:strCache>
            </c:strRef>
          </c:cat>
          <c:val>
            <c:numRef>
              <c:f>Hoja1!$B$2:$B$8</c:f>
              <c:numCache>
                <c:formatCode>#,##0</c:formatCode>
                <c:ptCount val="7"/>
                <c:pt idx="0">
                  <c:v>5200</c:v>
                </c:pt>
                <c:pt idx="1">
                  <c:v>5500</c:v>
                </c:pt>
                <c:pt idx="2">
                  <c:v>5704</c:v>
                </c:pt>
                <c:pt idx="3">
                  <c:v>5916</c:v>
                </c:pt>
                <c:pt idx="4">
                  <c:v>6135</c:v>
                </c:pt>
                <c:pt idx="5">
                  <c:v>6363</c:v>
                </c:pt>
                <c:pt idx="6">
                  <c:v>6600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Pro Medicus</c:v>
                </c:pt>
                <c:pt idx="1">
                  <c:v>Sectra (Imaging IT Solutions)</c:v>
                </c:pt>
                <c:pt idx="2">
                  <c:v>GE HealthCare (segmento Imaging, incluye Intelerad desde mar-2026)</c:v>
                </c:pt>
                <c:pt idx="3">
                  <c:v>Intelerad (ya dentro de GE HealthCare)</c:v>
                </c:pt>
                <c:pt idx="4">
                  <c:v>Agfa HealthCare IT (Agfa-Gevaert)</c:v>
                </c:pt>
                <c:pt idx="5">
                  <c:v>Philips (Connected Care, incluye Enterprise Informatics)</c:v>
                </c:pt>
                <c:pt idx="6">
                  <c:v>Fujifilm (Synapse)</c:v>
                </c:pt>
                <c:pt idx="7">
                  <c:v>Merative (antes IBM Watson Health / Merge)</c:v>
                </c:pt>
              </c:strCache>
            </c:strRef>
          </c:cat>
          <c:val>
            <c:numRef>
              <c:f>Hoja1!$B$2:$B$9</c:f>
              <c:numCache>
                <c:formatCode>0.0"%"</c:formatCode>
                <c:ptCount val="8"/>
                <c:pt idx="0">
                  <c:v>74.9</c:v>
                </c:pt>
                <c:pt idx="1">
                  <c:v>23.1</c:v>
                </c:pt>
                <c:pt idx="2">
                  <c:v>9.6</c:v>
                </c:pt>
                <c:pt idx="4">
                  <c:v>11.2</c:v>
                </c:pt>
                <c:pt idx="5">
                  <c:v>10.7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(AUD,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31.597</c:v>
                </c:pt>
                <c:pt idx="1">
                  <c:v>35.961</c:v>
                </c:pt>
                <c:pt idx="2">
                  <c:v>50.105</c:v>
                </c:pt>
                <c:pt idx="3">
                  <c:v>56.821</c:v>
                </c:pt>
                <c:pt idx="4">
                  <c:v>67.884</c:v>
                </c:pt>
                <c:pt idx="5">
                  <c:v>93.461</c:v>
                </c:pt>
                <c:pt idx="6">
                  <c:v>124.9</c:v>
                </c:pt>
                <c:pt idx="7">
                  <c:v>161.501</c:v>
                </c:pt>
                <c:pt idx="8">
                  <c:v>212.98</c:v>
                </c:pt>
                <c:pt idx="9">
                  <c:v>261.688</c:v>
                </c:pt>
                <c:pt idx="10">
                  <c:v>330</c:v>
                </c:pt>
                <c:pt idx="11">
                  <c:v>406</c:v>
                </c:pt>
                <c:pt idx="12">
                  <c:v>491</c:v>
                </c:pt>
                <c:pt idx="13">
                  <c:v>584</c:v>
                </c:pt>
                <c:pt idx="14">
                  <c:v>683</c:v>
                </c:pt>
                <c:pt idx="15">
                  <c:v>786</c:v>
                </c:pt>
                <c:pt idx="16">
                  <c:v>888</c:v>
                </c:pt>
                <c:pt idx="17">
                  <c:v>986</c:v>
                </c:pt>
                <c:pt idx="18">
                  <c:v>1074</c:v>
                </c:pt>
                <c:pt idx="19">
                  <c:v>1149</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18.45</c:v>
                </c:pt>
                <c:pt idx="1">
                  <c:v>21.79</c:v>
                </c:pt>
                <c:pt idx="2">
                  <c:v>31.552</c:v>
                </c:pt>
                <c:pt idx="3">
                  <c:v>37.749</c:v>
                </c:pt>
                <c:pt idx="4">
                  <c:v>49.577999999999996</c:v>
                </c:pt>
                <c:pt idx="5">
                  <c:v>69.702</c:v>
                </c:pt>
                <c:pt idx="6">
                  <c:v>91.8</c:v>
                </c:pt>
                <c:pt idx="7">
                  <c:v>120.762</c:v>
                </c:pt>
                <c:pt idx="8">
                  <c:v>164.925</c:v>
                </c:pt>
                <c:pt idx="9">
                  <c:v>204.177</c:v>
                </c:pt>
                <c:pt idx="10">
                  <c:v>259</c:v>
                </c:pt>
                <c:pt idx="11">
                  <c:v>320</c:v>
                </c:pt>
                <c:pt idx="12">
                  <c:v>390</c:v>
                </c:pt>
                <c:pt idx="13">
                  <c:v>467</c:v>
                </c:pt>
                <c:pt idx="14">
                  <c:v>547</c:v>
                </c:pt>
                <c:pt idx="15">
                  <c:v>629</c:v>
                </c:pt>
                <c:pt idx="16">
                  <c:v>710</c:v>
                </c:pt>
                <c:pt idx="17">
                  <c:v>788</c:v>
                </c:pt>
                <c:pt idx="18">
                  <c:v>859</c:v>
                </c:pt>
                <c:pt idx="19">
                  <c:v>920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98.4</c:v>
                </c:pt>
                <c:pt idx="1">
                  <c:v>99.4</c:v>
                </c:pt>
                <c:pt idx="2">
                  <c:v>97.2</c:v>
                </c:pt>
                <c:pt idx="3">
                  <c:v>99.4</c:v>
                </c:pt>
                <c:pt idx="4">
                  <c:v>99.3</c:v>
                </c:pt>
                <c:pt idx="5">
                  <c:v>99.5</c:v>
                </c:pt>
                <c:pt idx="6">
                  <c:v>99.6</c:v>
                </c:pt>
                <c:pt idx="7">
                  <c:v>99.8</c:v>
                </c:pt>
                <c:pt idx="8">
                  <c:v>99.9</c:v>
                </c:pt>
                <c:pt idx="9">
                  <c:v>99.8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58.4</c:v>
                </c:pt>
                <c:pt idx="1">
                  <c:v>60.6</c:v>
                </c:pt>
                <c:pt idx="2">
                  <c:v>63</c:v>
                </c:pt>
                <c:pt idx="3">
                  <c:v>66.4</c:v>
                </c:pt>
                <c:pt idx="4">
                  <c:v>73</c:v>
                </c:pt>
                <c:pt idx="5">
                  <c:v>74.6</c:v>
                </c:pt>
                <c:pt idx="6">
                  <c:v>73.5</c:v>
                </c:pt>
                <c:pt idx="7">
                  <c:v>74.8</c:v>
                </c:pt>
                <c:pt idx="8">
                  <c:v>77.4</c:v>
                </c:pt>
                <c:pt idx="9">
                  <c:v>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44.8</c:v>
                </c:pt>
                <c:pt idx="1">
                  <c:v>46.9</c:v>
                </c:pt>
                <c:pt idx="2">
                  <c:v>50.8</c:v>
                </c:pt>
                <c:pt idx="3">
                  <c:v>52.9</c:v>
                </c:pt>
                <c:pt idx="4">
                  <c:v>62.4</c:v>
                </c:pt>
                <c:pt idx="5">
                  <c:v>66.8</c:v>
                </c:pt>
                <c:pt idx="6">
                  <c:v>67.2</c:v>
                </c:pt>
                <c:pt idx="7">
                  <c:v>69.5</c:v>
                </c:pt>
                <c:pt idx="8">
                  <c:v>74</c:v>
                </c:pt>
                <c:pt idx="9">
                  <c:v>74.9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29.5</c:v>
                </c:pt>
                <c:pt idx="1">
                  <c:v>35.4</c:v>
                </c:pt>
                <c:pt idx="2">
                  <c:v>38.2</c:v>
                </c:pt>
                <c:pt idx="3">
                  <c:v>40.6</c:v>
                </c:pt>
                <c:pt idx="4">
                  <c:v>45.4</c:v>
                </c:pt>
                <c:pt idx="5">
                  <c:v>47.6</c:v>
                </c:pt>
                <c:pt idx="6">
                  <c:v>48.6</c:v>
                </c:pt>
                <c:pt idx="7">
                  <c:v>51.3</c:v>
                </c:pt>
                <c:pt idx="8">
                  <c:v>54.1</c:v>
                </c:pt>
                <c:pt idx="9">
                  <c:v>101.4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28.3</c:v>
                </c:pt>
                <c:pt idx="1">
                  <c:v>38.4</c:v>
                </c:pt>
                <c:pt idx="2">
                  <c:v>30.3</c:v>
                </c:pt>
                <c:pt idx="3">
                  <c:v>28.5</c:v>
                </c:pt>
                <c:pt idx="4">
                  <c:v>31.1</c:v>
                </c:pt>
                <c:pt idx="5">
                  <c:v>32.5</c:v>
                </c:pt>
                <c:pt idx="6">
                  <c:v>28.4</c:v>
                </c:pt>
                <c:pt idx="7">
                  <c:v>18.2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40</c:v>
                </c:pt>
                <c:pt idx="1">
                  <c:v>75</c:v>
                </c:pt>
                <c:pt idx="2">
                  <c:v>131</c:v>
                </c:pt>
                <c:pt idx="3">
                  <c:v>89</c:v>
                </c:pt>
                <c:pt idx="4">
                  <c:v>123</c:v>
                </c:pt>
                <c:pt idx="5">
                  <c:v>107</c:v>
                </c:pt>
                <c:pt idx="6">
                  <c:v>117</c:v>
                </c:pt>
                <c:pt idx="7">
                  <c:v>109</c:v>
                </c:pt>
                <c:pt idx="8">
                  <c:v>110</c:v>
                </c:pt>
                <c:pt idx="9">
                  <c:v>137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38</c:v>
                </c:pt>
                <c:pt idx="1">
                  <c:v>90</c:v>
                </c:pt>
                <c:pt idx="2">
                  <c:v>8</c:v>
                </c:pt>
                <c:pt idx="3">
                  <c:v>36</c:v>
                </c:pt>
                <c:pt idx="4">
                  <c:v>25</c:v>
                </c:pt>
                <c:pt idx="5">
                  <c:v>60</c:v>
                </c:pt>
                <c:pt idx="6">
                  <c:v>37</c:v>
                </c:pt>
                <c:pt idx="7">
                  <c:v>59</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2423</c:v>
                </c:pt>
                <c:pt idx="1">
                  <c:v>4962</c:v>
                </c:pt>
                <c:pt idx="2">
                  <c:v>886</c:v>
                </c:pt>
                <c:pt idx="3">
                  <c:v>2711</c:v>
                </c:pt>
                <c:pt idx="4">
                  <c:v>2775</c:v>
                </c:pt>
                <c:pt idx="5">
                  <c:v>4396</c:v>
                </c:pt>
                <c:pt idx="6">
                  <c:v>4563</c:v>
                </c:pt>
                <c:pt idx="7">
                  <c:v>12368</c:v>
                </c:pt>
                <c:pt idx="8">
                  <c:v>15538</c:v>
                </c:pt>
                <c:pt idx="9">
                  <c:v>13433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(AUD,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8.679</c:v>
                </c:pt>
                <c:pt idx="1">
                  <c:v>7.489999999999999</c:v>
                </c:pt>
                <c:pt idx="2">
                  <c:v>17.109</c:v>
                </c:pt>
                <c:pt idx="3">
                  <c:v>22.992</c:v>
                </c:pt>
                <c:pt idx="4">
                  <c:v>30.646000000000004</c:v>
                </c:pt>
                <c:pt idx="5">
                  <c:v>52.044</c:v>
                </c:pt>
                <c:pt idx="6">
                  <c:v>55.515</c:v>
                </c:pt>
                <c:pt idx="7">
                  <c:v>74.768</c:v>
                </c:pt>
                <c:pt idx="8">
                  <c:v>103.304</c:v>
                </c:pt>
                <c:pt idx="9">
                  <c:v>118.167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9.321</c:v>
                </c:pt>
                <c:pt idx="1">
                  <c:v>12.744</c:v>
                </c:pt>
                <c:pt idx="2">
                  <c:v>19.125</c:v>
                </c:pt>
                <c:pt idx="3">
                  <c:v>23.076</c:v>
                </c:pt>
                <c:pt idx="4">
                  <c:v>30.85</c:v>
                </c:pt>
                <c:pt idx="5">
                  <c:v>44.442</c:v>
                </c:pt>
                <c:pt idx="6">
                  <c:v>60.648</c:v>
                </c:pt>
                <c:pt idx="7">
                  <c:v>82.794</c:v>
                </c:pt>
                <c:pt idx="8">
                  <c:v>115.217</c:v>
                </c:pt>
                <c:pt idx="9">
                  <c:v>265.344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81.6</c:v>
                </c:pt>
                <c:pt idx="1">
                  <c:v>76.1</c:v>
                </c:pt>
                <c:pt idx="2">
                  <c:v>99.7</c:v>
                </c:pt>
                <c:pt idx="3">
                  <c:v>128.5</c:v>
                </c:pt>
                <c:pt idx="4">
                  <c:v>147</c:v>
                </c:pt>
                <c:pt idx="5">
                  <c:v>244.6</c:v>
                </c:pt>
                <c:pt idx="6">
                  <c:v>362.5</c:v>
                </c:pt>
                <c:pt idx="7">
                  <c:v>298.2</c:v>
                </c:pt>
                <c:pt idx="8">
                  <c:v>268.3</c:v>
                </c:pt>
                <c:pt idx="9">
                  <c:v>110.5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12.3</c:v>
                </c:pt>
                <c:pt idx="1">
                  <c:v>12.3</c:v>
                </c:pt>
                <c:pt idx="2">
                  <c:v>12.3</c:v>
                </c:pt>
                <c:pt idx="3">
                  <c:v>12.3</c:v>
                </c:pt>
                <c:pt idx="4">
                  <c:v>12.3</c:v>
                </c:pt>
                <c:pt idx="5">
                  <c:v>12.3</c:v>
                </c:pt>
                <c:pt idx="6">
                  <c:v>12.3</c:v>
                </c:pt>
                <c:pt idx="7">
                  <c:v>12.3</c:v>
                </c:pt>
                <c:pt idx="8">
                  <c:v>12.3</c:v>
                </c:pt>
                <c:pt idx="9">
                  <c:v>12.3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26.8</c:v>
                </c:pt>
                <c:pt idx="1">
                  <c:v>31.7</c:v>
                </c:pt>
                <c:pt idx="2">
                  <c:v>40.3</c:v>
                </c:pt>
                <c:pt idx="3">
                  <c:v>42.2</c:v>
                </c:pt>
                <c:pt idx="4">
                  <c:v>43.5</c:v>
                </c:pt>
                <c:pt idx="5">
                  <c:v>48.5</c:v>
                </c:pt>
                <c:pt idx="6">
                  <c:v>50.4</c:v>
                </c:pt>
                <c:pt idx="7">
                  <c:v>50.7</c:v>
                </c:pt>
                <c:pt idx="8">
                  <c:v>51.8</c:v>
                </c:pt>
                <c:pt idx="9">
                  <c:v>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-1.23</c:v>
                </c:pt>
                <c:pt idx="1">
                  <c:v>-1.16</c:v>
                </c:pt>
                <c:pt idx="2">
                  <c:v>-1.02</c:v>
                </c:pt>
                <c:pt idx="3">
                  <c:v>-1.09</c:v>
                </c:pt>
                <c:pt idx="4">
                  <c:v>-1.19</c:v>
                </c:pt>
                <c:pt idx="5">
                  <c:v>-1.27</c:v>
                </c:pt>
                <c:pt idx="6">
                  <c:v>-1.3</c:v>
                </c:pt>
                <c:pt idx="7">
                  <c:v>-1.27</c:v>
                </c:pt>
                <c:pt idx="8">
                  <c:v>-1.26</c:v>
                </c:pt>
                <c:pt idx="9">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(AUD,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3.075</c:v>
                </c:pt>
                <c:pt idx="1">
                  <c:v>5.15</c:v>
                </c:pt>
                <c:pt idx="2">
                  <c:v>9.843</c:v>
                </c:pt>
                <c:pt idx="3">
                  <c:v>10.916</c:v>
                </c:pt>
                <c:pt idx="4">
                  <c:v>13.548</c:v>
                </c:pt>
                <c:pt idx="5">
                  <c:v>18.788</c:v>
                </c:pt>
                <c:pt idx="6">
                  <c:v>26.108</c:v>
                </c:pt>
                <c:pt idx="7">
                  <c:v>36.554</c:v>
                </c:pt>
                <c:pt idx="8">
                  <c:v>49.114</c:v>
                </c:pt>
                <c:pt idx="9">
                  <c:v>64.783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0.073</c:v>
                </c:pt>
                <c:pt idx="1">
                  <c:v>0</c:v>
                </c:pt>
                <c:pt idx="2">
                  <c:v>0</c:v>
                </c:pt>
                <c:pt idx="3">
                  <c:v>0.842</c:v>
                </c:pt>
                <c:pt idx="4">
                  <c:v>0</c:v>
                </c:pt>
                <c:pt idx="5">
                  <c:v>4.017</c:v>
                </c:pt>
                <c:pt idx="6">
                  <c:v>0.845</c:v>
                </c:pt>
                <c:pt idx="7">
                  <c:v>2.769</c:v>
                </c:pt>
                <c:pt idx="8">
                  <c:v>7.853</c:v>
                </c:pt>
                <c:pt idx="9">
                  <c:v>10.14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Dr Sam Hupert (directa e indirecta: Alltogether Superannuation Fund, Sam Hupert Family Trust)</c:v>
                </c:pt>
                <c:pt idx="1">
                  <c:v>Anthony Hall</c:v>
                </c:pt>
                <c:pt idx="2">
                  <c:v>AustralianSuper Pty Ltd</c:v>
                </c:pt>
                <c:pt idx="3">
                  <c:v>State Street Corporation y filiales</c:v>
                </c:pt>
                <c:pt idx="4">
                  <c:v>Peter Kempen (con Elaine Kempen)</c:v>
                </c:pt>
                <c:pt idx="5">
                  <c:v>Autocartera (Employee Share Trust)</c:v>
                </c:pt>
              </c:strCache>
            </c:strRef>
          </c:cat>
          <c:val>
            <c:numRef>
              <c:f>Hoja1!$B$2:$B$7</c:f>
              <c:numCache>
                <c:formatCode>0.0"%"</c:formatCode>
                <c:ptCount val="6"/>
                <c:pt idx="0">
                  <c:v>23.16</c:v>
                </c:pt>
                <c:pt idx="1">
                  <c:v>23.14</c:v>
                </c:pt>
                <c:pt idx="2">
                  <c:v>5.01</c:v>
                </c:pt>
                <c:pt idx="4">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44.4</c:v>
                </c:pt>
                <c:pt idx="1">
                  <c:v>83.2</c:v>
                </c:pt>
                <c:pt idx="2">
                  <c:v>25.6</c:v>
                </c:pt>
                <c:pt idx="3">
                  <c:v>106.5</c:v>
                </c:pt>
                <c:pt idx="4">
                  <c:v>53.7</c:v>
                </c:pt>
                <c:pt idx="5">
                  <c:v>83.3</c:v>
                </c:pt>
                <c:pt idx="6">
                  <c:v>-11.1</c:v>
                </c:pt>
                <c:pt idx="7">
                  <c:v>74.2</c:v>
                </c:pt>
                <c:pt idx="8">
                  <c:v>161.8</c:v>
                </c:pt>
                <c:pt idx="9">
                  <c:v>-11.5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11.7</c:v>
                </c:pt>
                <c:pt idx="1">
                  <c:v>11.6</c:v>
                </c:pt>
                <c:pt idx="2">
                  <c:v>-3</c:v>
                </c:pt>
                <c:pt idx="3">
                  <c:v>23.3</c:v>
                </c:pt>
                <c:pt idx="4">
                  <c:v>1.3</c:v>
                </c:pt>
                <c:pt idx="5">
                  <c:v>16.9</c:v>
                </c:pt>
                <c:pt idx="6">
                  <c:v>-0.9</c:v>
                </c:pt>
                <c:pt idx="7">
                  <c:v>12.2</c:v>
                </c:pt>
                <c:pt idx="8">
                  <c:v>11.4</c:v>
                </c:pt>
                <c:pt idx="9">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28.8</c:v>
                </c:pt>
                <c:pt idx="1">
                  <c:v>37.2</c:v>
                </c:pt>
                <c:pt idx="2">
                  <c:v>82.7</c:v>
                </c:pt>
                <c:pt idx="3">
                  <c:v>72.1</c:v>
                </c:pt>
                <c:pt idx="4">
                  <c:v>122.7</c:v>
                </c:pt>
                <c:pt idx="5">
                  <c:v>62.1</c:v>
                </c:pt>
                <c:pt idx="6">
                  <c:v>73.5</c:v>
                </c:pt>
                <c:pt idx="7">
                  <c:v>122.9</c:v>
                </c:pt>
                <c:pt idx="8">
                  <c:v>179.6</c:v>
                </c:pt>
                <c:pt idx="9">
                  <c:v>103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78.1</c:v>
                </c:pt>
                <c:pt idx="1">
                  <c:v>78.1</c:v>
                </c:pt>
                <c:pt idx="2">
                  <c:v>78.1</c:v>
                </c:pt>
                <c:pt idx="3">
                  <c:v>78.1</c:v>
                </c:pt>
                <c:pt idx="4">
                  <c:v>78.1</c:v>
                </c:pt>
                <c:pt idx="5">
                  <c:v>78.1</c:v>
                </c:pt>
                <c:pt idx="6">
                  <c:v>78.1</c:v>
                </c:pt>
                <c:pt idx="7">
                  <c:v>78.1</c:v>
                </c:pt>
                <c:pt idx="8">
                  <c:v>78.1</c:v>
                </c:pt>
                <c:pt idx="9">
                  <c:v>78.1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Pro Medicus</c:v>
                </c:pt>
                <c:pt idx="1">
                  <c:v>Sectra</c:v>
                </c:pt>
                <c:pt idx="2">
                  <c:v>Veeva Systems</c:v>
                </c:pt>
                <c:pt idx="3">
                  <c:v>Doximity</c:v>
                </c:pt>
                <c:pt idx="4">
                  <c:v>Craneware</c:v>
                </c:pt>
                <c:pt idx="5">
                  <c:v>WiseTech Global</c:v>
                </c:pt>
                <c:pt idx="6">
                  <c:v>Xero</c:v>
                </c:pt>
                <c:pt idx="7">
                  <c:v>TechnologyOne</c:v>
                </c:pt>
                <c:pt idx="8">
                  <c:v>Nemetschek</c:v>
                </c:pt>
              </c:strCache>
            </c:strRef>
          </c:cat>
          <c:val>
            <c:numRef>
              <c:f>Hoja1!$B$2:$B$10</c:f>
              <c:numCache>
                <c:formatCode>0.0"x"</c:formatCode>
                <c:ptCount val="9"/>
                <c:pt idx="0">
                  <c:v>60.5</c:v>
                </c:pt>
                <c:pt idx="1">
                  <c:v>49.9</c:v>
                </c:pt>
                <c:pt idx="2">
                  <c:v>23.3</c:v>
                </c:pt>
                <c:pt idx="3">
                  <c:v>15.5</c:v>
                </c:pt>
                <c:pt idx="4">
                  <c:v>9.7</c:v>
                </c:pt>
                <c:pt idx="5">
                  <c:v>12.9</c:v>
                </c:pt>
                <c:pt idx="6">
                  <c:v>13</c:v>
                </c:pt>
                <c:pt idx="7">
                  <c:v>27.7</c:v>
                </c:pt>
                <c:pt idx="8">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Pro Medicus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28.7</c:v>
                </c:pt>
              </c:numCache>
            </c:numRef>
          </c:xVal>
          <c:yVal>
            <c:numRef>
              <c:f>Hoja1!$C$2</c:f>
              <c:numCache>
                <c:formatCode>0.0"x"</c:formatCode>
                <c:ptCount val="1"/>
                <c:pt idx="0">
                  <c:v>60.5</c:v>
                </c:pt>
              </c:numCache>
            </c:numRef>
          </c:yVal>
          <c:smooth val="0"/>
        </c:ser>
        <c:ser>
          <c:idx val="1"/>
          <c:order val="1"/>
          <c:tx>
            <c:strRef>
              <c:f>Hoja1!$A$3</c:f>
              <c:strCache>
                <c:ptCount val="1"/>
                <c:pt idx="0">
                  <c:v>Sectra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16.9</c:v>
                </c:pt>
              </c:numCache>
            </c:numRef>
          </c:xVal>
          <c:yVal>
            <c:numRef>
              <c:f>Hoja1!$C$3</c:f>
              <c:numCache>
                <c:formatCode>0.0"x"</c:formatCode>
                <c:ptCount val="1"/>
                <c:pt idx="0">
                  <c:v>49.9</c:v>
                </c:pt>
              </c:numCache>
            </c:numRef>
          </c:yVal>
          <c:smooth val="0"/>
        </c:ser>
        <c:ser>
          <c:idx val="2"/>
          <c:order val="2"/>
          <c:tx>
            <c:strRef>
              <c:f>Hoja1!$A$4</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13.1</c:v>
                </c:pt>
              </c:numCache>
            </c:numRef>
          </c:xVal>
          <c:yVal>
            <c:numRef>
              <c:f>Hoja1!$C$4</c:f>
              <c:numCache>
                <c:formatCode>0.0"x"</c:formatCode>
                <c:ptCount val="1"/>
                <c:pt idx="0">
                  <c:v>23.3</c:v>
                </c:pt>
              </c:numCache>
            </c:numRef>
          </c:yVal>
          <c:smooth val="0"/>
        </c:ser>
        <c:ser>
          <c:idx val="3"/>
          <c:order val="3"/>
          <c:tx>
            <c:strRef>
              <c:f>Hoja1!$A$5</c:f>
              <c:strCache>
                <c:ptCount val="1"/>
                <c:pt idx="0">
                  <c:v>Doximity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5.9</c:v>
                </c:pt>
              </c:numCache>
            </c:numRef>
          </c:xVal>
          <c:yVal>
            <c:numRef>
              <c:f>Hoja1!$C$5</c:f>
              <c:numCache>
                <c:formatCode>0.0"x"</c:formatCode>
                <c:ptCount val="1"/>
                <c:pt idx="0">
                  <c:v>15.5</c:v>
                </c:pt>
              </c:numCache>
            </c:numRef>
          </c:yVal>
          <c:smooth val="0"/>
        </c:ser>
        <c:ser>
          <c:idx val="4"/>
          <c:order val="4"/>
          <c:tx>
            <c:strRef>
              <c:f>Hoja1!$A$6</c:f>
              <c:strCache>
                <c:ptCount val="1"/>
                <c:pt idx="0">
                  <c:v>Craneware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-7.5</c:v>
                </c:pt>
              </c:numCache>
            </c:numRef>
          </c:xVal>
          <c:yVal>
            <c:numRef>
              <c:f>Hoja1!$C$6</c:f>
              <c:numCache>
                <c:formatCode>0.0"x"</c:formatCode>
                <c:ptCount val="1"/>
                <c:pt idx="0">
                  <c:v>9.7</c:v>
                </c:pt>
              </c:numCache>
            </c:numRef>
          </c:yVal>
          <c:smooth val="0"/>
        </c:ser>
        <c:ser>
          <c:idx val="5"/>
          <c:order val="5"/>
          <c:tx>
            <c:strRef>
              <c:f>Hoja1!$A$7</c:f>
              <c:strCache>
                <c:ptCount val="1"/>
                <c:pt idx="0">
                  <c:v>WiseTech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c:v>
                </c:pt>
              </c:numCache>
            </c:numRef>
          </c:xVal>
          <c:yVal>
            <c:numRef>
              <c:f>Hoja1!$C$7</c:f>
              <c:numCache>
                <c:formatCode>0.0"x"</c:formatCode>
                <c:ptCount val="1"/>
                <c:pt idx="0">
                  <c:v>12.9</c:v>
                </c:pt>
              </c:numCache>
            </c:numRef>
          </c:yVal>
          <c:smooth val="0"/>
        </c:ser>
        <c:ser>
          <c:idx val="6"/>
          <c:order val="6"/>
          <c:tx>
            <c:strRef>
              <c:f>Hoja1!$A$8</c:f>
              <c:strCache>
                <c:ptCount val="1"/>
                <c:pt idx="0">
                  <c:v>Xero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25.8</c:v>
                </c:pt>
              </c:numCache>
            </c:numRef>
          </c:xVal>
          <c:yVal>
            <c:numRef>
              <c:f>Hoja1!$C$8</c:f>
              <c:numCache>
                <c:formatCode>0.0"x"</c:formatCode>
                <c:ptCount val="1"/>
                <c:pt idx="0">
                  <c:v>13</c:v>
                </c:pt>
              </c:numCache>
            </c:numRef>
          </c:yVal>
          <c:smooth val="0"/>
        </c:ser>
        <c:ser>
          <c:idx val="7"/>
          <c:order val="7"/>
          <c:tx>
            <c:strRef>
              <c:f>Hoja1!$A$9</c:f>
              <c:strCache>
                <c:ptCount val="1"/>
                <c:pt idx="0">
                  <c:v>TechnologyOne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15.5</c:v>
                </c:pt>
              </c:numCache>
            </c:numRef>
          </c:xVal>
          <c:yVal>
            <c:numRef>
              <c:f>Hoja1!$C$9</c:f>
              <c:numCache>
                <c:formatCode>0.0"x"</c:formatCode>
                <c:ptCount val="1"/>
                <c:pt idx="0">
                  <c:v>27.7</c:v>
                </c:pt>
              </c:numCache>
            </c:numRef>
          </c:yVal>
          <c:smooth val="0"/>
        </c:ser>
        <c:ser>
          <c:idx val="8"/>
          <c:order val="8"/>
          <c:tx>
            <c:strRef>
              <c:f>Hoja1!$A$10</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20.9</c:v>
                </c:pt>
              </c:numCache>
            </c:numRef>
          </c:xVal>
          <c:yVal>
            <c:numRef>
              <c:f>Hoja1!$C$10</c:f>
              <c:numCache>
                <c:formatCode>0.0"x"</c:formatCode>
                <c:ptCount val="1"/>
                <c:pt idx="0">
                  <c:v>14.7</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Nuance Communications (IA clínica y dictado; PowerScribe en radiología)</c:v>
                </c:pt>
                <c:pt idx="1">
                  <c:v>Inovalon (datos y software para aseguradoras y proveedores)</c:v>
                </c:pt>
                <c:pt idx="2">
                  <c:v>Cerner (historia clínica electrónica)</c:v>
                </c:pt>
                <c:pt idx="3">
                  <c:v>Volpara Health Technologies (IA para imagen mamaria, ASX)</c:v>
                </c:pt>
                <c:pt idx="4">
                  <c:v>CompuGroup Medical (software para médicos y hospitales)</c:v>
                </c:pt>
                <c:pt idx="5">
                  <c:v>Intelerad (PACS y visor de imagen médica)</c:v>
                </c:pt>
              </c:strCache>
            </c:strRef>
          </c:cat>
          <c:val>
            <c:numRef>
              <c:f>Hoja1!$B$2:$B$7</c:f>
              <c:numCache>
                <c:formatCode>0.0"x"</c:formatCode>
                <c:ptCount val="6"/>
                <c:pt idx="1">
                  <c:v>39.1</c:v>
                </c:pt>
                <c:pt idx="2">
                  <c:v>18.2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(AUD,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171</c:v>
                </c:pt>
                <c:pt idx="1">
                  <c:v>207</c:v>
                </c:pt>
                <c:pt idx="2">
                  <c:v>254</c:v>
                </c:pt>
                <c:pt idx="3">
                  <c:v>305</c:v>
                </c:pt>
                <c:pt idx="4">
                  <c:v>358</c:v>
                </c:pt>
                <c:pt idx="5">
                  <c:v>413</c:v>
                </c:pt>
                <c:pt idx="6">
                  <c:v>468</c:v>
                </c:pt>
                <c:pt idx="7">
                  <c:v>522</c:v>
                </c:pt>
                <c:pt idx="8">
                  <c:v>571</c:v>
                </c:pt>
                <c:pt idx="9">
                  <c:v>613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(AUD,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2034</c:v>
                </c:pt>
                <c:pt idx="1">
                  <c:v>873</c:v>
                </c:pt>
                <c:pt idx="2">
                  <c:v>1559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(AUD) · precio actual 168,37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27.75</c:v>
                </c:pt>
                <c:pt idx="1">
                  <c:v>45.92</c:v>
                </c:pt>
                <c:pt idx="2">
                  <c:v>69.54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168,37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(107,75 – 300,00)</c:v>
                </c:pt>
                <c:pt idx="1">
                  <c:v>Precio objetivo de los analistas (60,00 – 250,00)</c:v>
                </c:pt>
                <c:pt idx="2">
                  <c:v>Comparables: EV/EBITDA NTM (38,66 – 69,84)</c:v>
                </c:pt>
                <c:pt idx="3">
                  <c:v>Comparables: PER NTM (71,34 – 99,20)</c:v>
                </c:pt>
                <c:pt idx="4">
                  <c:v>DCF (WACC y g ± 0,5) (42,48 – 50,14)</c:v>
                </c:pt>
                <c:pt idx="5">
                  <c:v>Escenarios (bajista – alcista) (27,75 – 69,54)</c:v>
                </c:pt>
                <c:pt idx="6">
                  <c:v>DCF con la prima implícita del mercado (4,2 %)</c:v>
                </c:pt>
                <c:pt idx="7">
                  <c:v>Precio actual (168,37)</c:v>
                </c:pt>
              </c:strCache>
            </c:strRef>
          </c:cat>
          <c:val>
            <c:numRef>
              <c:f>Hoja1!$B$2:$B$9</c:f>
              <c:numCache>
                <c:formatCode>#,##0</c:formatCode>
                <c:ptCount val="8"/>
                <c:pt idx="0">
                  <c:v>107.75</c:v>
                </c:pt>
                <c:pt idx="1">
                  <c:v>60</c:v>
                </c:pt>
                <c:pt idx="2">
                  <c:v>38.66</c:v>
                </c:pt>
                <c:pt idx="3">
                  <c:v>71.34</c:v>
                </c:pt>
                <c:pt idx="4">
                  <c:v>42.48</c:v>
                </c:pt>
                <c:pt idx="5">
                  <c:v>27.75</c:v>
                </c:pt>
                <c:pt idx="6">
                  <c:v>52.78</c:v>
                </c:pt>
                <c:pt idx="7">
                  <c:v>167.53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(107,75 – 300,00)</c:v>
                </c:pt>
                <c:pt idx="1">
                  <c:v>Precio objetivo de los analistas (60,00 – 250,00)</c:v>
                </c:pt>
                <c:pt idx="2">
                  <c:v>Comparables: EV/EBITDA NTM (38,66 – 69,84)</c:v>
                </c:pt>
                <c:pt idx="3">
                  <c:v>Comparables: PER NTM (71,34 – 99,20)</c:v>
                </c:pt>
                <c:pt idx="4">
                  <c:v>DCF (WACC y g ± 0,5) (42,48 – 50,14)</c:v>
                </c:pt>
                <c:pt idx="5">
                  <c:v>Escenarios (bajista – alcista) (27,75 – 69,54)</c:v>
                </c:pt>
                <c:pt idx="6">
                  <c:v>DCF con la prima implícita del mercado (4,2 %)</c:v>
                </c:pt>
                <c:pt idx="7">
                  <c:v>Precio actual (168,37)</c:v>
                </c:pt>
              </c:strCache>
            </c:strRef>
          </c:cat>
          <c:val>
            <c:numRef>
              <c:f>Hoja1!$C$2:$C$9</c:f>
              <c:numCache>
                <c:formatCode>#,##0</c:formatCode>
                <c:ptCount val="8"/>
                <c:pt idx="0">
                  <c:v>192.25</c:v>
                </c:pt>
                <c:pt idx="1">
                  <c:v>190</c:v>
                </c:pt>
                <c:pt idx="2">
                  <c:v>31.180000000000007</c:v>
                </c:pt>
                <c:pt idx="3">
                  <c:v>27.86</c:v>
                </c:pt>
                <c:pt idx="4">
                  <c:v>7.660000000000004</c:v>
                </c:pt>
                <c:pt idx="5">
                  <c:v>41.790000000000006</c:v>
                </c:pt>
                <c:pt idx="6">
                  <c:v>8</c:v>
                </c:pt>
                <c:pt idx="7">
                  <c:v>1.6800000000000068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