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London Stock Exchange Group plc</w:t>
      </w:r>
    </w:p>
    <w:p>
      <w:pPr>
        <w:spacing w:after="60"/>
        <w:rPr>
          <w:color w:val="52514E"/>
          <w:sz w:val="22"/>
          <w:szCs w:val="22"/>
        </w:rPr>
      </w:pPr>
      <w:r>
        <w:rPr>
          <w:color w:val="52514E"/>
          <w:sz w:val="22"/>
          <w:szCs w:val="22"/>
        </w:rPr>
        <w:t xml:space="preserve">LSEG · London Stock Exchange (Main Market) · ISIN GB00B0SWJX34 · Finanzas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83,98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104,07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+25,8 % (base +22,1 %)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93,70 GBP · mercado 114,02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40.495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LSEG / GB00B0SWJX34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Finanzas / Bolsas y datos financieros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Londres · 1801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https://www.lseg.com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83,98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66,84 – 101,40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482,2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40.495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63.606 M GBP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117 M GBP/día (3 meses; 1,37 M de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104,07 GBP</w:t>
      </w:r>
      <w:r>
        <w:t xml:space="preserve"> frente a 83,98 · Rentabilidad a 12 meses </w:t>
      </w:r>
      <w:r>
        <w:rPr>
          <w:b/>
          <w:bCs/>
        </w:rPr>
        <w:t xml:space="preserve">+25,8 % (base +22,1 %)</w:t>
      </w:r>
      <w:r>
        <w:t xml:space="preserve"> · Valor intrínseco 93,70 GBP · con la prima implícita del mercado: 114,02 (+35,8 %) · Alcista / bajista +25,3 % / -40,6 %</w:t>
      </w:r>
    </w:p>
    <w:p>
      <w:pPr>
        <w:spacing w:after="100"/>
      </w:pPr>
      <w:r>
        <w:rPr>
          <w:b/>
        </w:rPr>
        <w:t xml:space="preserve">La recomendación y por qué.</w:t>
      </w:r>
      <w:r>
        <w:t xml:space="preserve"> Comprar con convicción baja. El objetivo a 12 meses es de 104,07 GBP frente a un precio de 83,98: rentabilidad ponderada del 25,8 % y del 22,1 % en el caso base, con dividendo (con la historia del PER al cierre, regla v2: 14,5 %, Mantener). El valor intrínseco (93,70) queda un 11,6 % por encima del precio y el objetivo medio de los analistas (115,91), un 11 % por encima del nuestro. La razón: LSEG crece al 7 % orgánico y sube el beneficio ajustado un 15 % al año con recompras, pero cotiza a 15,9 veces el BPA ajustado del año próximo frente a 22 de mediana en 2021-2025 porque el mercado teme que la IA sustituya sus terminales. La convicción es baja porque las reglas discrepan (con nuestro WACC del 8,68 % la regla absoluta da Mantener; con la prima del mercado, Comprar) y porque la asimetría del DCF es mala (bajista −40,6 %, alcista +25,3 %). Subiría si la retención de ingresos supera el 93 % y el ASV el 7 % en 2027; bajaría si Workflows deja de crecer.</w:t>
      </w:r>
    </w:p>
    <w:p>
      <w:pPr>
        <w:spacing w:after="100"/>
      </w:pPr>
      <w:r>
        <w:rPr>
          <w:b/>
        </w:rPr>
        <w:t xml:space="preserve">El negocio.</w:t>
      </w:r>
      <w:r>
        <w:t xml:space="preserve"> Es el segundo proveedor mundial de datos financieros y el líder en compensación de swaps (SwapClear), con un 75 % de ingresos recurrentes, una retención del 92,8 % y un margen EBITDA ajustado del 50,3 % (52,7 % en el 1S26) [1, 2]. El foso es amplio en índices, compensación y datos propios, y más estrecho en terminales. El ROIC con el fondo de comercio de Refinitiv es del 5,7 %, por debajo del WACC (8,68 %); con el beneficio ajustado ronda el 8,7 %: el negocio es bueno, la compra fue cara. La sostenibilidad es </w:t>
      </w:r>
      <w:r>
        <w:rPr>
          <w:b/>
        </w:rPr>
        <w:t xml:space="preserve">Sí</w:t>
      </w:r>
      <w:r>
        <w:t xml:space="preserve">: el 5,5 % de crecimiento medio proyectado está por debajo del orgánico histórico (6,6-8,4 %) y no necesita capital nuevo; el riesgo no es de financiación sino de la IA.</w:t>
      </w:r>
    </w:p>
    <w:p>
      <w:pPr>
        <w:spacing w:after="100"/>
      </w:pPr>
      <w:r>
        <w:rPr>
          <w:b/>
        </w:rPr>
        <w:t xml:space="preserve">Finanzas.</w:t>
      </w:r>
      <w:r>
        <w:t xml:space="preserve"> Ingresos de 8.986 M en 2025 (+7,1 % orgánico), flujo libre para el accionista de 2.445 M (111 % del beneficio ajustado) y guía de al menos 2.700 M en 2026 [1, 2]. Deuda neta ajustada de 11.711 M (2,4 veces el EBITDA, con la caja regulatoria y las recompras posteriores a junio) más 11.400 M de minoritarios a valor de mercado (sobre todo Tradeweb).</w:t>
      </w:r>
    </w:p>
    <w:p>
      <w:pPr>
        <w:spacing w:after="100"/>
      </w:pPr>
      <w:r>
        <w:rPr>
          <w:b/>
        </w:rPr>
        <w:t xml:space="preserve">Equipo y gobierno.</w:t>
      </w:r>
      <w:r>
        <w:t xml:space="preserve"> Equipo estable que ha cumplido la guía desde 2023. Resta la remuneración (30,4 % de votos en contra en 2025) y suma un activista, Elliott, que entró tras la caída y puede forzar recompras o separaciones [12, 17].</w:t>
      </w:r>
    </w:p>
    <w:p>
      <w:pPr>
        <w:spacing w:after="100"/>
      </w:pPr>
      <w:r>
        <w:rPr>
          <w:b/>
        </w:rPr>
        <w:t xml:space="preserve">Valoración.</w:t>
      </w:r>
      <w:r>
        <w:t xml:space="preserve"> El DCF da 90,88 (+8,2 %) y el precio descuenta un crecimiento del 4,3 % anual en 2027-2032 frente a nuestro 5,3 %, o un margen del 50,7 % frente al 53,0 %: el mercado espera algo menos de lo que la empresa ha logrado. Con la prima implícita del mercado el DCF sube a 115,70. Frente a los comparables (16,1 veces el EBITDA de los próximos 12 meses y 23,5 el PER) LSEG está un 25-33 % más barata (más terminales y menos margen).</w:t>
      </w:r>
    </w:p>
    <w:p>
      <w:pPr>
        <w:spacing w:after="100"/>
      </w:pPr>
      <w:r>
        <w:rPr>
          <w:b/>
        </w:rPr>
        <w:t xml:space="preserve">Riesgos y catalizadores.</w:t>
      </w:r>
      <w:r>
        <w:t xml:space="preserve"> El riesgo principal es la IA en Workflows (21 % de los ingresos): es el bajista del −40,6 %. El segundo, que el múltiplo no se recupere aunque los resultados acompañen (bajista a 12 meses de 70,98, −13,6 %). Catalizadores: el 3T26 el 22-oct-2026, la recompra de 1.350 M hasta febrero de 2027 y los primeros ingresos de licencias de datos para IA [2, 29]. Los foros están divididos y repiten el miedo a la IA, sin un riesgo que el informe no recoja.</w:t>
      </w:r>
    </w:p>
    <w:p>
      <w:pPr>
        <w:spacing w:after="100"/>
      </w:pPr>
      <w:r>
        <w:rPr>
          <w:b/>
        </w:rPr>
        <w:t xml:space="preserve">Qué cambiaría la decisión.</w:t>
      </w:r>
      <w:r>
        <w:t xml:space="preserve"> Comprar por debajo de 91,57; vender por encima de 117,39. Pasaríamos a Mantener si la retención baja del 92 % o Workflows crece menos del 1 % orgánico en dos trimestres; a Vender, si el crecimiento orgánico del grupo baja del 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104,07 GBP</w:t>
      </w:r>
      <w:r>
        <w:t xml:space="preserve"> (rentabilidad +25,8 % (base +22,1 %)) · Valor intrínseco: 93,70 GBP (+11,6 % sobre 83,98) · con la prima implícita del mercado: 114,02 (+35,8 %)</w:t>
      </w:r>
    </w:p>
    <w:p>
      <w:pPr>
        <w:spacing w:after="100"/>
      </w:pPr>
      <w:r>
        <w:t xml:space="preserve">LSEG es una infraestructura de datos y mercados con un 75 % de ingresos recurrentes, una retención del 92,8 %, un margen EBITDA ajustado del 50,3 % y flujo libre por encima del beneficio ajustado (2.445 M en 2025) [1, 2]. Tiene activos de referencia difíciles de copiar: SwapClear, FTSE Russell (2 billones USD en ETF) y Tradeweb [2].</w:t>
      </w:r>
    </w:p>
    <w:p>
      <w:pPr>
        <w:spacing w:after="100"/>
      </w:pPr>
      <w:r>
        <w:t xml:space="preserve">El precio (83,98) es 15,9 veces nuestro BPA ajustado de 2027e, frente a una mediana de 22 veces en 2021-2025 y 23,5 en los comparables; el DCF inverso descuenta un 4,3 % de crecimiento anual en 2027-2032 frente al 5,3 % de nuestro caso base y al 7 % que la empresa logra hoy [22, 26].</w:t>
      </w:r>
    </w:p>
    <w:p>
      <w:pPr>
        <w:spacing w:after="100"/>
      </w:pPr>
      <w:r>
        <w:t xml:space="preserve">El mercado acierta en que los terminales (21 % de los ingresos) están expuestos a la IA, pero exagera al aplicarlo a todo el grupo: datos y feeds crecen un 6,6 %, los índices un 7,3 % y Markets un 11,9 % [1, 2]. Para invertir hay que creer que la retención se mantiene por encima del 92 % y que la IA es un canal más de venta de datos.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104,07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 × 5,07 = 70,98 · 17,5x × 5,77 = 100,98 · 23,5x × 6,10 = 143,35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25,8 % / 22,1 %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(historia adelantada); bajista mín. 5 a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115,91 (nuestro base -12,9 %)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 / -40,6 %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frente a 8,7 % y 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114,02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 frente a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91,57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91,57 y 117,39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117,39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retención de ingresos baja del 92 % en dos trimestres seguidos, pasaríamos a Mantener.</w:t>
      </w:r>
    </w:p>
    <w:p>
      <w:pPr>
        <w:pStyle w:val="ListParagraph"/>
        <w:numPr>
          <w:ilvl w:val="0"/>
          <w:numId w:val="2"/>
        </w:numPr>
        <w:spacing w:after="60"/>
      </w:pPr>
      <w:r>
        <w:t xml:space="preserve">Si Workflows cae en términos orgánicos o el crecimiento orgánico del grupo baja del 5 %, pasaríamos a Vender.</w:t>
      </w:r>
    </w:p>
    <w:p>
      <w:pPr>
        <w:pStyle w:val="ListParagraph"/>
        <w:numPr>
          <w:ilvl w:val="0"/>
          <w:numId w:val="2"/>
        </w:numPr>
        <w:spacing w:after="60"/>
      </w:pPr>
      <w:r>
        <w:t xml:space="preserve">Si el precio supera 117,39 GBP, Vender o reducir; por debajo de 91,57, Comprar (hoy 83,98).</w:t>
      </w:r>
    </w:p>
    <w:p>
      <w:pPr>
        <w:pStyle w:val="ListParagraph"/>
        <w:numPr>
          <w:ilvl w:val="0"/>
          <w:numId w:val="2"/>
        </w:numPr>
        <w:spacing w:after="60"/>
      </w:pPr>
      <w:r>
        <w:t xml:space="preserve">Si la empresa cuantifica ingresos de IA por encima del 2 % del total con margen similar,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convertirá a LSEG en una FactSet: crecimiento del 4 % y múltiplo de 16 veces de forma permanente, como en la caída de febrero de 2026 (−12,8 % en un día).</w:t>
      </w:r>
    </w:p>
    <w:p>
      <w:pPr>
        <w:keepNext/>
        <w:spacing w:after="100"/>
      </w:pPr>
      <w:r>
        <w:rPr>
          <w:b/>
          <w:bCs/>
        </w:rPr>
        <w:t xml:space="preserve">Lo que creemos nosotros.</w:t>
      </w:r>
    </w:p>
    <w:p>
      <w:pPr>
        <w:spacing w:after="100"/>
      </w:pPr>
      <w:r>
        <w:t xml:space="preserve">Que el riesgo está concentrado en Workflows (21 % de los ingresos) y que el resto (datos con licencia, índices, compensación, Tradeweb) gana con más automatización y más volumen; el grupo crece al 6-7 % y el múltiplo recupera parte de su historia.</w:t>
      </w:r>
    </w:p>
    <w:p>
      <w:pPr>
        <w:keepNext/>
        <w:spacing w:after="100"/>
      </w:pPr>
      <w:r>
        <w:rPr>
          <w:b/>
          <w:bCs/>
        </w:rPr>
        <w:t xml:space="preserve">Por qué podemos tener razón.</w:t>
      </w:r>
    </w:p>
    <w:p>
      <w:pPr>
        <w:spacing w:after="100"/>
      </w:pPr>
      <w:r>
        <w:t xml:space="preserve">Los datos de 2026 lo apoyan: la guía sube, el ASV acelera (6,1 %), la retención mejora (92,8 %) y los clientes que integran IA compran más datos (tráfico de la red en tiempo real +29 %) [2]. Pero no tenemos aún la cifra de ingresos de la IA, y por eso la convicción es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83,9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Beneficio que crece rápido</w:t>
      </w:r>
      <w:r>
        <w:t xml:space="preserve">: BPA ajustado +15,7 % en 2025 y +17,2 % en el 1S26 [1, 2].</w:t>
      </w:r>
    </w:p>
    <w:p>
      <w:pPr>
        <w:pStyle w:val="ListParagraph"/>
        <w:numPr>
          <w:ilvl w:val="0"/>
          <w:numId w:val="2"/>
        </w:numPr>
        <w:spacing w:after="60"/>
      </w:pPr>
      <w:r>
        <w:rPr>
          <w:b/>
        </w:rPr>
        <w:t xml:space="preserve">Barata frente a su historia</w:t>
      </w:r>
      <w:r>
        <w:t xml:space="preserve">: 15,9 veces el BPA ajustado del año próximo frente a 22 de mediana.</w:t>
      </w:r>
    </w:p>
    <w:p>
      <w:pPr>
        <w:pStyle w:val="ListParagraph"/>
        <w:numPr>
          <w:ilvl w:val="0"/>
          <w:numId w:val="2"/>
        </w:numPr>
        <w:spacing w:after="60"/>
      </w:pPr>
      <w:r>
        <w:rPr>
          <w:b/>
        </w:rPr>
        <w:t xml:space="preserve">Caja y recompras</w:t>
      </w:r>
      <w:r>
        <w:t xml:space="preserve">: flujo libre de al menos 2.700 M en 2026 y 1.350 M de recompra hasta febrero de 2027 [2].</w:t>
      </w:r>
    </w:p>
    <w:p>
      <w:pPr>
        <w:pStyle w:val="ListParagraph"/>
        <w:numPr>
          <w:ilvl w:val="0"/>
          <w:numId w:val="2"/>
        </w:numPr>
        <w:spacing w:after="60"/>
      </w:pPr>
      <w:r>
        <w:rPr>
          <w:b/>
        </w:rPr>
        <w:t xml:space="preserve">Activos de referencia</w:t>
      </w:r>
      <w:r>
        <w:t xml:space="preserve">: SwapClear, FTSE Russell y Tradeweb, con márgenes EBITDA del 56-67 % [1, 2].</w:t>
      </w:r>
    </w:p>
    <w:p>
      <w:pPr>
        <w:pStyle w:val="ListParagraph"/>
        <w:numPr>
          <w:ilvl w:val="0"/>
          <w:numId w:val="2"/>
        </w:numPr>
        <w:spacing w:after="60"/>
      </w:pPr>
      <w:r>
        <w:rPr>
          <w:b/>
        </w:rPr>
        <w:t xml:space="preserve">Activista en el capital</w:t>
      </w:r>
      <w:r>
        <w:t xml:space="preserve">: Elliott puede acelerar la creación de valor [12].</w:t>
      </w:r>
    </w:p>
    <w:p>
      <w:pPr>
        <w:pStyle w:val="Heading2"/>
      </w:pPr>
      <w:r>
        <w:t xml:space="preserve">En contra</w:t>
      </w:r>
    </w:p>
    <w:p>
      <w:pPr>
        <w:pStyle w:val="ListParagraph"/>
        <w:numPr>
          <w:ilvl w:val="0"/>
          <w:numId w:val="2"/>
        </w:numPr>
        <w:spacing w:after="60"/>
      </w:pPr>
      <w:r>
        <w:rPr>
          <w:b/>
        </w:rPr>
        <w:t xml:space="preserve">Riesgo de la IA en terminales</w:t>
      </w:r>
      <w:r>
        <w:t xml:space="preserve">: Workflows crece un 3,1 % y es el 21 % de los ingresos [1].</w:t>
      </w:r>
    </w:p>
    <w:p>
      <w:pPr>
        <w:pStyle w:val="ListParagraph"/>
        <w:numPr>
          <w:ilvl w:val="0"/>
          <w:numId w:val="2"/>
        </w:numPr>
        <w:spacing w:after="60"/>
      </w:pPr>
      <w:r>
        <w:rPr>
          <w:b/>
        </w:rPr>
        <w:t xml:space="preserve">ROIC bajo</w:t>
      </w:r>
      <w:r>
        <w:t xml:space="preserve"> por Refinitiv: 5,7 % frente a un WACC del 8,68 %.</w:t>
      </w:r>
    </w:p>
    <w:p>
      <w:pPr>
        <w:pStyle w:val="ListParagraph"/>
        <w:numPr>
          <w:ilvl w:val="0"/>
          <w:numId w:val="2"/>
        </w:numPr>
        <w:spacing w:after="60"/>
      </w:pPr>
      <w:r>
        <w:rPr>
          <w:b/>
        </w:rPr>
        <w:t xml:space="preserve">Minoritarios grandes</w:t>
      </w:r>
      <w:r>
        <w:t xml:space="preserve">: 11.400 M a valor de mercado, sobre todo Tradeweb.</w:t>
      </w:r>
    </w:p>
    <w:p>
      <w:pPr>
        <w:pStyle w:val="ListParagraph"/>
        <w:numPr>
          <w:ilvl w:val="0"/>
          <w:numId w:val="2"/>
        </w:numPr>
        <w:spacing w:after="60"/>
      </w:pPr>
      <w:r>
        <w:rPr>
          <w:b/>
        </w:rPr>
        <w:t xml:space="preserve">Asimetría del DCF mala</w:t>
      </w:r>
      <w:r>
        <w:t xml:space="preserve">: bajista −40,6 % frente a alcista +25,3 %.</w:t>
      </w:r>
    </w:p>
    <w:p>
      <w:pPr>
        <w:pStyle w:val="ListParagraph"/>
        <w:numPr>
          <w:ilvl w:val="0"/>
          <w:numId w:val="2"/>
        </w:numPr>
        <w:spacing w:after="60"/>
      </w:pPr>
      <w:r>
        <w:rPr>
          <w:b/>
        </w:rPr>
        <w:t xml:space="preserve">Efecto de SwapClear</w:t>
      </w:r>
      <w:r>
        <w:t xml:space="preserve"> que se deshace en el 4T26 (140 pb de margen en el 1S26) [2].</w:t>
      </w:r>
    </w:p>
    <w:p>
      <w:pPr>
        <w:pStyle w:val="Heading2"/>
      </w:pPr>
      <w:r>
        <w:t xml:space="preserve">Qué tiene que pasar para que la tesis funcione</w:t>
      </w:r>
    </w:p>
    <w:p>
      <w:pPr>
        <w:spacing w:after="100"/>
      </w:pPr>
      <w:r>
        <w:t xml:space="preserve">La tesis depende de que la IA no erosione los terminales más rápido de lo que crecen los datos con licencia. La señal de alarma sería una retención de ingresos por debajo del 92 %, Workflows sin crecer y las ventas brutas de 12 meses estancadas en 482 M; la de confirmación, ingresos de IA cuantificados y el ASV por encima del 7 %.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retención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las bajas de clientes en el negocio de suscripción.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ASV</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los ingresos de suscripción.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Workflows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negocio más expuesto a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 (2025); 52,7 %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51 %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 y efecto de SwapClear.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operativa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2,0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Límite de las recompras.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13,2x / 12,0x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30,0x / 15,7x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La Bolsa de Londres nace en 1801 y la sociedad cotiza desde 2001. Compró Borsa Italiana en 2007 y, bajo Xavier Rolet (2009-2017), LCH (2013) y Frank Russell (2014), y unió los índices en FTSE Russell. En 2019, ya con David Schwimmer, acordó comprar Refinitiv a Blackstone y Thomson Reuters por unos 27.000 M USD en acciones; cerró en enero de 2021 tras vender Borsa Italiana a Euronext. La compra convirtió a LSEG en el segundo proveedor mundial de datos financieros, con más de la mitad de los ingresos en datos y suscripciones. Desde 2022 Microsoft es accionista (4,2 %) y socio en la nube y en Workspace. En 2025-2026 la acción cayó por el miedo a que la IA generativa sustituya los terminales, y un fondo activista entró en el capital [1,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Borsa Italiana.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LCH, la cámara de swaps de tipos (SwapClear).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Frank Russell: nace FTSE Russell.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compra de Refinitiv (enero) y vende Borsa Italiana a Euronext (abril).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 a 10 años con Microsoft, que compra el 4,2 % del capital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Retirada de Eikon y paso de los clientes a Workspace; compra del 11,6 % de LCH Group.</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Acuerdos de datos para IA con Anthropic, OpenAI, Databricks y Snowflake; nuevo reparto de SwapClear y venta del 20 % de Post Trade Solutions a 11 bancos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12,8 % en un día (3-feb) por el miedo a la IA; entrada de Elliott; récord del 1S26 y plan de negociación 24 horas (LSE 24) [2, 12].</w:t>
            </w:r>
          </w:p>
        </w:tc>
      </w:tr>
    </w:tbl>
    <w:p>
      <w:pPr>
        <w:spacing w:after="160" w:before="0"/>
      </w:pPr>
    </w:p>
    <w:p>
      <w:pPr>
        <w:pStyle w:val="Heading1"/>
      </w:pPr>
      <w:r>
        <w:t xml:space="preserve">2. Modelo de negocio</w:t>
      </w:r>
    </w:p>
    <w:p>
      <w:pPr>
        <w:spacing w:after="100"/>
      </w:pPr>
      <w:r>
        <w:t xml:space="preserve">LSEG vende datos y servicios de infraestructura a bancos, gestoras, aseguradoras y empresas en todo el mundo. Data &amp; Analytics (44 % de los ingresos sin recuperaciones de 2025) vende terminales Workspace, datos en tiempo real y feeds, y analítica; FTSE Russell (11 %) licencia índices; Risk Intelligence (6 %) vende datos de identificación y riesgo (World-Check); y Markets (39 %) agrupa la Bolsa de Londres, Tradeweb (renta fija electrónica, consolidada pero con socios minoritarios), FXall, la cámara LCH (swaps de tipos, divisas, crédito, repos) y Post Trade Solutions [1]. Más de la mitad de los ingresos y de los costes son en dólares [1].</w:t>
      </w:r>
    </w:p>
    <w:p>
      <w:pPr>
        <w:pStyle w:val="Heading2"/>
      </w:pPr>
      <w:r>
        <w:t xml:space="preserve">Cómo gana dinero</w:t>
      </w:r>
    </w:p>
    <w:p>
      <w:pPr>
        <w:spacing w:after="100"/>
      </w:pPr>
      <w:r>
        <w:t xml:space="preserve">Cerca de tres cuartas partes de los ingresos son recurrentes: suscripciones de datos, terminales e índices, que se cobran por adelantado y se renuevan con subidas anuales de precio; el resto son comisiones por negociación y compensación, que suben con la volatilidad, y el ingreso neto de tesorería de los saldos de LCH [1, 2]. El margen depende de la escala: los costes son personal (71 % de los gastos) y tecnología, casi fijos, así que cada punto de crecimiento por encima de la inflación de costes amplía el margen (de 47,8 % a 50,3 % en tres años) [1]. FTSE Russell y Markets tienen márgenes del 56-67 %; Data &amp; Analytics, del 41 %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Data &amp; Analytics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FTSE Russell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Risk Intelligence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Data &amp; Analytics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FTSE Russell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Risk Intelligence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r>
    </w:tbl>
    <w:p>
      <w:pPr>
        <w:spacing w:after="160" w:before="0"/>
      </w:pPr>
    </w:p>
    <w:p>
      <w:pPr>
        <w:pStyle w:val="Heading2"/>
      </w:pPr>
      <w:r>
        <w:t xml:space="preserve">Clientes, recurrencia y poder de precios</w:t>
      </w:r>
    </w:p>
    <w:p>
      <w:pPr>
        <w:spacing w:after="100"/>
      </w:pPr>
      <w:r>
        <w:t xml:space="preserve">Ningún cliente pesa de forma significativa en los ingresos (no se publica concentración) [1]. La retención de ingresos es del 92,8 % y el ASV crece un 6,1 % [2]: las bajas son pocas y el crecimiento sale sobre todo de subidas de precio y de vender más datos al mismo cliente. Contratos de suscripción anuales o plurianuales con subida anual; en 2026 la empresa añade un cargo por usar sus datos con modelos de IA y por el acceso MCP [2]. El poder de precio se ve en que el crecimiento orgánico de Data &amp; Analytics (5,0 %) supera al número de usuarios de terminales, que no crece (estimación propia: Workflows solo +3,1 %)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valor anual de suscripciones (ASV)</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Data &amp; Analytics, FTSE Russell, Risk Intelligence y datos de Markets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retención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92,4 %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 nuevo de 2026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brutas de 12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M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aceleración comercial pese a la IA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 (2025); 52,7 %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100-140 pb por SwapClear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medio diario de Tradeweb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billones USD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Tipos y crédito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Activos en ETF ligados a FTSE Russell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billones USD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Máximo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datos, análisis e infraestructura de los mercados financieros</w:t>
      </w:r>
      <w:r>
        <w:t xml:space="preserve">, mundial (perímetro de la ficha sectorial del 14-oct-2026 [8]). Para el tamaño se usa el gasto mundial en datos y análisis de mercados financieros de Burton-Taylor, que cubre Data &amp; Analytics y parte de FTSE Russell y Risk Intelligence, pero no las comisiones de negociación y compensación de Markets; los índices (≈ 7.200 M USD) y las bolsas se citan aparte. Como contraste, IBISWorld da 23.400 M USD para los proveedores de datos de EE. UU.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37.400 M GBP (49.200 M USD) de gasto mundial en datos y análisis de mercados financieros en 2025, +6,5 % (Burton-Taylor) [8, 9]; más ≈ 5.500 M GBP (7.200 M USD) de índices [8].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GBP (gasto mundial en datos y análisis de mercados financieros, Burton-Taylor, convertido a 1,3154 USD/GBP))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de las entidades en datos (automatización, IA, volatilidad)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+6,5 % en 2025 y TCAC del 7,4 % en 2019-2025 [8, 9, 10, 11]; el tráfico de la red en tiempo real de LSEG creció un 29 % en el 1S26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Amenaza para terminales y analítica genérica (caída del 12,8 % de la acción el 3-feb-2026) [12]; oportunidad como proveedor de datos «listos para IA» con cargo por uso (MCP, 200 clientes)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pasiva y ETF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ETF ligados a FTSE Russell llegaron a 2 billones USD; ingresos mundiales de índices +13,4 % en 2025 [2,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Volatilidad y volúmenes de negociación y compensación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 +11,9 % en el 1S26; volumen de Tradeweb +24,8 %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 (ingreso neto de tesorería)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143 M en el 1S26, +12,6 % por más saldos de garantías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Bloomberg y LSEG reúnen la mitad del gasto en datos de mercado (Burton-Taylor) y en cada índice o contrato de referencia hay un líder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bancos negocian precios de datos y han promovido alternativas; los reguladores (FCA, ESMA) revisan el precio de los datos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Personal y nube (Microsoft) son los insumos; los datos de bolsas de terceros se repercuten (recuperaciones)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cámara y de administrador de índices, historia de datos y efecto red; la IA baja la barrera en analítica, no en datos propios ni en compensación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Modelos de IA y agentes pueden sustituir parte del uso de terminales y de la analítica genérica; los clientes construyen sus propias capas sobre datos en bruto [8, 12].</w:t>
            </w:r>
          </w:p>
        </w:tc>
      </w:tr>
    </w:tbl>
    <w:p>
      <w:pPr>
        <w:spacing w:after="160" w:before="0"/>
      </w:pPr>
    </w:p>
    <w:p>
      <w:pPr>
        <w:pStyle w:val="Heading2"/>
      </w:pPr>
      <w:r>
        <w:t xml:space="preserve">Ciclo</w:t>
      </w:r>
    </w:p>
    <w:p>
      <w:pPr>
        <w:spacing w:after="100"/>
      </w:pPr>
      <w:r>
        <w:t xml:space="preserve">Volúmenes de negociación y compensación en máximos (1S26: Markets +11,9 %, Tradeweb +24,8 %) y activos indexados en máximos [2]. Las suscripciones apenas notan el ciclo: en 2022, con caída de bolsas y bonos, LSEG creció un 5,7 %; en 2020 los volúmenes subieron. 2008-09 no es comparable (LSEG era solo bolsa). El riesgo cíclico está en Markets (volúmenes e intereses), un 39 % de los ingresos [1].</w:t>
      </w:r>
    </w:p>
    <w:p>
      <w:pPr>
        <w:pStyle w:val="Heading2"/>
      </w:pPr>
      <w:r>
        <w:t xml:space="preserve">Regulación</w:t>
      </w:r>
    </w:p>
    <w:p>
      <w:pPr>
        <w:spacing w:after="100"/>
      </w:pPr>
      <w:r>
        <w:t xml:space="preserve">LCH está supervisada por el Banco de Inglaterra y, para el euro, depende de la equivalencia de la UE, prorrogada hasta junio de 2028; EMIR 3 obliga a los bancos europeos a mantener una cuenta activa en cámaras de la UE desde junio de 2025 [8]. FTSE Russell es administrador de índices autorizado (FCA, Reglamento de Índices de Referencia revisado en la UE en 2026). La FCA revisó en 2024 el mercado de datos mayoristas y vigila el precio de los datos; la cinta consolidada de bonos del Reino Unido llega en 2026. La compensación obligatoria de bonos del Tesoro de EE. UU. (diciembre de 2026 y junio de 2027) favorece a LCH [8].</w:t>
      </w:r>
    </w:p>
    <w:p>
      <w:pPr>
        <w:pStyle w:val="Heading2"/>
      </w:pPr>
      <w:r>
        <w:t xml:space="preserve">Tendencias y disrupción</w:t>
      </w:r>
    </w:p>
    <w:p>
      <w:pPr>
        <w:spacing w:after="100"/>
      </w:pPr>
      <w:r>
        <w:t xml:space="preserve">La IA es la tendencia que decide: LSEG apuesta por vender datos con licencia para modelos (MCP, Anthropic, OpenAI, Microsoft Copilot, Google Gemini) en vez de defender el terminal, y empieza a cobrar por ese uso [1, 2]. Gana si los clientes necesitan datos fiables y auditables para sus agentes; pierde en Workflows (terminales), que solo crece un 3,1 % [1]. Otras: negociación 24 horas (LSE 24), mercados privados (Private Securities Market) y activos digitales [2].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del mundo en datos financieros**, detrás de Bloomberg: Data &amp; Analytics ingresó 3.978 M GBP en 2025, ≈ 10,6 % de un gasto mundial de ≈ 37.400 M GBP (estimación propia; Burton-Taylor da a Bloomberg y LSEG la mitad de los ingresos de datos de mercado juntos) [1, 8, 9]. Con FTSE Russell y Risk Intelligence (5.511 M), ≈ 14,7 % (la cuota de esta fila, estimación propia sobre el mismo perímetro; Markets queda fuera). **3.º en índices** (FTSE Russell, ≈ 18 %) y **1.º en compensación de swaps de tipos** (SwapClear) [1,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Bloomberg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terminales; privada, sin cuentas publicadas [8].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SPGI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IQ, índices S&amp;P DJI (1.º) y calificaciones; ingresos y margen operativo de 2025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renta fija e índices de bonos, bolsas de energía y NYSE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índices (≈ 24,8 % del sector) y analítica de carteras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FactSet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FDS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Terminales y datos para gestoras; el más expuesto a la IA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Derivados de tipos de EE. UU. y BrokerTec/EBS frente a LCH y FXall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Deutsche Börse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DB1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Eurex compite en la compensación de swaps en euros (EMIR 3); STOXX en índices [13].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SwapClear compensa la mayoría de los swaps de tipos del mundo; Tradeweb y FXall concentran liquidez; los índices FTSE Russell son referencia de 2 billones USD en ETF [5,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del 92,8 %; datos integrados en sistemas de clientes; cambiar de cámara o de índice de referencia cuesta años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cámara y de administrador de índices; historia de datos de mercado (Tick History, con peticiones por API +48 % en el 1S26)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tecnológica compartida; margen ajustado del 50,3 % frente al 36 % de FactSet [5,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menor que el de CME o MSCI (EBITDA del 48 % frente a 61-71 %) por el peso de los terminales [1].</w:t>
            </w:r>
          </w:p>
        </w:tc>
      </w:tr>
    </w:tbl>
    <w:p>
      <w:pPr>
        <w:spacing w:after="160" w:before="0"/>
      </w:pPr>
    </w:p>
    <w:p>
      <w:pPr>
        <w:pStyle w:val="Heading2"/>
      </w:pPr>
      <w:r>
        <w:t xml:space="preserve">Amenazas</w:t>
      </w:r>
    </w:p>
    <w:p>
      <w:pPr>
        <w:spacing w:after="100"/>
      </w:pPr>
      <w:r>
        <w:t xml:space="preserve">La amenaza principal es la IA generativa en Workflows (unos 1.925 M de ingresos, el 21 % del total): si los agentes de IA sustituyen el uso del terminal, LSEG perdería usuarios y poder de precio; probabilidad media en cinco años [1, 12]. Segunda, que los grandes bancos lleven la compensación de swaps en euros a Eurex por EMIR 3 (baja-media). Tercera, que la FCA o la ESMA limiten el precio de los datos (baja). Los datos propios, los índices y la cámara están menos expuestos [8].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2021-2025: ingresos </w:t>
      </w:r>
      <w:r>
        <w:rPr>
          <w:b/>
          <w:bCs/>
        </w:rPr>
        <w:t xml:space="preserve">9,7 %</w:t>
      </w:r>
      <w:r>
        <w:t xml:space="preserve">, EBITDA </w:t>
      </w:r>
      <w:r>
        <w:rPr>
          <w:b/>
          <w:bCs/>
        </w:rPr>
        <w:t xml:space="preserve">11,1 %</w:t>
      </w:r>
      <w:r>
        <w:t xml:space="preserve">, BPA </w:t>
      </w:r>
      <w:r>
        <w:rPr>
          <w:b/>
          <w:bCs/>
        </w:rPr>
        <w:t xml:space="preserve">29,1 %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sin recuperaciones pasaron de 6.211 M GBP en 2021 (11 meses de Refinitiv) a 8.986 M en 2025: +5,8 % publicado en 2025 y +7,1 % orgánico a tipo de cambio constante [1]. El crecimiento orgánico fue del 6,6-8,4 % cada año desde 2022 [1, 3, 4]. El EBITDA ajustado subió de 2.969 M a 4.523 M y su margen, del 47,8 % al 50,3 % (+150 pb en 2025, 100 pb de ellos por el cambio del reparto del excedente de SwapClear) [1, 4]. En el 1S26 el margen ajustado llegó al 52,7 % (+320 pb, 140 pb por SwapClear, que la empresa espera que se deshagan en gran parte en el 4T26) [2]. El beneficio publicado es mucho menor que el ajustado porque la cuenta lleva unos 1.000-1.200 M al año de amortización de intangibles comprados (sobre todo Refinitiv): 1.221 M en 2025 y 1.499 M en 2024, con un deterioro de 235 M [1]. Ningún año está distorsionado por pérdidas; 2021 no es comparable (11 meses de Refinitiv).</w:t>
      </w:r>
    </w:p>
    <w:p>
      <w:pPr>
        <w:pStyle w:val="Heading2"/>
      </w:pPr>
      <w:r>
        <w:t xml:space="preserve">Ajustes y partidas no recurrentes</w:t>
      </w:r>
    </w:p>
    <w:p>
      <w:pPr>
        <w:spacing w:after="100"/>
      </w:pPr>
      <w:r>
        <w:t xml:space="preserve">La empresa publica cifras ajustadas que excluyen la amortización y el deterioro de intangibles comprados, los costes de integración, separación y reestructuración, y los costes de transacción [1]. Las cuentas de este informe son las publicadas; los costes de integración y reestructuración que caen dentro del EBITDA (334 M en 2021, 233 M en 2022, 263 M en 2023, 203 M en 2024 y 158 M en 2025) van en no recurrentes porque bajan con el fin de la integración de Refinitiv [1, 3, 4]. El BPA ajustado (272,4 p en 2021, 317,8 p en 2022, 323,9 p en 2023, 363,5 p en 2024 y 420,6 p en 2025) es el que usa la rentabilidad a 12 meses, porque la amortización de lo comprado no es un coste de caja recurrente; el publicado fue 85,8, 141,8, 138,9, 128,8 y 238,4 p [1, 3, 4].</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8"/>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los resultados del 1S26 (30-jul-2026) la dirección subió la guía de crecimiento orgánico de 2026 al 7,0-7,5 % (antes 6,5-7,5 %) y la mejora del margen a unos 100 pb, y anunció 1.350 M GBP más de recompras hasta febrero de 2027 [2]. El mensaje central fue la IA: el consejero delegado dijo que los clientes ven los datos de LSEG «más valiosos en un mundo de IA, no menos», con más de 200 clientes probando el servidor MCP, alianzas con Amazon Quick y Google Gemini, 17.000 usuarios de AI Search en Workspace y una tarifa nueva para usar sus datos con modelos de IA [2]. Frente a febrero, el discurso pasó de «socio de confianza de los modelos» (acuerdos con Anthropic, OpenAI, Databricks y Snowflake) a cómo se cobrará [1, 2]. Los KPI de suscripción mejoraron poco: ASV +6,1 % (5,9 % en diciembre), retención del 92,8 % y ventas brutas de 12 meses de 482 M (481 M) [2]. La acción bajó ese día porque los costes del semestre salieron por encima de lo esperado y el margen del 1S lleva 140 pb de SwapClear que se deshacen en el 4T26 (prensa) [7]. Lo que no se cuantificó: cuánto ingreso aporta ya la IA y qué parte de Workflows (terminales) pierde usuarios.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Refinitiv consolidada desde el 29-ene-2021 (11 meses); Borsa Italiana vendida a Euronext en abril de 2021 (actividad interrumpida, fuera de la cuenta).; 2025: Mayor participación en el excedente de SwapClear (intangible de 1.171 M, octubre de 2025) y venta del 20 % de Post Trade Solutions a 11 bancos.).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neta operativa (sin arrendamientos y con la caja regulatoria apartada) subió de 7.178 M a 8.175 M en 2025 y a 9.982 M en junio de 2026, por el pago de SwapClear (921 M) y las recompras (2.072 M en 2025 y 2.100 M en el 1S26) [1, 2]. El apalancamiento es de 1,8 veces el EBITDA ajustado en diciembre, dentro de la banda de 1,5-2,5 veces que la empresa se fija [1]. Las cifras de balance de este informe quitan los saldos de los miembros compensadores; el circulante comercial es negativo (clientes 1.753 M frente a proveedores 2.300 M en 2025) porque las suscripciones se cobran por adelantado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9.883</w:t>
      </w:r>
      <w:r>
        <w:t xml:space="preserve">, conversión </w:t>
      </w:r>
      <w:r>
        <w:rPr>
          <w:b/>
          <w:bCs/>
        </w:rPr>
        <w:t xml:space="preserve">250 %</w:t>
      </w:r>
      <w:r>
        <w:t xml:space="preserve"> del beneficio neto; adquisiciones 3.385, dividendos 2.964, recompras 4.587.</w:t>
      </w:r>
    </w:p>
    <w:p>
      <w:pPr>
        <w:spacing w:after="100"/>
      </w:pPr>
      <w:r>
        <w:t xml:space="preserve">El flujo de explotación (después de intereses e impuestos) creció de 2.602 M en 2021 a 3.622 M en 2025 [1, 6]. El flujo libre para el accionista que publica la empresa (después de capex, arrendamientos y dividendos a minoritarios) fue de 2.445 M en 2025, el 111 % del beneficio ajustado atribuible, y la guía de 2026 es de al menos 2.700 M [1]. El capex (inversión en software y plataformas, 919 M en caja en 2025) baja del 11,3 % al 10,2 % de los ingresos y la guía lo lleva al 9,5 % en 2026 y al 8 % en 2029 [1]; no se separa mantenimiento de crecimiento (estimación propia: algo más de la mitad es mantenimiento, cerca de la amortización ajustada de 1.017 M). Los impuestos pagados (396 M) son la mitad del cargo ajustado (800 M) porque la amortización de intangibles comprados es deducible en parte [1]. En 2021 las desinversiones son la venta de Borsa Italiana; en 2024 y 2025 las adquisiciones incluyen la compra de minoritarios de LCH (507 M) y el pago de SwapClear (921 M)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ni párrafo de énfasis)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El auditor no pudo confiar en los controles informáticos de los ingresos de Data &amp; Analytics por «deficiencias de control de TI continuadas» y amplió las pruebas sustantivas [1]: es una debilidad de control interno, no un error en las cifras, pero conviene vigilarla. La remuneración en acciones es apreciable (176 M en 2025, un 14 % del beneficio publicado) y no se resta en el EBITDA ajustado [1]. La diferencia entre beneficio publicado y ajustado es casi toda amortización de intangibles comprados (1.221 M en 2025), que no consume caja; los costes de integración bajan cada año (de 334 M en 2021 a 158 M en 2025) [1, 4]. La conversión del beneficio ajustado en flujo libre es superior al 100 % [1]. Las cifras de balance quitan los saldos de compensación, así que los indicadores del motor se calculan sobre un balance limpio de 39.000-43.000 M.</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Deficiencias de control de TI sobre los ingresos de Data &amp; Analytics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auditor no se apoyó en los controles y amplió las pruebas; opinión limpia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alta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176 M en 2025, fuera del EBITDA ajustado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Beneficio ajustado muy por encima del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la amortización de lo comprado (Refinitiv, SwapClear), sin efecto en caja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8,7 %.</w:t>
      </w:r>
    </w:p>
    <w:p>
      <w:pPr>
        <w:spacing w:after="100"/>
      </w:pPr>
      <w:r>
        <w:t xml:space="preserve">LSEG no crea valor sobre todo el capital pagado por Refinitiv: el ROIC del motor (con el fondo de comercio y después de amortizar lo comprado) fue del 5,7 % en 2025, frente a un WACC del 8,68 %, y del 3-4 % en 2021-2024. Con el beneficio operativo ajustado (3.506 M, sin la amortización de intangibles comprados) el rendimiento del capital invertido sube a ≈ 8,7 % (estimación propia), en línea con el WACC [1]. El ROIC sube por rotación (0,16 a 0,23 veces) y por margen: el capital invertido baja (30.790 M) mientras el beneficio sube. Sin el fondo de comercio y los intangibles comprados, el capital operativo es pequeño y el rendimiento muy alto: el negocio es bueno, el precio pagado por Refinitiv (13 veces el EBITDA, en acciones) no lo fue tanto. Los comparables orgánicos (Moody's 32 %, MSCI 40 %) están muy por encima; ICE (8,6 %) y S&amp;P Global (11,1 %), con grandes compras, cerca [26].</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11.711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4.056 M GBP a 30-jun-2026, de la que 1.277 M está reservada por requisitos regulatorios y operativos, más 3.000 M de líneas de crédito comprometidas sin disponer hasta diciembre de 2027 y 500 M USD de Tradeweb hasta noviembre de 2028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(estable); Moody's A3 (estable). LCH Ltd y LCH SA: AA- (S&amp;P)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El balance consolidado lleva 757.261 M GBP de activos y 757.444 M de pasivos de los miembros compensadores de LCH (márgenes y fondos de garantía) [1]; se quitan de las cifras de este informe porque no son del accionista ni generan su resultado, que entra como ingreso neto de tesorería (143 M en el 1S26) [2]. Quedan 250 M por pagar en 2026 por la ampliación del excedente de SwapClear [1]. Plan de pensiones con superávit neto (238 M de activo frente a 86 M de obligación en 2025) [1]. Sin factoring ni opciones de venta de minoritarios conocidas; los minoritarios de Tradeweb (cotizada) son el pasivo asimilable más grande y van a valor de mercado en el puente.</w:t>
      </w:r>
    </w:p>
    <w:p>
      <w:pPr>
        <w:pStyle w:val="Heading1"/>
      </w:pPr>
      <w:r>
        <w:t xml:space="preserve">12. Asignación de capital</w:t>
      </w:r>
    </w:p>
    <w:p>
      <w:pPr>
        <w:pStyle w:val="Confianza"/>
        <w:spacing w:after="100"/>
      </w:pPr>
      <w:r>
        <w:t xml:space="preserve">Confianza: Alta</w:t>
      </w:r>
    </w:p>
    <w:p>
      <w:pPr>
        <w:spacing w:after="100"/>
      </w:pPr>
      <w:r>
        <w:t xml:space="preserve">Dividendo progresivo con un reparto del 33-40 % del BPA ajustado (150 p en 2025, el 35,7 %; 55 p a cuenta de 2026, +17 %) [1, 2]. Apalancamiento objetivo de 1,5-2,5 veces la deuda neta operativa sobre el EBITDA ajustado, en torno a la mitad de la banda; la caja sobrante vuelve en recompras: 2.100 M en 2025, 2.100 M en el 1S26 y 1.350 M más hasta febrero de 2027 [1, 2]. Guía 2027-2029: crecimiento de dos cifras del flujo libre por acción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Refinitiv (datos, terminales Eikon/Workspace, FX, 51 % de Tradeweb)</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(37 % económico para Blackstone y Thomson Reuters) y asunción de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terminada y objetivos de sinergias cumplidos, pero el ROIC del grupo quedó en el 6-7 % y la acción no ha superado el máximo de 2020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Acadia (riesgo de crédito y márgenes no compensados) y GDC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Post Trade Solutions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11,6 % adicional de LCH Group y Global Data Consortium/Infinitive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propiedad de LCH Group sube a más del 95 %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parte del excedente de SwapClear hasta 2045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(921 M en 2025 y 250 M en 2026)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pb de margen y +2-3 % de BPA ajustado en 2025 según la empresa [1].</w:t>
            </w:r>
          </w:p>
        </w:tc>
      </w:tr>
    </w:tbl>
    <w:p>
      <w:pPr>
        <w:spacing w:after="160" w:before="0"/>
      </w:pPr>
    </w:p>
    <w:p>
      <w:pPr>
        <w:spacing w:after="100"/>
      </w:pPr>
      <w:r>
        <w:t xml:space="preserve">Asignación de capital correcta desde 2023: la integración de Refinitiv cumplió sus objetivos, el capex baja y la caja vuelve al accionista: 2.964 M de dividendos y 4.587 M de recompras en 2021-2025 más 2.100 M en el 1S26 [1, 2]. La compra de SwapClear (1.171 M) sube el margen 100 pb y el BPA un 2-3 % [1]. El lunar es Refinitiv: pagada en acciones a 13 veces el EBITDA (el 37 % de LSEG), dejó un ROIC del 5-6 % y la acción ha rentado un 1,4 % anual en cinco años frente al 8,3 % del FTSE 100 [1, 21]. El número de acciones baja de 557 M (2022) a 480 M (2026), un 14 %, lo que sostiene el crecimiento del BPA ajustado (+15,7 % en 2025)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Schwimmer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Goldman Sachs (25 años, banca de inversión y estructura de mercado). Cerró la compra de Refinitiv, cumplió sus objetivos de sinergias e ingresos y llevó el margen ajustado del 47,8 % al 50,3 % [2,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Michel-Alain Proch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 financiero de Publicis y de Hertz; desde 2024 ha bajado la intensidad de capex del 11,3 % al 10,2 % [2,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Don Robert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consejero delegado y presidente de Experian [15].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divisa constante del 6-8 %; margen EBITDA ajustado ≈ 48 %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+8,3 % a divisa constante; margen 47,2 % (47,7 % sin divisa)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Marco 2023-2025: crecimiento orgánico del 6-8 % anual y mejora del margen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+7,1 % orgánico y +150 pb de margen en 2025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6,5-7,5 %, margen +80-100 pb (febrero)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a 7,0-7,5 % y ≈ +100 pb en julio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Schwimmer lleva ocho años y la empresa dice haber cumplido o superado todos los marcos de guía desde 2023 [2]. El director financiero es de 2024. El punto débil es la retribución: la subida de 2025 (sueldo +40 %, máximo total de unos 6,3 M a 13,2 M GBP) tuvo un 30,4 % de votos en contra [17, 18]. No hay sucesor público.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Don Robert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Schwimmer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Michel-Alain Proch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Cressida Hogg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Elizabeth Corley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Kathleen DeRose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Riesgos (presidenta), 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Tsega Gebreyes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Guthrie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(Microsoft)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Lloyd Pitchford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Riesgos,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 Rahmani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Remuneración,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William Vereker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(presidente), Nombramientos, Riesgos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ni párrafo de énfasis)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en diciembre de 2022 a Blackstone; consejero dominical desde 2023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HSBC (posición de negociación)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5,5 % a menos del 5 % de derechos de voto el 30-jul-2026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Elliott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Empezó a comprar en febrero de 2026, tras la caída por la IA (Reuters) [12].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20,19 M de acciones de 505,26 M a 28-ago-2026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política aprobada en 2025 subió el sueldo del consejero delegado de 1,0 M a 1,4 M GBP, el bonus máximo de 2,25 M a 4,1 M y el plan a largo plazo de 3 M a 7,5 M, para acercarlo a sus pares de EE. UU.; ISS, Glass Lewis y PIRC recomendaron votar en contra y el informe de remuneración tuvo un 30,39 % de votos en contra [17, 18]. En 2026 el voto en contra bajó al 6,81 % [16]. El plan a largo plazo se mide con el BPA ajustado y la rentabilidad total para el accionista (estimación: métricas habituales de la política, no verificadas en el informe de remuneración) [18].</w:t>
      </w:r>
    </w:p>
    <w:p>
      <w:pPr>
        <w:pStyle w:val="Heading2"/>
      </w:pPr>
      <w:r>
        <w:t xml:space="preserve">Operaciones vinculadas, estructura de control y defensas</w:t>
      </w:r>
    </w:p>
    <w:p>
      <w:pPr>
        <w:spacing w:after="100"/>
      </w:pPr>
      <w:r>
        <w:t xml:space="preserve">Sin accionista de control: el mayor accionista estratégico es Microsoft (4,2 %), con un consejero; Blackstone y Thomson Reuters, que recibieron el 37 % por Refinitiv, han ido vendiendo desde 2022 (no verificado si conservan algo) [4]. Una acción, un voto. Las operaciones con Microsoft (alianza de 10 años en nube y productos, compromiso de gasto mínimo) son vinculadas y relevantes [4]. Los minoritarios de Tradeweb (cotizada en EE. UU.) y de LCH participan en filiales clave. Elliott entró en 2026 y puede empujar recompras o una revisión de la cartera de negocios [12].</w:t>
      </w:r>
    </w:p>
    <w:p>
      <w:pPr>
        <w:pStyle w:val="Heading2"/>
      </w:pPr>
      <w:r>
        <w:t xml:space="preserve">Señales de alerta</w:t>
      </w:r>
    </w:p>
    <w:p>
      <w:pPr>
        <w:pStyle w:val="ListParagraph"/>
        <w:numPr>
          <w:ilvl w:val="0"/>
          <w:numId w:val="2"/>
        </w:numPr>
        <w:spacing w:after="60"/>
      </w:pPr>
      <w:r>
        <w:t xml:space="preserve">Voto en contra del 30,4 % a la remuneración en 2025 [17].</w:t>
      </w:r>
    </w:p>
    <w:p>
      <w:pPr>
        <w:pStyle w:val="ListParagraph"/>
        <w:numPr>
          <w:ilvl w:val="0"/>
          <w:numId w:val="2"/>
        </w:numPr>
        <w:spacing w:after="60"/>
      </w:pPr>
      <w:r>
        <w:t xml:space="preserve">Entrada de un activista (Elliott) en 2026 [12].</w:t>
      </w:r>
    </w:p>
    <w:p>
      <w:pPr>
        <w:pStyle w:val="ListParagraph"/>
        <w:numPr>
          <w:ilvl w:val="0"/>
          <w:numId w:val="2"/>
        </w:numPr>
        <w:spacing w:after="60"/>
      </w:pPr>
      <w:r>
        <w:t xml:space="preserve">Deficiencias de control de TI señaladas por el auditor en los ingresos de Data &amp; Analytics [2].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(subida el 30-jul-2026): crecimiento orgánico a divisa constante de los ingresos sin recuperaciones del 7,0-7,5 % (antes 6,5-7,5 %), margen EBITDA a divisa constante ≈ +100 pb (antes +80-100 pb), capex ≈ 9,5 % de los ingresos, flujo libre para el accionista de al menos 2.700 M y tipo impositivo subyacente del 24-25 % [2]. Marco 2027-2029 (febrero de 2026): crecimiento orgánico de un dígito medio-alto, margen subyacente +150 pb acumulados, capex hacia el 8 % en 2029 y flujo libre por acción con crecimiento anual de dos cifras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la empresa, 13-oct-2026 (12 analistas)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la empresa, 13-oct-2026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la empresa, 13-oct-2026 [22]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 1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115,91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El consenso de la empresa del 13-oct (12 analistas) da un BPA ajustado de 480,6 p en 2026, 550,9 p en 2027 y 615,5 p en 2028, con recompras que bajan las acciones medias a 458,5 M en 2028 [22]. MarketScreener, en base publicada (con la amortización de lo comprado), da 3,06, 3,64 y 4,39 GBP [23]. Las estimaciones subieron tras el 1S26 por la mejora de la guía (crecimiento orgánico del 8,0 % en 2026 en el consenso frente a 6,5-7,5 % de la guía inicial) [2, 22]. Solo hay un proveedor con estimaciones completas en base ajustada (el de la empresa); el objetivo y las recomendaciones se contrastan con MarketScreener [23].</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48"/>
        <w:gridCol w:w="2095"/>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8" name="Gráfico 18"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perdido un 4,8 % en un año y un 6,2 % en 2026, frente a subidas del 13,5 % y del 8,0 % del FTSE 100; en cinco años, +1,4 % anual frente a +8,3 % (de precio) [21]. La caída máxima, del 40,7 %, va de febrero de 2025 a febrero de 2026, con el peor día el 3-feb-2026 (−12,8 %), cuando los nuevos productos de IA para finanzas hundieron a los vendedores de datos [12, 21]. Desde el mínimo de 66,84 rebotó un 26 % con la entrada de Elliott y la subida de la guía; el 13-oct cayó un 4,7 %. Beta de 0,60 mensual a cinco años frente al FTSE 100 (0,89 semanal a dos años), volatilidad del 33,5 % [21].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Con el BPA publicado (que lleva la amortización de Refinitiv) el PER de los últimos 12 meses es de 30 veces frente a una media de 58,6, una comparación sin sentido. La que importa es la ajustada: el PER adelantado (precio ÷ BPA ajustado del año siguiente) es de 15,9 veces frente a una mediana de 22,0 en 2021-2025 y un mínimo de 19,0 (cierre de 2025). El EV/EBITDA de los últimos 12 meses (13,2 veces) está un 9 % por debajo de su media (14,5). Lo que ha cambiado no es el crecimiento (el orgánico es el mismo que en 2022-2024) sino la percepción del riesgo de la IA desde 2025 y unos tipos más altos (gilt del 5,4 %).</w:t>
      </w:r>
    </w:p>
    <w:p>
      <w:pPr>
        <w:pStyle w:val="Heading1"/>
      </w:pPr>
      <w:r>
        <w:t xml:space="preserve">18. Comparables cotizados</w:t>
      </w:r>
    </w:p>
    <w:p>
      <w:pPr>
        <w:pStyle w:val="Confianza"/>
        <w:spacing w:after="100"/>
      </w:pPr>
      <w:r>
        <w:t xml:space="preserve">Confianza: Media</w:t>
      </w:r>
    </w:p>
    <w:p>
      <w:pPr>
        <w:spacing w:after="100"/>
      </w:pPr>
      <w:r>
        <w:t xml:space="preserve">Once cotizadas de la ficha sectorial del 14-oct-2026: bolsas con cámara (CME, ICE, Nasdaq, Deutsche Börse), una plataforma de renta fija como Tradeweb (que LSEG consolida), índices y analítica (MSCI), calificaciones y datos (S&amp;P Global, Moody's) y datos y analítica (Thomson Reuters, Verisk, FactSet). Bloomberg, el rival más directo en datos, no cotiza; Cboe y Euronext quedan fuera por no tener estimaciones del mismo proveedor. Cifras de MarketScreener y Stock Analysis llevadas al cierre del 13-oct (EE. UU.) y del 14-oct (Europa); capitalización en M GBP a 1,3154 USD/GBP [26, 30]. El PER de los comparables es sobre BPA ajustado en la mayoría (EE. UU.), la misma base que el de LSEG en la rentabilidad a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LSEG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FactSet Research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Tradeweb Markets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16,1x / 17,8x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 / 18,5x / 20,5x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 / 23,5x / 25,4x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9,1x / 10,2x / 11,2x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1" name="Gráfico 21"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rPr>
        <w:t xml:space="preserve">Regresión EV/EBITDA NTM sobre crecimiento</w:t>
      </w:r>
      <w:r>
        <w:t xml:space="preserve"> (11 comparables): múltiplo = 12,9 + 0,36 × crecimiento; R² = 0,09. El crecimiento explica poco los múltiplos de estos comparables (R² &lt; 0,3): la regresión no se usa en la valoración.</w:t>
      </w:r>
    </w:p>
    <w:p>
      <w:pPr>
        <w:spacing w:after="100"/>
      </w:pPr>
      <w:r>
        <w:t xml:space="preserve">LSEG cotiza a 12,0 veces el EBITDA de los próximos 12 meses y a 15,7 veces el beneficio ajustado, frente a medianas de 16,1 y 23,5 veces de los comparables: el descuento es del 25-33 %. Una parte está justificada: crece algo menos (7,0 % frente a 7,6 %), tiene menos margen (51 % ajustado frente a 56 %), un ROIC menor (5,7 % frente a 12,2 %) y la mayor exposición a terminales, el negocio que la IA amenaza, junto con FactSet (16,5 veces el PER). La otra parte es el miedo a la IA: Thomson Reuters, también expuesta, cotiza a 24,1 veces. La regresión múltiplo-crecimiento no explica nada (R² de 0,09). Usaríamos un PER de 18-20 veces, entre FactSet y la mediana, más cerca de su propia historia (22 veces de mediana adelantada) que del sector.</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en efectivo: 167 USD por acción. Ventas (870 M) y EBITDA (430 M) de los últimos 12 meses a junio de 2026; la prima es la que publica el folleto. Valor empresa pasado a GBP a 1,3154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With Intelligence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Vendedor, Motive Partners (capital privado). Unos 130 M de ingresos esperados en 2025, con crecimiento del valor anual de contratos en la parte alta de la decena; el múltiplo es sobre esos ingresos previstos. No se publicó el EBITDA. Valor empresa pasado a GBP a 1,3154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Preqin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BlackRock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2.550 M GBP (unos 3.200 M USD) en efectivo por el 100 % del capital. El 8-K no da ingresos ni EBITDA, así que no hay múltiplo verificado. Valor empresa pasado a GBP a 1,3154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Thoma Bravo, con 5.750 M en efectivo y 85,6 M de acciones de Nasdaq. Múltiplos sobre las previsiones de 2023 que publicó Nasdaq (unos 590 M de ingresos y un margen EBITDA ajustado del 58 %), no sobre los últimos 12 meses: estimación propia. Valor empresa pasado a GBP a 1,3154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0,2838 acciones de S&amp;P Global por cada una de IHS Markit. Valor empresa publicado, 44.000 M, con 4.800 M de deuda neta. Ventas (4.288 M) y EBITDA ajustado (1.837 M) del ejercicio cerrado en noviembre de 2020. Valor empresa pasado a GBP a 1,3154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Refinitiv</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London Stock Exchange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acciones: los vendedores (Blackstone y Thomson Reuters) se quedaron con el 37 % económico de LSEG. El valor empresa incluye 12.500 M de deuda neta. Ingresos ajustados de 2018, 6.204 M; EBITDA ajustado, 2.054 M, antes de los 650 M de ahorros en marcha. Anunciada en agosto de 2019 y cerrada en enero de 2021, al límite del periodo de siete años. Valor empresa pasado a GBP a 1,3154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 Knight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septiembre de 2023 a 76 USD por acción. La cifra es lo pagado por las acciones; además, ICE asumió unos 1.000 M de bonos. No hay EBITDA oficial del perímetro comprado. Valor empresa pasado a GBP a 1,3154 [27].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 (13,1x – 25,7x)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82,96 – 209,09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operaciones del sector se pagaron a 13-31 veces el EBITDA (Refinitiv, 13,1 veces; MarketAxess, 13 veces; IHS Markit, 24 veces; Adenza, 31 veces) [27]. Con 63.606 M de valor empresa (12,0 veces el EBITDA de los próximos 12 meses), LSEG está en la zona baja. Es demasiado grande para una OPA (unos 64.000 M de valor empresa con minoritarios), pero un activista (Elliott) entró en 2026 y podría empujar la venta o la separación de partes (Tradeweb, la parte de LCH o FTSE Russell), lo que haría aflorar valor [12].</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sin recuperaciones +7,0 % en 2026e (guía orgánica del 7,0-7,5 % menos ≈ 0,3 puntos de divisa; el 1S26 creció un 6,9 % publicado) [2], +6,5 % en 2027-2028 y +6,0 % en 2029, dentro del marco 2027-2029 de «un dígito medio-alto» [1]; después baja al 3,5 % en 2032. Historia: +6,6-8,4 % orgánico cada año desde 2022 [1, 3, 4]. El consenso da +7,3 % en 2027 y +6,9 % en 2028 [22]: estamos ligeramente por debajo por el riesgo de la IA en Workflows.</w:t>
      </w:r>
    </w:p>
    <w:p>
      <w:pPr>
        <w:keepNext/>
        <w:spacing w:after="100"/>
      </w:pPr>
      <w:r>
        <w:rPr>
          <w:b/>
          <w:bCs/>
        </w:rPr>
        <w:t xml:space="preserve">Márgenes.</w:t>
      </w:r>
    </w:p>
    <w:p>
      <w:pPr>
        <w:spacing w:after="100"/>
      </w:pPr>
      <w:r>
        <w:t xml:space="preserve">Margen EBITDA del 51,2 % en 2026e, 51,8 % en 2027e, 52,3 % en 2028e y 53,0 % al final, frente al 50,3 % ajustado de 2025 y el 52,7 % del 1S26 [1, 2]. Es el ajustado menos 0,5 puntos de reestructuración que se repite, y sube menos que la guía (+150 pb en 2027-2029) [1]. El consenso da 51,7 % en 2026 y 52,7 % en 2028 [22]. Los comparables tienen una mediana del 56 % [26]: LSEG queda por debajo por los terminales.</w:t>
      </w:r>
    </w:p>
    <w:p>
      <w:pPr>
        <w:keepNext/>
        <w:spacing w:after="100"/>
      </w:pPr>
      <w:r>
        <w:rPr>
          <w:b/>
          <w:bCs/>
        </w:rPr>
        <w:t xml:space="preserve">Inversión y circulante.</w:t>
      </w:r>
    </w:p>
    <w:p>
      <w:pPr>
        <w:spacing w:after="100"/>
      </w:pPr>
      <w:r>
        <w:t xml:space="preserve">Capex del 9,5 % de los ingresos en 2026e y del 8 % desde 2029, como guía la empresa [1, 2]; amortización propia (sin la de lo comprado) del 11,0 % en 2026e (1.017 M en 2025, 11,3 %) que converge al 8 % en 2032, cuando iguala al capex. Circulante negativo (−8 % en 2026e, −9 % real en 2025, hacia −5 %) porque las suscripciones se cobran por adelantado [1]. Impuesto del 24,5 % (guía del 24-25 %) [1].</w:t>
      </w:r>
    </w:p>
    <w:p>
      <w:pPr>
        <w:keepNext/>
        <w:spacing w:after="100"/>
      </w:pPr>
      <w:r>
        <w:rPr>
          <w:b/>
          <w:bCs/>
        </w:rPr>
        <w:t xml:space="preserve">Coste del capital.</w:t>
      </w:r>
    </w:p>
    <w:p>
      <w:pPr>
        <w:spacing w:after="100"/>
      </w:pPr>
      <w:r>
        <w:t xml:space="preserve">Tasa libre del 5,39 % (gilt a 10 años, 12-oct-2026) [24]; beta de 0,85 (la mensual de 5 años frente al FTSE 100 es 0,60 y la semanal de 2 años 0,89 [21]; 0,85 está en la zona de los comparables y del sector); prima de mercado del 5,5 %; coste de la deuda del 5,0 % (el medio actual es 3,3 %, pero la deuda nueva cuesta más) y un 22 % de deuda: WACC del 8,68 %. Con la prima implícita del mercado (4,2 %) [25] el WACC baja al 7,82 % y el DCF sube a 115,70.</w:t>
      </w:r>
    </w:p>
    <w:p>
      <w:pPr>
        <w:keepNext/>
        <w:spacing w:after="100"/>
      </w:pPr>
      <w:r>
        <w:rPr>
          <w:b/>
          <w:bCs/>
        </w:rPr>
        <w:t xml:space="preserve">Valor terminal.</w:t>
      </w:r>
    </w:p>
    <w:p>
      <w:pPr>
        <w:spacing w:after="100"/>
      </w:pPr>
      <w:r>
        <w:t xml:space="preserve">Gordon con un crecimiento del 3,0 %: inflación británica a largo plazo (≈ 2-2,5 %) más algo de crecimiento real, por debajo de la tasa libre menos medio punto. El valor terminal pesa un 72 % del DCF. Implica unas 13-14 veces el EBITDA terminal, por debajo de la mediana de los comparables (16,1 veces) [26].</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112,52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 M (-3 % del NOPAT)</w:t>
            </w:r>
          </w:p>
        </w:tc>
      </w:tr>
    </w:tbl>
    <w:p>
      <w:pPr>
        <w:spacing w:after="160" w:before="0"/>
      </w:pPr>
    </w:p>
    <w:p>
      <w:pPr>
        <w:spacing w:after="100"/>
      </w:pPr>
      <w:r>
        <w:t xml:space="preserve">La proyección apenas necesita inversión neta de la amortización (reinversión acumulada de -846 M, con un capex bruto medio del 8,4 % de las ventas). En un negocio de activos ligeros, el crecimiento medio del 5,5 %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orgánica del 7,0-7,5 % [2]: volumen de Markets y nuevos datos (≈ 4 puntos) y subidas de precio de suscripciones (≈ 3 puntos); divisa −0,3.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Marco 2027-2029: un dígito medio-alto [1]; precio ≈ 3 % (retención del 92,8 % y subidas anuales) y volumen ≈ 3,5 %.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 incluye el cobro de licencias de datos para IA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precio 3 %.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al crecimiento del mercado.</w:t>
            </w:r>
          </w:p>
        </w:tc>
      </w:tr>
    </w:tbl>
    <w:p>
      <w:pPr>
        <w:spacing w:after="160" w:before="0"/>
      </w:pPr>
    </w:p>
    <w:p>
      <w:pPr>
        <w:spacing w:after="100"/>
      </w:pPr>
      <w:r>
        <w:t xml:space="preserve">Sí: el crecimiento medio proyectado (5,5 %) está por debajo del orgánico de los últimos cuatro años (6,6-8,4 %) y del mercado de datos (+7,4 % anual en 2019-2025) [1, 8]. No necesita capital nuevo: el capex baja del 10,2 % al 8 % de los ingresos y la reinversión neta es negativa, así que la prueba es el poder de precio y la cuota. Precio: subidas anuales con una retención del 92,8 % [2]. Cuota (prueba a mano, porque Markets no está en el perímetro del mercado): los negocios de suscripción pasan de 5.511 M (14,7 % de ≈ 37.400 M) a ≈ 7.200 M en 2030e frente a un mercado de ≈ 53.200 M (70.000 M USD) [8]: ≈ 13,5 %, es decir, cuota algo menor. El riesgo no es de financiación sino de la IA.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 (base: 5,3 %)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50,7 % (base: 53,0 %)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 (WACC: 8,7 %)</w:t>
            </w:r>
          </w:p>
        </w:tc>
      </w:tr>
    </w:tbl>
    <w:p>
      <w:pPr>
        <w:spacing w:after="160" w:before="0"/>
      </w:pPr>
    </w:p>
    <w:p>
      <w:pPr>
        <w:spacing w:after="100"/>
      </w:pPr>
      <w:r>
        <w:t xml:space="preserve">El DCF da 90,88 por acción, un 8,2 % sobre el precio, con un WACC del 8,68 % y un valor terminal del 72 %. El DCF inverso dice que el precio descuenta un crecimiento del 4,3 % anual en 2027-2032 frente al 5,3 % de nuestro caso base, o un margen del 50,7 % frente al 53,0 %, y una rentabilidad implícita del 9,0 %. Es un descuento moderado: el mercado no pide nada exigente, sino un crecimiento algo por debajo de la guía de la empresa y de lo logrado desde 2022, o un margen que no mejore desde el del 1S26 (52,7 %). Con la prima implícita del mercado (4,2 %) el DCF sube a 115,70. El valor depende mucho de la tasa: con un gilt al 5,39 % y una beta de 0,85, cada medio punto de WACC mueve el valor un 10-12 % (tabla de sensibilidad). Lo que el precio refleja es la duda sobre la duración del crecimiento por la IA, no sobre el de los dos próximos años.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agentes de IA sustituyen parte del uso del terminal y de la analítica genérica: Workflows cae, Data &amp; Analytics crece un 1-2 % y el grupo, un 3,5-4 %, con un margen 2,5 puntos menor. Es lo que el mercado temió en febrero de 2026 (−12,8 % en un día) y lo que vivió FactSet.</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se cumple: un dígito medio-alto de crecimiento, margen +150 pb en 2027-2029 y capex hacia el 8 %. La IA se convierte en un canal más de venta de datos.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licencias de datos para IA y el MCP aceleran el ASV por encima del 7 % y Markets sigue con volúmenes altos: crecimiento del 8 % y un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GBP) · precio actual 83,9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84,22 GBP (+0,3 %).</w:t>
      </w:r>
    </w:p>
    <w:p>
      <w:pPr>
        <w:spacing w:after="100"/>
      </w:pPr>
      <w:r>
        <w:t xml:space="preserve">La asimetría del DCF es mala (0,62 veces): el bajista pierde un 40,6 % y el alcista gana un 25,3 %, porque el bajista combina menos crecimiento, menos margen, un WACC medio punto mayor y un crecimiento terminal del 2,5 %, es decir, una pérdida permanente de franquicia. Con la prima implícita del mercado la asimetría pasa a 2,45 veces. A 12 meses la asimetría es muy distinta (4,57 veces) porque el bajista solo aplica un PER de 14,0 veces, poco por debajo del actual (15,9). El escenario bajista es verosímil en la parte de terminales (21 % de los ingresos), pero es menos probable para índices, compensación y datos en bruto.</w:t>
      </w:r>
    </w:p>
    <w:p>
      <w:pPr>
        <w:pStyle w:val="Heading1"/>
      </w:pPr>
      <w:r>
        <w:t xml:space="preserve">22. Suma de partes</w:t>
      </w:r>
    </w:p>
    <w:p>
      <w:pPr>
        <w:pStyle w:val="Confianza"/>
        <w:spacing w:after="100"/>
      </w:pPr>
      <w:r>
        <w:t xml:space="preserve">Confianza: Media</w:t>
      </w:r>
    </w:p>
    <w:p>
      <w:pPr>
        <w:spacing w:after="100"/>
      </w:pPr>
      <w:r>
        <w:t xml:space="preserve">No se usa como método: los negocios comparten clientes, datos y tecnología. Como contraste, Tradeweb, que LSEG consolida, vale en bolsa ≈ 19.570 M GBP (25.739 M USD) y la parte de LSEG (≈ 43 %) ≈ 8.400 M, un 21 % de la capitalización de LSEG [26, 28].</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GBP) · precio actual 83,9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93,70 GBP (+11,6 % sobre 83,98).</w:t>
      </w:r>
    </w:p>
    <w:p>
      <w:pPr>
        <w:spacing w:after="100"/>
      </w:pPr>
      <w:r>
        <w:t xml:space="preserve">El DCF pesa un 45 % y los escenarios un 40 % porque es un negocio de caja estable, con un 75 % de ingresos recurrentes, y los escenarios recogen el riesgo de la IA, que es lo que mueve la acción. Los comparables pesan solo un 15 %: LSEG cotiza a 12,0 veces el EBITDA de los próximos 12 meses frente a 16,1 de mediana, pero tiene más terminales (margen menor), minoritarios grandes y un ROIC bajo; aplicarles la mediana daría 129,00 por acción, un valor que exigiría que el mercado olvidara el riesgo de la IA. Las transacciones no pesan (no hay operación a la vista y sus múltiplos, de 13 a 31 veces el EBITDA, son de activos de software o índices). La dispersión es grande: de 49,89 (bajista) a 147,69 (comparables), y casi todos los métodos quedan por encima del precio salvo el bajista.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(15.9x) × 1.1 (tope: la mediana de 5 años, 22x,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+72,6 %</w:t>
            </w:r>
          </w:p>
        </w:tc>
      </w:tr>
    </w:tbl>
    <w:p>
      <w:pPr>
        <w:spacing w:after="160" w:before="0"/>
      </w:pPr>
    </w:p>
    <w:p>
      <w:pPr>
        <w:spacing w:after="100"/>
      </w:pPr>
      <w:r>
        <w:rPr>
          <w:b/>
          <w:bCs/>
        </w:rPr>
        <w:t xml:space="preserve">Objetivo a 12 meses (ponderado):</w:t>
      </w:r>
      <w:r>
        <w:t xml:space="preserve"> 104,07 GBP · rentabilidad +25,8 % (base +22,1 %) · señal Comprar.</w:t>
      </w:r>
    </w:p>
    <w:p>
      <w:pPr>
        <w:keepNext/>
        <w:spacing w:after="100"/>
      </w:pPr>
      <w:r>
        <w:rPr>
          <w:b/>
          <w:bCs/>
        </w:rPr>
        <w:t xml:space="preserve">Frente al consenso (solo contraste).</w:t>
      </w:r>
    </w:p>
    <w:p>
      <w:pPr>
        <w:spacing w:after="100"/>
      </w:pPr>
      <w:r>
        <w:t xml:space="preserve">Nuestro BPA ajustado de 2026e (4,72 GBP) queda un 1,9 % por debajo del consenso de la empresa (4,81) porque usamos un margen del 51,2 % (consenso 51,7 %) al restar 0,5 puntos de reestructuración recurrente. En 2028e la distancia es del 6,3 % (5,77 frente a 6,16): la mitad por el margen y la otra mitad por las acciones, porque el consenso supone recompras hasta 458,5 M y nosotros solo contamos las anunciadas (476 M). El objetivo ponderado (104,07) queda un 10,2 % por debajo del objetivo medio de los analistas (115,91), y el del caso base (100,98), un 12,9 %: además del BPA, aplicamos un PER base de 17,5 veces (la regla limita la vuelta hacia la mediana de 22 veces a ×1,1 en un año), mientras los analistas parecen suponer una vuelta mayor.</w:t>
      </w:r>
    </w:p>
    <w:p>
      <w:pPr>
        <w:keepNext/>
        <w:spacing w:after="100"/>
      </w:pPr>
      <w:r>
        <w:rPr>
          <w:b/>
          <w:bCs/>
        </w:rPr>
        <w:t xml:space="preserve">Del valor intrínseco al objetivo a 12 meses.</w:t>
      </w:r>
    </w:p>
    <w:p>
      <w:pPr>
        <w:spacing w:after="100"/>
      </w:pPr>
      <w:r>
        <w:t xml:space="preserve">El objetivo a 12 meses (104,07) queda un 11 % por encima del valor intrínseco (93,70): la regla supone que el PER adelantado, hoy en 15,9 veces frente a 22 de mediana, sube a 17,5 veces en un año (la mitad del camino, con el tope de ×1,1), y el DCF, con un WACC del 8,68 % y un gilt del 5,39 %, es más exigente que el mercado (con la prima implícita del 4,2 % el DCF da 115,70). Con la historia del PER al cierre (regla v2) la ponderada baja al 14,5 % (Mantener). No hace falta un catalizador excepcional, sino que el miedo a la IA no empeore. Lo que cerraría la brecha: dos o tres trimestres más con la retención por encima del 92 % y el ASV acelerando, y la recompra (1.350 M hasta febrero de 2027).</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ASV; confirma la guía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2027; fin de la recompra de 1.350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tras deshacerse el efecto de SwapClear en el 4T26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ingresos visibles por licencias de datos para IA y MCP</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Cambiaría la percepción del riesgo de la 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LSE 24 (negociación 24 horas, 5 días)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contado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Propuestas de Elliott (activista)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o separación de partes, más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Diciembre de 2026 y 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Compensación obligatoria de bonos del Tesoro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volumen para LCH (RepoClear)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generativa sustituye el uso de terminales (Workspace) y la analítica genérica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 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datos con licencia para IA, MCP y alianzas con Microsoft, Anthropic, OpenAI y Google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Workflows por debajo del 2 % orgánico o retención por debajo del 92 %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mercado no vuelve a pagar su múltiplo histórico (PER adelantado de 16 frente a 22)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−32 % frente al objetivo a 12 meses (bajista de 70,98 con un PER de 14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del 3 % anual y crecimiento del BPA de dos cifras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15 veces con resultados en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volúmenes de negociación y de ingresos de tesorería (Markets, 39 % de los ingresos)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Suscripciones del 61 %; diversificación por activos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medio diario de Tradeweb a la baja interanual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compensación de swaps en euros por EMIR 3 o fin de la equivalencia en 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LCH SA en París; cuenta activa limitada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Eurex en swaps en euros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Fallo operativo o ciberataque en LCH o en los datos en tiempo real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Supervisión del Banco de Inglaterra, DORA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Incidentes y sanciones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Deficiencias de control de TI y remuneración discutida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Opinión limpia del auditor; voto en contra bajó al 6,8 % en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Salvedad del auditor o nuevo voto en contra &gt; 20 %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Apalancamiento por recompras con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Banda de 1,5-2,5 veces y rating 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operativa por encima de 2,5 veces el EBITDA</w:t>
            </w:r>
          </w:p>
        </w:tc>
      </w:tr>
    </w:tbl>
    <w:p>
      <w:pPr>
        <w:spacing w:after="160" w:before="0"/>
      </w:pPr>
    </w:p>
    <w:p>
      <w:pPr>
        <w:pStyle w:val="Heading2"/>
      </w:pPr>
      <w:r>
        <w:t xml:space="preserve">Pre-mortem</w:t>
      </w:r>
    </w:p>
    <w:p>
      <w:pPr>
        <w:spacing w:after="100"/>
      </w:pPr>
      <w:r>
        <w:t xml:space="preserve">Octubre de 2029: la acción vale 50 GBP, un 40 % menos. Lo que pasó: en 2027 los grandes bancos y gestoras sustituyeron parte de sus terminales Workspace por agentes de IA conectados a los datos en bruto, que compraron más baratos a varios proveedores. Workflows (1.925 M, el 21 % de los ingresos) empezó a caer un 5 % al año y el precio por usuario dejó de subir; la retención bajó del 92,8 % al 90 %. LSEG vendió más datos con licencia para IA, pero a menos margen y sin compensar la caída. A la vez, la volatilidad de 2025-2026 se calmó, Markets dejó de crecer a dos cifras y los tipos bajaron, con menos ingreso de tesorería. El crecimiento del grupo cayó al 3-4 %, el margen se estancó en el 50 % y el mercado dejó de mirar el PER histórico de 22 veces para pagar el de FactSet (16 veces) sobre un BPA más bajo. Las recompras se frenaron al tocar 2,5 veces de deuda. Lo habrían anticipado la retención de ingresos y el crecimiento de Workflows de cada trimestre, y las ventas brutas de 12 meses, estancadas en 482 M desde 2025.</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LSEG no son las emisiones (empresa de servicios) sino la resiliencia operativa y la ciberseguridad (una caída de LCH o de los datos en tiempo real sería un riesgo sistémico regulado por DORA y el Banco de Inglaterra) y la gobernanza de los datos y de la IA [2, 8]. FTSE Russell vende índices ESG y está sujeta a la regulación de calificaciones ESG (UE desde julio de 2026) [8].</w:t>
      </w:r>
    </w:p>
    <w:p>
      <w:pPr>
        <w:pStyle w:val="Heading2"/>
      </w:pPr>
      <w:r>
        <w:t xml:space="preserve">Controversias</w:t>
      </w:r>
    </w:p>
    <w:p>
      <w:pPr>
        <w:spacing w:after="100"/>
      </w:pPr>
      <w:r>
        <w:t xml:space="preserve">Voto en contra del 30,4 % al informe de remuneración en 2025 por la subida del sueldo del consejero delegado (ver gobierno). Sin sanciones relevantes encontradas en los tres últimos años en las fuentes leídas.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ingresos aportan ya las licencias de datos para IA y el MCP, y a qué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decide si la IA suma o resta; hoy no se cuantifica.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Workflows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 el número de usuarios de Workspace y el precio por usuario?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Workflows crece un 3,1 % y es el negocio más expuesto.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queda en el 4T26 cuando se deshaga el efecto de SwapClear (140 pb en el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decepcionar en febrero de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Tradeweb</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participación económica exacta de LSEG en Tradeweb y hay planes para ella?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puente en varios miles de millones.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Elliott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ha pedido el activista y qué piensa el consejo de una separación de partes?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catalizador sin fecha.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se corrigen las deficiencias de control de TI sobre los ingresos de Data &amp; Analytics?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calidad del dato.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(titulares de análisis de autores independientes, LSEGY)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1S26 conviven un «Buy confirmado» por el apalancamiento operativo y la guía al alza y una rebaja de recomendación porque las recompras ya estarían en el precio; en abril, otro artículo alcista tras el 1T26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(artículo de análisis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la preocupación de los inversores porque los proveedores de IA sacudan a los vendedores de datos y terminales tras la caída de febrero [14].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Hargreaves Lansdown (investigación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Destaca que la dirección ha puesto la IA en el centro para presentarse como facilitadora y no como víctima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Investing.com (noticia de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bajó el día de resultados pese a la guía al alza y a superar las previsiones del semestre [33].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se come los terminales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Workflows crece solo un 3,1 % y es el 21 % de los ingresos; datos y feeds crecen un 6,6 % y la retención sube al 92,8 % (resultados de la empresa). Riesgo real pero acotado; está en el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y su efecto en la valoración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4.200 M en 12 meses con la deuda en 1,8-2,0 veces el EBITDA, dentro de la banda de la empresa (resultados de la empresa).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Activista en el capital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Elliott empezó a comprar en febrero de 2026; sin propuesta pública: catalizador sin fecha [12].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Resultados buenos que el precio no premia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cayó el día del 1S26 y en la sesión del 13-oct (−4,7 %); PER adelantado ajustado de unas 16 veces frente a 22 de mediana.</w:t>
            </w:r>
          </w:p>
        </w:tc>
      </w:tr>
    </w:tbl>
    <w:p>
      <w:pPr>
        <w:spacing w:after="160" w:before="0"/>
      </w:pPr>
    </w:p>
    <w:p>
      <w:pPr>
        <w:spacing w:after="100"/>
      </w:pPr>
      <w:r>
        <w:t xml:space="preserve">Lo leído es sobre todo análisis para particulares y titulares, no hilos de foro: los foros británicos (LSE Chat) y Reddit no abren desde este entorno, así que la confianza es baja. El tono está dividido y algo mejor que en febrero: la caída por la IA dejó la idea de que el mercado no premiará los buenos resultados mientras no se vea crecimiento por la IA, pero la guía al alza, las recompras y la entrada de un activista dan argumentos a los alcistas. No hay euforia ni capitulación. Los foros apuntan el mismo riesgo que el informe (Workflows) y no añaden ninguno nuevo. Los analistas son mucho más optimistas (15 de 17 comprar).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33 (12 primarias); citas distintas en el texto: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-8,0 % frente a -9,1 % real: genera una variación de circulante de 51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0,09: el crecimiento no explica los múltiplos de estos comparables; no uses el valor de la regresión. Explicación: R² de 0,09: en este sector el múltiplo depende del tipo de negocio (índices y calificaciones frente a terminales y bolsas), no del crecimiento.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-12,9 %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 fuentes (12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 los resultados 2025 (tabla de bonos con vencimiento, sin agregado anual); 2) informe semestral 2026 (sin calendario); 3) agregar bono a bono (no hecho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Resultados 2025 (solo el reparto por divisa de los ingresos); 2) semestral 2026; 3) informe anual 2025 no descargado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Resultados 2025 (sin calificaciones ESG); 2) semestral 2026; 3) no se buscó en las webs de MSCI/Sustainalytics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 (cifra única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informe de remuneración (no descargado); 2) resultados de la junta 2026 (solo votos); 3) prensa (solo la política máxima de 13,2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(operaciones de directivos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RNS «Director/PDMR shareholding» (no revisadas una a una); 2) Investegate (no consultado por tiempo);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Preliminary results for the year ended 31 December 2025 (cuenta, balance, flujos, deuda neta, segmentos, guía 2026 y 2027-2029)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London Stock Exchange Group plc (FCA NSM)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https://data.fca.org.uk/artefacts/NSM/DirectUpload/NI-000139719/NI-000139719.pdf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Interim results for six months ended 30 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London Stock Exchange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https://www.lseg.com/content/dam/lseg/en_us/documents/investor-relations/financial-results/interim-report/lseg-interim-report-h1-2026-30july2026.pdf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for the year ended 31 December 2023 (cifras de 2023 y 2022, balance de 2022 reexpresado)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 (FCA NSM)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https://data.fca.org.uk/artefacts/NSM/Portal/NI-000090829/NI-000090829.pdf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for the year ended 31 December 2022 (cifras de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 (FCA NSM)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https://data.fca.org.uk/artefacts/NSM/RNS/4691300.html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for six months ended 30 June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https://www.lseg.com/content/dam/lseg/en_us/documents/investor-relations/financial-results/interim-report/lseg-interim-report-h1-2025-31july2025.pdf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consolidadas 2020-2025 en XBRL (ESEF): cuenta, balance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filings.xbrl.org / FCA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LSEG shares drop following H1 costs miss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Investment Week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https://www.investmentweek.co.uk/news/4121525/lseg-shares-drop-following-h1-costs-miss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infraestructura de mercados y datos financieros (14-oct-2026), con Burton-Taylor, SEC NRSRO y FIA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(sectores/bolsas-datos-financieros-2026-10-14.md)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Market Data/Analysis: Global Share &amp; Segment Sizing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Burton-Taylor International Consulting (TP ICAP)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https://tpicap.com/burtontaylor/reports/03/2026/financial-market-dataanalysis-global-share-segment-sizing-2026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data spend reaches record 37,3bn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https://www.marketsmedia.com/market-data-spend-reaches-record-37-3bn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spending on financial market data reaches record (2023, 42.000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https://marketsmedia.com/global-spending-on-financial-market-data-reaches-record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Analysis: LSEG slowly sheds AI risk tag with drive to show growth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https://www.marketscreener.com/news/lseg-slowly-sheds-ai-risk-tag-with-drive-to-show-growth-ce7f5cdbde80f22d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value del repositorio: S&amp;P Global (12-oct), Moody's, CME, Deutsche Börse (14-oct) e ICE (8-oct): ingresos y márgenes de los competidores de sus 10-K e informes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London Stock Exchange Group a buy after share price slump?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https://global.morningstar.com/en-gb/stocks/is-london-stock-exchange-group-buy-after-share-price-slump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of Directors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https://www.lseg.com/en/about-us/board-of-directors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2026 (23-abr-2026)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https://www.ticker.app/lse/LSEG/rns/2026-04-23/Result-of-AGM/7122B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2025 (1-may-2025)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https://www.lseg.com/content/dam/lseg/en_us/documents/investor-relations/annual-general-meeting/result/lseg-annual-general-meeting-result-2025-01may2025.pdf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owner faces potential shareholder revolt over plans to double chief's pay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City 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https://www.cityam.com/?p=2147143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(28-ago-2026)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https://www.investegate.co.uk/announcement/rns/london-stock-exchange-group--lseg/total-voting-rights/9701675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HSBC Holdings falls below 5 % voting rights threshold in London Stock Exchange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https://kalkinemedia.com/uk/news/announcements/hsbc-holdings-falls-below-5-voting-rights-threshold-in-london-stock-exchange-group-as-of-july-2026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LSEG.L, ^FTSE: históricos diarios hasta el 14-oct-2026 (precio, rango, volumen, beta, rentabilidades, cierres de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https://finance.yahoo.com/quote/LSEG.L/history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LSEG analyst consensus (13-oct-2026): 12 analistas, ingresos, EBITDA, BPA ajustado y dividendo 2026-2028; 15 comprar, 1 mantener, 1 vender; objetivo 11.591 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https://www.lseg.com/en/investor-relations/consensus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Valuation London Stock Exchange Group Plc (ventas, EBITDA, BPA publicado, deuda neta y acciones 2023-2028)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https://uk.marketscreener.com/quote/stock/LONDON-STOCK-EXCHANGE-GRO-4005918/valuation/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gilt a 10 años (IUDMNPY), 12-oct-2026: 5,39 %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 Statistical Interactive Database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la ficha sectorial (MarketScreener y Stock Analysis vía los informes del repo, llevados al 13/14-oct-2026)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(sectores/bolsas-datos-financieros-2026-10-14-comparables.json)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 del informe de S&amp;P Global del repo (Refinitiv, IHS Markit, Adenza, MarketAxess, With Intelligence, Preqin, Black Knight)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(informes/sp-global-2026-10-12)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Tradeweb Markets Inc. Form 10-K FY2025 y 10-Q 3T25 (clases de acciones A, B, C y 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Tradeweb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https://www.sec.gov/Archives/edgar/data/1758730/000175873026000015/tw-20251231.htm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 London Stock Exchange Group Plc: Q3 2026 trading update el 22-oct-2026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https://uk.marketscreener.com/quote/stock/LONDON-STOCK-EXCHANGE-GRO-4005918/calendar/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GBPUSD=X y EURUSD=X,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https://finance.yahoo.com/quote/GBPUSD=X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LSEGY: titulares y análisis de Seeking Alpha (RSS, abr-oct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https://seekingalpha.com/symbol/LSEGY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LSEG share research (comentarios y valoraciones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https://www.hl.co.uk/shares/shares-search-results/l/london-stock-exchange-ordinary-6,7986p/share-research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LSEG shares slip despite raised guidance and first-half earnings beat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(comentarios de lectores)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https://www.investing.com/news/earnings/lseg-shares-slip-despite-raised-guidance-and-firsthalf-earnings-beat-4822548</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87,1 %</w:t>
      </w:r>
      <w:r>
        <w:t xml:space="preserve"> · Secciones con menos del 60 % de campos cubiertos: </w:t>
      </w:r>
      <w:r>
        <w:rPr>
          <w:b/>
          <w:bCs/>
        </w:rPr>
        <w:t xml:space="preserve">gobierno</w:t>
      </w:r>
      <w:r>
        <w:t xml:space="preserve"> · Generado el 14 oct 2026.</w:t>
      </w:r>
    </w:p>
    <w:p>
      <w:pPr>
        <w:pStyle w:val="Nota"/>
        <w:spacing w:after="100"/>
      </w:pPr>
      <w:r>
        <w:t xml:space="preserve">Divisa de las cuentas y de la valoración: GBP; la acción cotiza en peniques (8.398 p el 14-oct-2026 = 83,98 GBP) y todas las cifras por acción van en libras. Ingresos = ingresos totales sin recuperaciones (total income excl. recoveries), la cifra que guía la empresa; el EBITDA es el publicado (EBIT + amortizaciones) y los costes de integración y reestructuración van como no recurrentes. El balance quita los activos y pasivos de los miembros compensadores de LCH (≈ 757.000 M). Segmentos solo de 2024 y 2025 (segmentación nueva de 2025). Comparables y transacciones tomados de la ficha sectorial y de los informes del repo (MarketScreener y Stock Analysis, llevados al 13/14-oct con la variación del precio), en GBP a 1,3154 USD/GBP. Minoritarios de Tradeweb a valor de mercado con una participación económica de LSEG estimada en ≈ 43 % (clases de acciones del 10-Q del 3T25). Acciones: 480,2 M (MarketScreener, octubre de 2026) más ≈ 2 M de dilución por planes de acciones.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London Stock Exchange Group plc (LSEG)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83,98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(66,84 – 101,40)</c:v>
                </c:pt>
                <c:pt idx="1">
                  <c:v>Comparables: EV/EBITDA NTM (105,38 – 147,69)</c:v>
                </c:pt>
                <c:pt idx="2">
                  <c:v>Comparables: PER NTM (118,43 – 135,85)</c:v>
                </c:pt>
                <c:pt idx="3">
                  <c:v>Transacciones precedentes (EV/EBITDA) (82,96 – 209,09)</c:v>
                </c:pt>
                <c:pt idx="4">
                  <c:v>DCF (WACC y g ± 0,5) (72,59 – 116,92)</c:v>
                </c:pt>
                <c:pt idx="5">
                  <c:v>Escenarios (bajista – alcista) (49,89 – 105,22)</c:v>
                </c:pt>
                <c:pt idx="6">
                  <c:v>DCF con la prima implícita del mercado (4,2 %)</c:v>
                </c:pt>
                <c:pt idx="7">
                  <c:v>Precio actual (83,98)</c:v>
                </c:pt>
              </c:strCache>
            </c:strRef>
          </c:cat>
          <c:val>
            <c:numRef>
              <c:f>Hoja1!$B$2:$B$9</c:f>
              <c:numCache>
                <c:formatCode>#,##0</c:formatCode>
                <c:ptCount val="8"/>
                <c:pt idx="0">
                  <c:v>66.84</c:v>
                </c:pt>
                <c:pt idx="1">
                  <c:v>105.38</c:v>
                </c:pt>
                <c:pt idx="2">
                  <c:v>118.43</c:v>
                </c:pt>
                <c:pt idx="3">
                  <c:v>82.96</c:v>
                </c:pt>
                <c:pt idx="4">
                  <c:v>72.59</c:v>
                </c:pt>
                <c:pt idx="5">
                  <c:v>49.89</c:v>
                </c:pt>
                <c:pt idx="6">
                  <c:v>100.32</c:v>
                </c:pt>
                <c:pt idx="7">
                  <c:v>83.56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(66,84 – 101,40)</c:v>
                </c:pt>
                <c:pt idx="1">
                  <c:v>Comparables: EV/EBITDA NTM (105,38 – 147,69)</c:v>
                </c:pt>
                <c:pt idx="2">
                  <c:v>Comparables: PER NTM (118,43 – 135,85)</c:v>
                </c:pt>
                <c:pt idx="3">
                  <c:v>Transacciones precedentes (EV/EBITDA) (82,96 – 209,09)</c:v>
                </c:pt>
                <c:pt idx="4">
                  <c:v>DCF (WACC y g ± 0,5) (72,59 – 116,92)</c:v>
                </c:pt>
                <c:pt idx="5">
                  <c:v>Escenarios (bajista – alcista) (49,89 – 105,22)</c:v>
                </c:pt>
                <c:pt idx="6">
                  <c:v>DCF con la prima implícita del mercado (4,2 %)</c:v>
                </c:pt>
                <c:pt idx="7">
                  <c:v>Precio actual (83,98)</c:v>
                </c:pt>
              </c:strCache>
            </c:strRef>
          </c:cat>
          <c:val>
            <c:numRef>
              <c:f>Hoja1!$C$2:$C$9</c:f>
              <c:numCache>
                <c:formatCode>#,##0</c:formatCode>
                <c:ptCount val="8"/>
                <c:pt idx="0">
                  <c:v>34.56</c:v>
                </c:pt>
                <c:pt idx="1">
                  <c:v>42.31</c:v>
                </c:pt>
                <c:pt idx="2">
                  <c:v>17.419999999999987</c:v>
                </c:pt>
                <c:pt idx="3">
                  <c:v>126.13000000000001</c:v>
                </c:pt>
                <c:pt idx="4">
                  <c:v>44.33</c:v>
                </c:pt>
                <c:pt idx="5">
                  <c:v>55.33</c:v>
                </c:pt>
                <c:pt idx="6">
                  <c:v>34.34</c:v>
                </c:pt>
                <c:pt idx="7">
                  <c:v>0.8400000000000034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Data &amp; Analytics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3859</c:v>
                </c:pt>
                <c:pt idx="1">
                  <c:v>3978</c:v>
                </c:pt>
              </c:numCache>
            </c:numRef>
          </c:val>
        </c:ser>
        <c:ser>
          <c:idx val="1"/>
          <c:order val="1"/>
          <c:tx>
            <c:strRef>
              <c:f>Hoja1!$C$1</c:f>
              <c:strCache>
                <c:ptCount val="1"/>
                <c:pt idx="0">
                  <c:v>FTSE Russell</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911</c:v>
                </c:pt>
                <c:pt idx="1">
                  <c:v>954</c:v>
                </c:pt>
              </c:numCache>
            </c:numRef>
          </c:val>
        </c:ser>
        <c:ser>
          <c:idx val="2"/>
          <c:order val="2"/>
          <c:tx>
            <c:strRef>
              <c:f>Hoja1!$D$1</c:f>
              <c:strCache>
                <c:ptCount val="1"/>
                <c:pt idx="0">
                  <c:v>Risk Intelligence</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531</c:v>
                </c:pt>
                <c:pt idx="1">
                  <c:v>579</c:v>
                </c:pt>
              </c:numCache>
            </c:numRef>
          </c:val>
        </c:ser>
        <c:ser>
          <c:idx val="3"/>
          <c:order val="3"/>
          <c:tx>
            <c:strRef>
              <c:f>Hoja1!$E$1</c:f>
              <c:strCache>
                <c:ptCount val="1"/>
                <c:pt idx="0">
                  <c:v>Markets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3180</c:v>
                </c:pt>
                <c:pt idx="1">
                  <c:v>3467</c:v>
                </c:pt>
              </c:numCache>
            </c:numRef>
          </c:val>
        </c:ser>
        <c:ser>
          <c:idx val="4"/>
          <c:order val="4"/>
          <c:tx>
            <c:strRef>
              <c:f>Hoja1!$F$1</c:f>
              <c:strCache>
                <c:ptCount val="1"/>
                <c:pt idx="0">
                  <c:v>Otros</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13</c:v>
                </c:pt>
                <c:pt idx="1">
                  <c:v>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Data &amp; Analytics</c:v>
                </c:pt>
                <c:pt idx="1">
                  <c:v>FTSE Russell</c:v>
                </c:pt>
                <c:pt idx="2">
                  <c:v>Risk Intelligence</c:v>
                </c:pt>
                <c:pt idx="3">
                  <c:v>Markets</c:v>
                </c:pt>
                <c:pt idx="4">
                  <c:v>Otros</c:v>
                </c:pt>
              </c:strCache>
            </c:strRef>
          </c:cat>
          <c:val>
            <c:numRef>
              <c:f>Hoja1!$B$2:$B$6</c:f>
              <c:numCache>
                <c:formatCode>General</c:formatCode>
                <c:ptCount val="5"/>
                <c:pt idx="0">
                  <c:v>44.3</c:v>
                </c:pt>
                <c:pt idx="1">
                  <c:v>10.6</c:v>
                </c:pt>
                <c:pt idx="2">
                  <c:v>6.4</c:v>
                </c:pt>
                <c:pt idx="3">
                  <c:v>38.6</c:v>
                </c:pt>
                <c:pt idx="4">
                  <c:v>0.1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GBP (gasto mundial en datos y análisis de mercados financieros, Burton-Taylor, convertido a 1,3154 USD/GBP))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2019</c:v>
                </c:pt>
                <c:pt idx="1">
                  <c:v>2022</c:v>
                </c:pt>
                <c:pt idx="2">
                  <c:v>2023</c:v>
                </c:pt>
                <c:pt idx="3">
                  <c:v>2025</c:v>
                </c:pt>
                <c:pt idx="4">
                  <c:v>2030e</c:v>
                </c:pt>
              </c:strCache>
            </c:strRef>
          </c:cat>
          <c:val>
            <c:numRef>
              <c:f>Hoja1!$B$2:$B$6</c:f>
              <c:numCache>
                <c:formatCode>#,##0</c:formatCode>
                <c:ptCount val="5"/>
                <c:pt idx="0">
                  <c:v>24327</c:v>
                </c:pt>
                <c:pt idx="1">
                  <c:v>28356</c:v>
                </c:pt>
                <c:pt idx="2">
                  <c:v>31929</c:v>
                </c:pt>
                <c:pt idx="3">
                  <c:v>37403</c:v>
                </c:pt>
                <c:pt idx="4">
                  <c:v>53216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2</c:v>
                </c:pt>
                <c:pt idx="3">
                  <c:v>2</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LSEG</c:v>
                </c:pt>
                <c:pt idx="1">
                  <c:v>Bloomberg</c:v>
                </c:pt>
                <c:pt idx="2">
                  <c:v>S&amp;P Global</c:v>
                </c:pt>
                <c:pt idx="3">
                  <c:v>Intercontinental Exchange</c:v>
                </c:pt>
                <c:pt idx="4">
                  <c:v>MSCI</c:v>
                </c:pt>
                <c:pt idx="5">
                  <c:v>FactSet</c:v>
                </c:pt>
                <c:pt idx="6">
                  <c:v>CME Group</c:v>
                </c:pt>
                <c:pt idx="7">
                  <c:v>Deutsche Börse</c:v>
                </c:pt>
              </c:strCache>
            </c:strRef>
          </c:cat>
          <c:val>
            <c:numRef>
              <c:f>Hoja1!$B$2:$B$9</c:f>
              <c:numCache>
                <c:formatCode>0.0"%"</c:formatCode>
                <c:ptCount val="8"/>
                <c:pt idx="0">
                  <c:v>25.4</c:v>
                </c:pt>
                <c:pt idx="2">
                  <c:v>42.2</c:v>
                </c:pt>
                <c:pt idx="3">
                  <c:v>39</c:v>
                </c:pt>
                <c:pt idx="4">
                  <c:v>54.7</c:v>
                </c:pt>
                <c:pt idx="5">
                  <c:v>32.2</c:v>
                </c:pt>
                <c:pt idx="6">
                  <c:v>64.9</c:v>
                </c:pt>
                <c:pt idx="7">
                  <c:v>50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4</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6211</c:v>
                </c:pt>
                <c:pt idx="1">
                  <c:v>7428</c:v>
                </c:pt>
                <c:pt idx="2">
                  <c:v>8009</c:v>
                </c:pt>
                <c:pt idx="3">
                  <c:v>8494</c:v>
                </c:pt>
                <c:pt idx="4">
                  <c:v>8986</c:v>
                </c:pt>
                <c:pt idx="5">
                  <c:v>9615</c:v>
                </c:pt>
                <c:pt idx="6">
                  <c:v>10240</c:v>
                </c:pt>
                <c:pt idx="7">
                  <c:v>10906</c:v>
                </c:pt>
                <c:pt idx="8">
                  <c:v>11560</c:v>
                </c:pt>
                <c:pt idx="9">
                  <c:v>12138</c:v>
                </c:pt>
                <c:pt idx="10">
                  <c:v>12623</c:v>
                </c:pt>
                <c:pt idx="11">
                  <c:v>13065</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2969</c:v>
                </c:pt>
                <c:pt idx="1">
                  <c:v>3550</c:v>
                </c:pt>
                <c:pt idx="2">
                  <c:v>3777</c:v>
                </c:pt>
                <c:pt idx="3">
                  <c:v>4148</c:v>
                </c:pt>
                <c:pt idx="4">
                  <c:v>4523</c:v>
                </c:pt>
                <c:pt idx="5">
                  <c:v>4923</c:v>
                </c:pt>
                <c:pt idx="6">
                  <c:v>5304</c:v>
                </c:pt>
                <c:pt idx="7">
                  <c:v>5704</c:v>
                </c:pt>
                <c:pt idx="8">
                  <c:v>6092</c:v>
                </c:pt>
                <c:pt idx="9">
                  <c:v>6421</c:v>
                </c:pt>
                <c:pt idx="10">
                  <c:v>6690</c:v>
                </c:pt>
                <c:pt idx="11">
                  <c:v>6925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86.2</c:v>
                </c:pt>
                <c:pt idx="1">
                  <c:v>85.7</c:v>
                </c:pt>
                <c:pt idx="2">
                  <c:v>85.7</c:v>
                </c:pt>
                <c:pt idx="3">
                  <c:v>86.2</c:v>
                </c:pt>
                <c:pt idx="4">
                  <c:v>87.6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47.8</c:v>
                </c:pt>
                <c:pt idx="1">
                  <c:v>47.8</c:v>
                </c:pt>
                <c:pt idx="2">
                  <c:v>47.2</c:v>
                </c:pt>
                <c:pt idx="3">
                  <c:v>48.8</c:v>
                </c:pt>
                <c:pt idx="4">
                  <c:v>50.3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22.5</c:v>
                </c:pt>
                <c:pt idx="1">
                  <c:v>22.2</c:v>
                </c:pt>
                <c:pt idx="2">
                  <c:v>20.4</c:v>
                </c:pt>
                <c:pt idx="3">
                  <c:v>19.6</c:v>
                </c:pt>
                <c:pt idx="4">
                  <c:v>25.4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7.4</c:v>
                </c:pt>
                <c:pt idx="1">
                  <c:v>10.6</c:v>
                </c:pt>
                <c:pt idx="2">
                  <c:v>9.5</c:v>
                </c:pt>
                <c:pt idx="3">
                  <c:v>8.1</c:v>
                </c:pt>
                <c:pt idx="4">
                  <c:v>13.9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4">
                  <c:v>6.8</c:v>
                </c:pt>
                <c:pt idx="5">
                  <c:v>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0">
                  <c:v>7.8</c:v>
                </c:pt>
                <c:pt idx="1">
                  <c:v>7.8</c:v>
                </c:pt>
                <c:pt idx="2">
                  <c:v>6.4</c:v>
                </c:pt>
                <c:pt idx="3">
                  <c:v>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57</c:v>
                </c:pt>
                <c:pt idx="1">
                  <c:v>67</c:v>
                </c:pt>
                <c:pt idx="2">
                  <c:v>93</c:v>
                </c:pt>
                <c:pt idx="3">
                  <c:v>72</c:v>
                </c:pt>
                <c:pt idx="4">
                  <c:v>71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757</c:v>
                </c:pt>
                <c:pt idx="1">
                  <c:v>687</c:v>
                </c:pt>
                <c:pt idx="2">
                  <c:v>605</c:v>
                </c:pt>
                <c:pt idx="3">
                  <c:v>587</c:v>
                </c:pt>
                <c:pt idx="4">
                  <c:v>754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1852</c:v>
                </c:pt>
                <c:pt idx="1">
                  <c:v>1621</c:v>
                </c:pt>
                <c:pt idx="2">
                  <c:v>1702</c:v>
                </c:pt>
                <c:pt idx="3">
                  <c:v>2232</c:v>
                </c:pt>
                <c:pt idx="4">
                  <c:v>2476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462</c:v>
                </c:pt>
                <c:pt idx="1">
                  <c:v>790</c:v>
                </c:pt>
                <c:pt idx="2">
                  <c:v>761</c:v>
                </c:pt>
                <c:pt idx="3">
                  <c:v>685</c:v>
                </c:pt>
                <c:pt idx="4">
                  <c:v>1249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c:v>
                </c:pt>
                <c:pt idx="1">
                  <c:v>4</c:v>
                </c:pt>
                <c:pt idx="2">
                  <c:v>3.9</c:v>
                </c:pt>
                <c:pt idx="3">
                  <c:v>3.8</c:v>
                </c:pt>
                <c:pt idx="4">
                  <c:v>5.7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8.7</c:v>
                </c:pt>
                <c:pt idx="1">
                  <c:v>8.7</c:v>
                </c:pt>
                <c:pt idx="2">
                  <c:v>8.7</c:v>
                </c:pt>
                <c:pt idx="3">
                  <c:v>8.7</c:v>
                </c:pt>
                <c:pt idx="4">
                  <c:v>8.7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c:v>
                </c:pt>
                <c:pt idx="1">
                  <c:v>3.2</c:v>
                </c:pt>
                <c:pt idx="2">
                  <c:v>3.1</c:v>
                </c:pt>
                <c:pt idx="3">
                  <c:v>2.9</c:v>
                </c:pt>
                <c:pt idx="4">
                  <c:v>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1.92</c:v>
                </c:pt>
                <c:pt idx="1">
                  <c:v>1.58</c:v>
                </c:pt>
                <c:pt idx="2">
                  <c:v>1.62</c:v>
                </c:pt>
                <c:pt idx="3">
                  <c:v>1.56</c:v>
                </c:pt>
                <c:pt idx="4">
                  <c:v>1.72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768</c:v>
                </c:pt>
                <c:pt idx="2">
                  <c:v>523</c:v>
                </c:pt>
                <c:pt idx="3">
                  <c:v>1173</c:v>
                </c:pt>
                <c:pt idx="4">
                  <c:v>921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426</c:v>
                </c:pt>
                <c:pt idx="1">
                  <c:v>567</c:v>
                </c:pt>
                <c:pt idx="2">
                  <c:v>611</c:v>
                </c:pt>
                <c:pt idx="3">
                  <c:v>642</c:v>
                </c:pt>
                <c:pt idx="4">
                  <c:v>718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303</c:v>
                </c:pt>
                <c:pt idx="2">
                  <c:v>1207</c:v>
                </c:pt>
                <c:pt idx="3">
                  <c:v>1005</c:v>
                </c:pt>
                <c:pt idx="4">
                  <c:v>2072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Dominical</c:v>
                </c:pt>
              </c:strCache>
            </c:strRef>
          </c:cat>
          <c:val>
            <c:numRef>
              <c:f>Hoja1!$B$2:$B$4</c:f>
              <c:numCache>
                <c:formatCode>0</c:formatCode>
                <c:ptCount val="3"/>
                <c:pt idx="0">
                  <c:v>8</c:v>
                </c:pt>
                <c:pt idx="1">
                  <c:v>2</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Microsoft</c:v>
                </c:pt>
                <c:pt idx="1">
                  <c:v>HSBC (posición de negociación)</c:v>
                </c:pt>
                <c:pt idx="2">
                  <c:v>Elliott Management</c:v>
                </c:pt>
                <c:pt idx="3">
                  <c:v>Autocartera</c:v>
                </c:pt>
              </c:strCache>
            </c:strRef>
          </c:cat>
          <c:val>
            <c:numRef>
              <c:f>Hoja1!$B$2:$B$5</c:f>
              <c:numCache>
                <c:formatCode>0.0"%"</c:formatCode>
                <c:ptCount val="4"/>
                <c:pt idx="0">
                  <c:v>4.2</c:v>
                </c:pt>
                <c:pt idx="1">
                  <c:v>4.48</c:v>
                </c:pt>
                <c:pt idx="3">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6.2</c:v>
                </c:pt>
                <c:pt idx="1">
                  <c:v>30.2</c:v>
                </c:pt>
                <c:pt idx="2">
                  <c:v>7.1</c:v>
                </c:pt>
                <c:pt idx="3">
                  <c:v>90.8</c:v>
                </c:pt>
                <c:pt idx="4">
                  <c:v>16.2</c:v>
                </c:pt>
                <c:pt idx="5">
                  <c:v>-23.1</c:v>
                </c:pt>
                <c:pt idx="6">
                  <c:v>3</c:v>
                </c:pt>
                <c:pt idx="7">
                  <c:v>30</c:v>
                </c:pt>
                <c:pt idx="8">
                  <c:v>21.7</c:v>
                </c:pt>
                <c:pt idx="9">
                  <c:v>-20.7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14.4</c:v>
                </c:pt>
                <c:pt idx="1">
                  <c:v>7.6</c:v>
                </c:pt>
                <c:pt idx="2">
                  <c:v>-12.5</c:v>
                </c:pt>
                <c:pt idx="3">
                  <c:v>12.1</c:v>
                </c:pt>
                <c:pt idx="4">
                  <c:v>-14.3</c:v>
                </c:pt>
                <c:pt idx="5">
                  <c:v>14.3</c:v>
                </c:pt>
                <c:pt idx="6">
                  <c:v>0.9</c:v>
                </c:pt>
                <c:pt idx="7">
                  <c:v>3.8</c:v>
                </c:pt>
                <c:pt idx="8">
                  <c:v>5.7</c:v>
                </c:pt>
                <c:pt idx="9">
                  <c:v>21.5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15.1</c:v>
                </c:pt>
                <c:pt idx="1">
                  <c:v>13.4</c:v>
                </c:pt>
                <c:pt idx="2">
                  <c:v>15.6</c:v>
                </c:pt>
                <c:pt idx="3">
                  <c:v>16.6</c:v>
                </c:pt>
                <c:pt idx="4">
                  <c:v>12.6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14.5</c:v>
                </c:pt>
                <c:pt idx="1">
                  <c:v>14.5</c:v>
                </c:pt>
                <c:pt idx="2">
                  <c:v>14.5</c:v>
                </c:pt>
                <c:pt idx="3">
                  <c:v>14.5</c:v>
                </c:pt>
                <c:pt idx="4">
                  <c:v>14.5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Pt>
            <c:idx val="11"/>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Hoja1!$A$2:$A$13</c:f>
              <c:strCache>
                <c:ptCount val="12"/>
                <c:pt idx="0">
                  <c:v>LSEG</c:v>
                </c:pt>
                <c:pt idx="1">
                  <c:v>S&amp;P Global</c:v>
                </c:pt>
                <c:pt idx="2">
                  <c:v>MSCI</c:v>
                </c:pt>
                <c:pt idx="3">
                  <c:v>Intercontinental Exchange</c:v>
                </c:pt>
                <c:pt idx="4">
                  <c:v>CME Group</c:v>
                </c:pt>
                <c:pt idx="5">
                  <c:v>Nasdaq</c:v>
                </c:pt>
                <c:pt idx="6">
                  <c:v>Verisk Analytics</c:v>
                </c:pt>
                <c:pt idx="7">
                  <c:v>Thomson Reuters</c:v>
                </c:pt>
                <c:pt idx="8">
                  <c:v>FactSet Research Systems</c:v>
                </c:pt>
                <c:pt idx="9">
                  <c:v>Moody's</c:v>
                </c:pt>
                <c:pt idx="10">
                  <c:v>Deutsche Börse</c:v>
                </c:pt>
                <c:pt idx="11">
                  <c:v>Tradeweb Markets</c:v>
                </c:pt>
              </c:strCache>
            </c:strRef>
          </c:cat>
          <c:val>
            <c:numRef>
              <c:f>Hoja1!$B$2:$B$13</c:f>
              <c:numCache>
                <c:formatCode>0.0"x"</c:formatCode>
                <c:ptCount val="12"/>
                <c:pt idx="0">
                  <c:v>12</c:v>
                </c:pt>
                <c:pt idx="1">
                  <c:v>17.2</c:v>
                </c:pt>
                <c:pt idx="2">
                  <c:v>20.2</c:v>
                </c:pt>
                <c:pt idx="3">
                  <c:v>13.8</c:v>
                </c:pt>
                <c:pt idx="4">
                  <c:v>19</c:v>
                </c:pt>
                <c:pt idx="5">
                  <c:v>16.1</c:v>
                </c:pt>
                <c:pt idx="6">
                  <c:v>14.1</c:v>
                </c:pt>
                <c:pt idx="7">
                  <c:v>13.7</c:v>
                </c:pt>
                <c:pt idx="8">
                  <c:v>11.5</c:v>
                </c:pt>
                <c:pt idx="9">
                  <c:v>18.4</c:v>
                </c:pt>
                <c:pt idx="10">
                  <c:v>14.1</c:v>
                </c:pt>
                <c:pt idx="11">
                  <c:v>16.8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LSEG</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7.2</c:v>
                </c:pt>
              </c:numCache>
            </c:numRef>
          </c:xVal>
          <c:yVal>
            <c:numRef>
              <c:f>Hoja1!$C$2</c:f>
              <c:numCache>
                <c:formatCode>0.0"x"</c:formatCode>
                <c:ptCount val="1"/>
                <c:pt idx="0">
                  <c:v>12</c:v>
                </c:pt>
              </c:numCache>
            </c:numRef>
          </c:yVal>
          <c:smooth val="0"/>
        </c:ser>
        <c:ser>
          <c:idx val="1"/>
          <c:order val="1"/>
          <c:tx>
            <c:strRef>
              <c:f>Hoja1!$A$3</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7.6</c:v>
                </c:pt>
              </c:numCache>
            </c:numRef>
          </c:xVal>
          <c:yVal>
            <c:numRef>
              <c:f>Hoja1!$C$3</c:f>
              <c:numCache>
                <c:formatCode>0.0"x"</c:formatCode>
                <c:ptCount val="1"/>
                <c:pt idx="0">
                  <c:v>17.2</c:v>
                </c:pt>
              </c:numCache>
            </c:numRef>
          </c:yVal>
          <c:smooth val="0"/>
        </c:ser>
        <c:ser>
          <c:idx val="2"/>
          <c:order val="2"/>
          <c:tx>
            <c:strRef>
              <c:f>Hoja1!$A$4</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10.2</c:v>
                </c:pt>
              </c:numCache>
            </c:numRef>
          </c:xVal>
          <c:yVal>
            <c:numRef>
              <c:f>Hoja1!$C$4</c:f>
              <c:numCache>
                <c:formatCode>0.0"x"</c:formatCode>
                <c:ptCount val="1"/>
                <c:pt idx="0">
                  <c:v>20.2</c:v>
                </c:pt>
              </c:numCache>
            </c:numRef>
          </c:yVal>
          <c:smooth val="0"/>
        </c:ser>
        <c:ser>
          <c:idx val="3"/>
          <c:order val="3"/>
          <c:tx>
            <c:strRef>
              <c:f>Hoja1!$A$5</c:f>
              <c:strCache>
                <c:ptCount val="1"/>
                <c:pt idx="0">
                  <c:v>Intercontinental Exchange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8.1</c:v>
                </c:pt>
              </c:numCache>
            </c:numRef>
          </c:xVal>
          <c:yVal>
            <c:numRef>
              <c:f>Hoja1!$C$5</c:f>
              <c:numCache>
                <c:formatCode>0.0"x"</c:formatCode>
                <c:ptCount val="1"/>
                <c:pt idx="0">
                  <c:v>13.8</c:v>
                </c:pt>
              </c:numCache>
            </c:numRef>
          </c:yVal>
          <c:smooth val="0"/>
        </c:ser>
        <c:ser>
          <c:idx val="4"/>
          <c:order val="4"/>
          <c:tx>
            <c:strRef>
              <c:f>Hoja1!$A$6</c:f>
              <c:strCache>
                <c:ptCount val="1"/>
                <c:pt idx="0">
                  <c:v>CME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5.9</c:v>
                </c:pt>
              </c:numCache>
            </c:numRef>
          </c:xVal>
          <c:yVal>
            <c:numRef>
              <c:f>Hoja1!$C$6</c:f>
              <c:numCache>
                <c:formatCode>0.0"x"</c:formatCode>
                <c:ptCount val="1"/>
                <c:pt idx="0">
                  <c:v>19</c:v>
                </c:pt>
              </c:numCache>
            </c:numRef>
          </c:yVal>
          <c:smooth val="0"/>
        </c:ser>
        <c:ser>
          <c:idx val="5"/>
          <c:order val="5"/>
          <c:tx>
            <c:strRef>
              <c:f>Hoja1!$A$7</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10.1</c:v>
                </c:pt>
              </c:numCache>
            </c:numRef>
          </c:xVal>
          <c:yVal>
            <c:numRef>
              <c:f>Hoja1!$C$7</c:f>
              <c:numCache>
                <c:formatCode>0.0"x"</c:formatCode>
                <c:ptCount val="1"/>
                <c:pt idx="0">
                  <c:v>16.1</c:v>
                </c:pt>
              </c:numCache>
            </c:numRef>
          </c:yVal>
          <c:smooth val="0"/>
        </c:ser>
        <c:ser>
          <c:idx val="6"/>
          <c:order val="6"/>
          <c:tx>
            <c:strRef>
              <c:f>Hoja1!$A$8</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6.1</c:v>
                </c:pt>
              </c:numCache>
            </c:numRef>
          </c:xVal>
          <c:yVal>
            <c:numRef>
              <c:f>Hoja1!$C$8</c:f>
              <c:numCache>
                <c:formatCode>0.0"x"</c:formatCode>
                <c:ptCount val="1"/>
                <c:pt idx="0">
                  <c:v>14.1</c:v>
                </c:pt>
              </c:numCache>
            </c:numRef>
          </c:yVal>
          <c:smooth val="0"/>
        </c:ser>
        <c:ser>
          <c:idx val="7"/>
          <c:order val="7"/>
          <c:tx>
            <c:strRef>
              <c:f>Hoja1!$A$9</c:f>
              <c:strCache>
                <c:ptCount val="1"/>
                <c:pt idx="0">
                  <c:v>Thomson Reuters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8.2</c:v>
                </c:pt>
              </c:numCache>
            </c:numRef>
          </c:xVal>
          <c:yVal>
            <c:numRef>
              <c:f>Hoja1!$C$9</c:f>
              <c:numCache>
                <c:formatCode>0.0"x"</c:formatCode>
                <c:ptCount val="1"/>
                <c:pt idx="0">
                  <c:v>13.7</c:v>
                </c:pt>
              </c:numCache>
            </c:numRef>
          </c:yVal>
          <c:smooth val="0"/>
        </c:ser>
        <c:ser>
          <c:idx val="8"/>
          <c:order val="8"/>
          <c:tx>
            <c:strRef>
              <c:f>Hoja1!$A$10</c:f>
              <c:strCache>
                <c:ptCount val="1"/>
                <c:pt idx="0">
                  <c:v>FactSet Research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6.3</c:v>
                </c:pt>
              </c:numCache>
            </c:numRef>
          </c:xVal>
          <c:yVal>
            <c:numRef>
              <c:f>Hoja1!$C$10</c:f>
              <c:numCache>
                <c:formatCode>0.0"x"</c:formatCode>
                <c:ptCount val="1"/>
                <c:pt idx="0">
                  <c:v>11.5</c:v>
                </c:pt>
              </c:numCache>
            </c:numRef>
          </c:yVal>
          <c:smooth val="0"/>
        </c:ser>
        <c:ser>
          <c:idx val="9"/>
          <c:order val="9"/>
          <c:tx>
            <c:strRef>
              <c:f>Hoja1!$A$11</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7.3</c:v>
                </c:pt>
              </c:numCache>
            </c:numRef>
          </c:xVal>
          <c:yVal>
            <c:numRef>
              <c:f>Hoja1!$C$11</c:f>
              <c:numCache>
                <c:formatCode>0.0"x"</c:formatCode>
                <c:ptCount val="1"/>
                <c:pt idx="0">
                  <c:v>18.4</c:v>
                </c:pt>
              </c:numCache>
            </c:numRef>
          </c:yVal>
          <c:smooth val="0"/>
        </c:ser>
        <c:ser>
          <c:idx val="10"/>
          <c:order val="10"/>
          <c:tx>
            <c:strRef>
              <c:f>Hoja1!$A$12</c:f>
              <c:strCache>
                <c:ptCount val="1"/>
                <c:pt idx="0">
                  <c:v>Deutsche Börse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Hoja1!$B$12</c:f>
              <c:numCache>
                <c:formatCode>0"%"</c:formatCode>
                <c:ptCount val="1"/>
                <c:pt idx="0">
                  <c:v>7</c:v>
                </c:pt>
              </c:numCache>
            </c:numRef>
          </c:xVal>
          <c:yVal>
            <c:numRef>
              <c:f>Hoja1!$C$12</c:f>
              <c:numCache>
                <c:formatCode>0.0"x"</c:formatCode>
                <c:ptCount val="1"/>
                <c:pt idx="0">
                  <c:v>14.1</c:v>
                </c:pt>
              </c:numCache>
            </c:numRef>
          </c:yVal>
          <c:smooth val="0"/>
        </c:ser>
        <c:ser>
          <c:idx val="11"/>
          <c:order val="11"/>
          <c:tx>
            <c:strRef>
              <c:f>Hoja1!$A$13</c:f>
              <c:strCache>
                <c:ptCount val="1"/>
                <c:pt idx="0">
                  <c:v>Tradeweb Markets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Hoja1!$B$13</c:f>
              <c:numCache>
                <c:formatCode>0"%"</c:formatCode>
                <c:ptCount val="1"/>
                <c:pt idx="0">
                  <c:v>13.3</c:v>
                </c:pt>
              </c:numCache>
            </c:numRef>
          </c:xVal>
          <c:yVal>
            <c:numRef>
              <c:f>Hoja1!$C$13</c:f>
              <c:numCache>
                <c:formatCode>0.0"x"</c:formatCode>
                <c:ptCount val="1"/>
                <c:pt idx="0">
                  <c:v>16.8</c:v>
                </c:pt>
              </c:numCache>
            </c:numRef>
          </c:yVal>
          <c:smooth val="0"/>
        </c:ser>
        <c:axId val="10"/>
        <c:axId val="20"/>
      </c:scatterChart>
      <c:valAx>
        <c:axId val="10"/>
        <c:scaling>
          <c:orientation val="minMax"/>
          <c:max val="16"/>
          <c:min val="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9"/>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MarketAxess Holdings</c:v>
                </c:pt>
                <c:pt idx="1">
                  <c:v>With Intelligence</c:v>
                </c:pt>
                <c:pt idx="2">
                  <c:v>Preqin</c:v>
                </c:pt>
                <c:pt idx="3">
                  <c:v>Adenza</c:v>
                </c:pt>
                <c:pt idx="4">
                  <c:v>IHS Markit</c:v>
                </c:pt>
                <c:pt idx="5">
                  <c:v>Refinitiv</c:v>
                </c:pt>
                <c:pt idx="6">
                  <c:v>Black Knight</c:v>
                </c:pt>
              </c:strCache>
            </c:strRef>
          </c:cat>
          <c:val>
            <c:numRef>
              <c:f>Hoja1!$B$2:$B$8</c:f>
              <c:numCache>
                <c:formatCode>0.0"x"</c:formatCode>
                <c:ptCount val="7"/>
                <c:pt idx="0">
                  <c:v>13</c:v>
                </c:pt>
                <c:pt idx="3">
                  <c:v>30.7</c:v>
                </c:pt>
                <c:pt idx="4">
                  <c:v>24</c:v>
                </c:pt>
                <c:pt idx="5">
                  <c:v>13.1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3012</c:v>
                </c:pt>
                <c:pt idx="1">
                  <c:v>3302</c:v>
                </c:pt>
                <c:pt idx="2">
                  <c:v>3597</c:v>
                </c:pt>
                <c:pt idx="3">
                  <c:v>3882</c:v>
                </c:pt>
                <c:pt idx="4">
                  <c:v>4182</c:v>
                </c:pt>
                <c:pt idx="5">
                  <c:v>4332</c:v>
                </c:pt>
                <c:pt idx="6">
                  <c:v>4461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18724</c:v>
                </c:pt>
                <c:pt idx="1">
                  <c:v>48210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83,98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49.89</c:v>
                </c:pt>
                <c:pt idx="1">
                  <c:v>90.88</c:v>
                </c:pt>
                <c:pt idx="2">
                  <c:v>105.22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83,98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(66,84 – 101,40)</c:v>
                </c:pt>
                <c:pt idx="1">
                  <c:v>Comparables: EV/EBITDA NTM (105,38 – 147,69)</c:v>
                </c:pt>
                <c:pt idx="2">
                  <c:v>Comparables: PER NTM (118,43 – 135,85)</c:v>
                </c:pt>
                <c:pt idx="3">
                  <c:v>Transacciones precedentes (EV/EBITDA) (82,96 – 209,09)</c:v>
                </c:pt>
                <c:pt idx="4">
                  <c:v>DCF (WACC y g ± 0,5) (72,59 – 116,92)</c:v>
                </c:pt>
                <c:pt idx="5">
                  <c:v>Escenarios (bajista – alcista) (49,89 – 105,22)</c:v>
                </c:pt>
                <c:pt idx="6">
                  <c:v>DCF con la prima implícita del mercado (4,2 %)</c:v>
                </c:pt>
                <c:pt idx="7">
                  <c:v>Precio actual (83,98)</c:v>
                </c:pt>
              </c:strCache>
            </c:strRef>
          </c:cat>
          <c:val>
            <c:numRef>
              <c:f>Hoja1!$B$2:$B$9</c:f>
              <c:numCache>
                <c:formatCode>#,##0</c:formatCode>
                <c:ptCount val="8"/>
                <c:pt idx="0">
                  <c:v>66.84</c:v>
                </c:pt>
                <c:pt idx="1">
                  <c:v>105.38</c:v>
                </c:pt>
                <c:pt idx="2">
                  <c:v>118.43</c:v>
                </c:pt>
                <c:pt idx="3">
                  <c:v>82.96</c:v>
                </c:pt>
                <c:pt idx="4">
                  <c:v>72.59</c:v>
                </c:pt>
                <c:pt idx="5">
                  <c:v>49.89</c:v>
                </c:pt>
                <c:pt idx="6">
                  <c:v>100.32</c:v>
                </c:pt>
                <c:pt idx="7">
                  <c:v>83.56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(66,84 – 101,40)</c:v>
                </c:pt>
                <c:pt idx="1">
                  <c:v>Comparables: EV/EBITDA NTM (105,38 – 147,69)</c:v>
                </c:pt>
                <c:pt idx="2">
                  <c:v>Comparables: PER NTM (118,43 – 135,85)</c:v>
                </c:pt>
                <c:pt idx="3">
                  <c:v>Transacciones precedentes (EV/EBITDA) (82,96 – 209,09)</c:v>
                </c:pt>
                <c:pt idx="4">
                  <c:v>DCF (WACC y g ± 0,5) (72,59 – 116,92)</c:v>
                </c:pt>
                <c:pt idx="5">
                  <c:v>Escenarios (bajista – alcista) (49,89 – 105,22)</c:v>
                </c:pt>
                <c:pt idx="6">
                  <c:v>DCF con la prima implícita del mercado (4,2 %)</c:v>
                </c:pt>
                <c:pt idx="7">
                  <c:v>Precio actual (83,98)</c:v>
                </c:pt>
              </c:strCache>
            </c:strRef>
          </c:cat>
          <c:val>
            <c:numRef>
              <c:f>Hoja1!$C$2:$C$9</c:f>
              <c:numCache>
                <c:formatCode>#,##0</c:formatCode>
                <c:ptCount val="8"/>
                <c:pt idx="0">
                  <c:v>34.56</c:v>
                </c:pt>
                <c:pt idx="1">
                  <c:v>42.31</c:v>
                </c:pt>
                <c:pt idx="2">
                  <c:v>17.419999999999987</c:v>
                </c:pt>
                <c:pt idx="3">
                  <c:v>126.13000000000001</c:v>
                </c:pt>
                <c:pt idx="4">
                  <c:v>44.33</c:v>
                </c:pt>
                <c:pt idx="5">
                  <c:v>55.33</c:v>
                </c:pt>
                <c:pt idx="6">
                  <c:v>34.34</c:v>
                </c:pt>
                <c:pt idx="7">
                  <c:v>0.8400000000000034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