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Commvault Systems, Inc.</w:t>
      </w:r>
    </w:p>
    <w:p>
      <w:pPr>
        <w:spacing w:after="60"/>
        <w:rPr>
          <w:color w:val="52514E"/>
          <w:sz w:val="22"/>
          <w:szCs w:val="22"/>
        </w:rPr>
      </w:pPr>
      <w:r>
        <w:rPr>
          <w:color w:val="52514E"/>
          <w:sz w:val="22"/>
          <w:szCs w:val="22"/>
        </w:rPr>
        <w:t xml:space="preserve">CVLT · Nasdaq Global Select · ISIN US2041661024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155,85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178,45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+14,5 % (base +19,6 %)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84,03 USD · mercado 97,97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6.530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Commvault Systems,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CVLT / US2041661024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MidCap 400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 de sistemas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Tinton Falls (Nueva Jersey) · 1996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https://www.commvault.com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155,85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71,75 – 175,03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6.530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6.487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84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178,45 USD</w:t>
      </w:r>
      <w:r>
        <w:t xml:space="preserve"> frente a 155,85 · Rentabilidad a 12 meses </w:t>
      </w:r>
      <w:r>
        <w:rPr>
          <w:b/>
          <w:bCs/>
        </w:rPr>
        <w:t xml:space="preserve">+14,5 % (base +19,6 %)</w:t>
      </w:r>
      <w:r>
        <w:t xml:space="preserve"> · Valor intrínseco 84,03 USD · con la prima implícita del mercado: 97,97 (-37,1 %) · Alcista / bajista -33,1 % / -70,8 %</w:t>
      </w:r>
    </w:p>
    <w:p>
      <w:pPr>
        <w:spacing w:after="100"/>
      </w:pPr>
      <w:r>
        <w:rPr>
          <w:b/>
        </w:rPr>
        <w:t xml:space="preserve">La recomendación y por qué.</w:t>
      </w:r>
      <w:r>
        <w:t xml:space="preserve"> Mantener, con convicción media: las dos reglas coinciden y el precio está lejos de los umbrales (comprar por debajo de 84,03 USD, vender por encima de 198,28); la convicción subiría con una oferta de compra en firme o un 2T FY2027 con el ARR de SaaS por encima del 35 %, y la bajaría un ARR de suscripción por debajo del 15 % o el fin del proceso de venta. El objetivo a 12 meses es de 178,45 USD (nuestro BPA limpio de FY2028e × el PER de la regla común), un +14,5 % ponderado y un +19,6 % en el caso base frente a un precio de 155,85 USD (cierre del 20-oct-2026; 162,34 USD en la sesión del 21-oct a las 14:43 UTC). Pero el valor intrínseco es de 84,03 USD, un 46 % por debajo: no se compraría aunque la ponderada llegase al 15 %. La razón principal: el mercado valora el flujo libre de Commvault (258,5 M USD) sin restar la remuneración en acciones (≈ 10 % de las ventas), que la empresa compensa recomprando acciones; con ella como gasto, el beneficio por acción de los próximos 12 meses es de ≈ 3 USD y el PER, de 52 veces. La rentabilidad a 12 meses sale positiva solo porque el PER histórico en esa base es aún más alto.</w:t>
      </w:r>
    </w:p>
    <w:p>
      <w:pPr>
        <w:spacing w:after="100"/>
      </w:pPr>
      <w:r>
        <w:rPr>
          <w:b/>
        </w:rPr>
        <w:t xml:space="preserve">El negocio.</w:t>
      </w:r>
      <w:r>
        <w:t xml:space="preserve"> Software de copia de seguridad, recuperación y ciberresiliencia para grandes empresas, con 1.183,7 M USD de ventas en FY2026 (+18,9 %), ARR de suscripción de 1.054 M (+22 %) y de SaaS de 424 M (+38 %) [1, 2]. Líder del cuadrante de Gartner con Veeam, Cohesity y Rubrik [12], pero Rubrik ya le supera en ARR (1.660 M, +33 %) [13]. Calidad: ROIC exigente del 17,8 %, ≈ +7 puntos sobre el WACC (pasa) y sostenibilidad del crecimiento «Sí» (8,3 % anual proyectado, cuota a la baja).</w:t>
      </w:r>
    </w:p>
    <w:p>
      <w:pPr>
        <w:spacing w:after="100"/>
      </w:pPr>
      <w:r>
        <w:rPr>
          <w:b/>
        </w:rPr>
        <w:t xml:space="preserve">Finanzas.</w:t>
      </w:r>
      <w:r>
        <w:t xml:space="preserve"> El paso a suscripción dejó las ventas planas en FY2020-FY2024 y las aceleró después. El margen operativo no GAAP es ≈ 20-21 %, pero el GAAP solo del 6 % porque la remuneración en acciones (123,4 M) y la reestructuración (32,2 M) se llevan casi todo [1]. Caja de 929,8 M frente a un convertible de 900 M al 0 % (2030); patrimonio de 7,5 M tras recompras de 446 M en FY2026.</w:t>
      </w:r>
    </w:p>
    <w:p>
      <w:pPr>
        <w:spacing w:after="100"/>
      </w:pPr>
      <w:r>
        <w:rPr>
          <w:b/>
        </w:rPr>
        <w:t xml:space="preserve">Equipo y gobierno.</w:t>
      </w:r>
      <w:r>
        <w:t xml:space="preserve"> Sanjay Mirchandani, consejero delegado desde 2019, hizo la transición a suscripción; el director financiero cambió en abril de 2026. Remuneración del consejero delegado de 19,9 M USD (94 % a favor en la junta) [16, 17]. Ventas de directivos de 18,0 M en 12 meses, sin compras [21].</w:t>
      </w:r>
    </w:p>
    <w:p>
      <w:pPr>
        <w:spacing w:after="100"/>
      </w:pPr>
      <w:r>
        <w:rPr>
          <w:b/>
        </w:rPr>
        <w:t xml:space="preserve">Valoración.</w:t>
      </w:r>
      <w:r>
        <w:t xml:space="preserve"> El DCF da 79,81 USD (−49 %); el DCF inverso dice que el precio descuenta un crecimiento del 16,5 % anual durante ocho años, el doble del nuestro. Con la prima del mercado el DCF sube a 97,56 USD. La regla a 12 meses lleva el PER de 52 a 57,2 veces porque la mediana de cinco años (67,2) está inflada por años de beneficio limpio deprimido; el bajista (PER de 29,3 sobre un BPA un 26 % menor) vale 70,91 USD (−55 %).</w:t>
      </w:r>
    </w:p>
    <w:p>
      <w:pPr>
        <w:spacing w:after="100"/>
      </w:pPr>
      <w:r>
        <w:rPr>
          <w:b/>
        </w:rPr>
        <w:t xml:space="preserve">Riesgos y catalizadores.</w:t>
      </w:r>
      <w:r>
        <w:t xml:space="preserve"> La competencia es el mayor riesgo: Rubrik, Veeam y Cohesity-Veritas pelean las mismas renovaciones con SaaS. La demanda por ransomware ayuda a todos. Riesgo de IA mixto: más datos que proteger y más ataques, pero copia más automática en las nubes y presión de precio. Los resultados del 2T FY2027 (27-oct-2026) son el próximo catalizador: las tres últimas presentaciones movieron la acción −16 %, −31 % y −20 % en un día. La posible venta de la empresa (Goldman Sachs, interés de Thoma Bravo, abril de 2026) es el alcista que el precio ya recoge en parte.</w:t>
      </w:r>
    </w:p>
    <w:p>
      <w:pPr>
        <w:spacing w:after="100"/>
      </w:pPr>
      <w:r>
        <w:rPr>
          <w:b/>
        </w:rPr>
        <w:t xml:space="preserve">Qué cambiaría la decisión.</w:t>
      </w:r>
      <w:r>
        <w:t xml:space="preserve"> Comprar exigiría un precio por debajo de 84,03 USD (el valor intrínseco), además de ponderada ≥ 15 %; vender, uno por encima de 198,28 USD. Una oferta de compra en firme o una bajada clara de la remuneración en acciones mejorarían la tesis; un ARR de suscripción creciendo menos del 15 % la empeoraría.</w:t>
      </w:r>
    </w:p>
    <w:p>
      <w:r>
        <w:br w:type="page"/>
      </w:r>
    </w:p>
    <w:p>
      <w:pPr>
        <w:pStyle w:val="Heading1"/>
      </w:pPr>
      <w:r>
        <w:t xml:space="preserve">Resumen ejecutivo</w:t>
      </w:r>
    </w:p>
    <w:p>
      <w:pPr>
        <w:spacing w:after="100"/>
      </w:pPr>
      <w:r>
        <w:rPr>
          <w:b/>
          <w:bCs/>
        </w:rPr>
        <w:t xml:space="preserve">Recomendación: Mantener</w:t>
      </w:r>
      <w:r>
        <w:t xml:space="preserve"> · Convicción: Media · Horizonte: 12 meses · Objetivo a 12 meses: </w:t>
      </w:r>
      <w:r>
        <w:rPr>
          <w:b/>
          <w:bCs/>
        </w:rPr>
        <w:t xml:space="preserve">178,45 USD</w:t>
      </w:r>
      <w:r>
        <w:t xml:space="preserve"> (rentabilidad +14,5 % (base +19,6 %)) · Valor intrínseco: 84,03 USD (-46,1 % sobre 155,85) · con la prima implícita del mercado: 97,97 (-37,1 %)</w:t>
      </w:r>
    </w:p>
    <w:p>
      <w:pPr>
        <w:spacing w:after="100"/>
      </w:pPr>
      <w:r>
        <w:t xml:space="preserve">Commvault es un buen negocio de capital casi nulo (los clientes pagan por adelantado) que ha hecho bien el paso a suscripción y SaaS y que vende algo que la ola de ransomware hace imprescindible: poder recuperar los datos limpios. Pero no es barato. Gana un 20 % de margen operativo en la cuenta de la empresa y solo un 6-7 % cuando la remuneración en acciones cuenta como gasto, y el precio descuenta un crecimiento del 16,5 % anual durante ocho años en un mercado que crece al 10 % y donde Rubrik crece al 38 %.</w:t>
      </w:r>
    </w:p>
    <w:p>
      <w:pPr>
        <w:spacing w:after="100"/>
      </w:pPr>
      <w:r>
        <w:t xml:space="preserve">La rentabilidad a 12 meses de la regla (+14,5 %) se apoya en un PER histórico alto en base limpia, no en un descuento: el valor intrínseco (84 USD) está un 46 % por debajo del precio. Lo que sostiene el precio es el flujo libre que el mercado mira sin restar la remuneración en acciones y la posibilidad de una venta a un fondo con prima.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 × 2,42 = 70,91 · 57,2x × 3,26 = 186,47 · 70,3x × 3,84 = 269,95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 / 19,6 %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163,49 (nuestro base +14,1 %)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84,03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-33,1 % / -70,8 %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 frente a 10,6 % y 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97,97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(FY2027e-FY2034e)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 frente a 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(8,3 %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84,03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84,03 y 198,28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198,28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84,03 USD (valor intrínseco) con ponderada ≥ 15 %: Comprar.</w:t>
      </w:r>
    </w:p>
    <w:p>
      <w:pPr>
        <w:pStyle w:val="ListParagraph"/>
        <w:numPr>
          <w:ilvl w:val="0"/>
          <w:numId w:val="2"/>
        </w:numPr>
        <w:spacing w:after="60"/>
      </w:pPr>
      <w:r>
        <w:t xml:space="preserve">Precio por encima de 198,28 USD: Vender.</w:t>
      </w:r>
    </w:p>
    <w:p>
      <w:pPr>
        <w:pStyle w:val="ListParagraph"/>
        <w:numPr>
          <w:ilvl w:val="0"/>
          <w:numId w:val="2"/>
        </w:numPr>
        <w:spacing w:after="60"/>
      </w:pPr>
      <w:r>
        <w:t xml:space="preserve">Oferta de compra en firme: revisar con el precio de la oferta.</w:t>
      </w:r>
    </w:p>
    <w:p>
      <w:pPr>
        <w:pStyle w:val="ListParagraph"/>
        <w:numPr>
          <w:ilvl w:val="0"/>
          <w:numId w:val="2"/>
        </w:numPr>
        <w:spacing w:after="60"/>
      </w:pPr>
      <w:r>
        <w:t xml:space="preserve">Remuneración en acciones bajo el 7 % de las ventas con margen no GAAP ≥ 23 %: revisar al alza.</w:t>
      </w:r>
    </w:p>
    <w:p>
      <w:pPr>
        <w:pStyle w:val="ListParagraph"/>
        <w:numPr>
          <w:ilvl w:val="0"/>
          <w:numId w:val="2"/>
        </w:numPr>
        <w:spacing w:after="60"/>
      </w:pPr>
      <w:r>
        <w:t xml:space="preserve">ARR de suscripción creciendo menos del 15 % o retención neta bajo el 110 %: revisar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Commvault vale por su flujo libre (≈ 4 % de rentabilidad) y su BPA no GAAP (28,5 veces el de FY2027e), que el SaaS mantiene un crecimiento del 10-11 % y que hay un comprador posible; los analistas esperan 163,49 USD.</w:t>
      </w:r>
    </w:p>
    <w:p>
      <w:pPr>
        <w:keepNext/>
        <w:spacing w:after="100"/>
      </w:pPr>
      <w:r>
        <w:rPr>
          <w:b/>
          <w:bCs/>
        </w:rPr>
        <w:t xml:space="preserve">Lo que creemos nosotros.</w:t>
      </w:r>
    </w:p>
    <w:p>
      <w:pPr>
        <w:spacing w:after="100"/>
      </w:pPr>
      <w:r>
        <w:t xml:space="preserve">La remuneración en acciones es un coste real (la empresa gasta ≈ 60 % del flujo libre en compensarla): con ella, el PER es de 52 veces y el DCF vale la mitad del precio. La competencia de Rubrik y Veeam limita el margen y el crecimiento.</w:t>
      </w:r>
    </w:p>
    <w:p>
      <w:pPr>
        <w:keepNext/>
        <w:spacing w:after="100"/>
      </w:pPr>
      <w:r>
        <w:rPr>
          <w:b/>
          <w:bCs/>
        </w:rPr>
        <w:t xml:space="preserve">Por qué podemos tener razón.</w:t>
      </w:r>
    </w:p>
    <w:p>
      <w:pPr>
        <w:spacing w:after="100"/>
      </w:pPr>
      <w:r>
        <w:t xml:space="preserve">El beneficio limpio lleva tres años plano (74-80 M de resultado operativo) aunque las ventas subieron un 41 %: la mejora del margen no GAAP se la han comido la remuneración en acciones y la reestructuración.</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55,8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Capital casi nulo</w:t>
      </w:r>
      <w:r>
        <w:t xml:space="preserve">: los clientes pagan por adelantado (circulante del −37 % de las ventas); ROIC exigente del 17,8 %.</w:t>
      </w:r>
    </w:p>
    <w:p>
      <w:pPr>
        <w:pStyle w:val="ListParagraph"/>
        <w:numPr>
          <w:ilvl w:val="0"/>
          <w:numId w:val="2"/>
        </w:numPr>
        <w:spacing w:after="60"/>
      </w:pPr>
      <w:r>
        <w:rPr>
          <w:b/>
        </w:rPr>
        <w:t xml:space="preserve">Transición hecha</w:t>
      </w:r>
      <w:r>
        <w:t xml:space="preserve">: ARR de suscripción +22 % y de SaaS +38 %; retención neta del 114 %.</w:t>
      </w:r>
    </w:p>
    <w:p>
      <w:pPr>
        <w:pStyle w:val="ListParagraph"/>
        <w:numPr>
          <w:ilvl w:val="0"/>
          <w:numId w:val="2"/>
        </w:numPr>
        <w:spacing w:after="60"/>
      </w:pPr>
      <w:r>
        <w:rPr>
          <w:b/>
        </w:rPr>
        <w:t xml:space="preserve">Ransomware</w:t>
      </w:r>
      <w:r>
        <w:t xml:space="preserve">: la recuperación de datos limpios es una prioridad de los consejos; líder en Gartner.</w:t>
      </w:r>
    </w:p>
    <w:p>
      <w:pPr>
        <w:pStyle w:val="ListParagraph"/>
        <w:numPr>
          <w:ilvl w:val="0"/>
          <w:numId w:val="2"/>
        </w:numPr>
        <w:spacing w:after="60"/>
      </w:pPr>
      <w:r>
        <w:rPr>
          <w:b/>
        </w:rPr>
        <w:t xml:space="preserve">Posible venta</w:t>
      </w:r>
      <w:r>
        <w:t xml:space="preserve">: exploración con Goldman Sachs e interés de Thoma Bravo (Reuters, abril de 2026).</w:t>
      </w:r>
    </w:p>
    <w:p>
      <w:pPr>
        <w:pStyle w:val="ListParagraph"/>
        <w:numPr>
          <w:ilvl w:val="0"/>
          <w:numId w:val="2"/>
        </w:numPr>
        <w:spacing w:after="60"/>
      </w:pPr>
      <w:r>
        <w:rPr>
          <w:b/>
        </w:rPr>
        <w:t xml:space="preserve">Balance</w:t>
      </w:r>
      <w:r>
        <w:t xml:space="preserve">: caja de 929,8 M frente a un convertible de 900 M al 0 % hasta 2030.</w:t>
      </w:r>
    </w:p>
    <w:p>
      <w:pPr>
        <w:pStyle w:val="Heading2"/>
      </w:pPr>
      <w:r>
        <w:t xml:space="preserve">En contra</w:t>
      </w:r>
    </w:p>
    <w:p>
      <w:pPr>
        <w:pStyle w:val="ListParagraph"/>
        <w:numPr>
          <w:ilvl w:val="0"/>
          <w:numId w:val="2"/>
        </w:numPr>
        <w:spacing w:after="60"/>
      </w:pPr>
      <w:r>
        <w:rPr>
          <w:b/>
        </w:rPr>
        <w:t xml:space="preserve">Caro en base limpia</w:t>
      </w:r>
      <w:r>
        <w:t xml:space="preserve">: PER de 52 veces el BPA con la remuneración en acciones; DCF de 79,81 USD (−49 %).</w:t>
      </w:r>
    </w:p>
    <w:p>
      <w:pPr>
        <w:pStyle w:val="ListParagraph"/>
        <w:numPr>
          <w:ilvl w:val="0"/>
          <w:numId w:val="2"/>
        </w:numPr>
        <w:spacing w:after="60"/>
      </w:pPr>
      <w:r>
        <w:rPr>
          <w:b/>
        </w:rPr>
        <w:t xml:space="preserve">Rubrik</w:t>
      </w:r>
      <w:r>
        <w:t xml:space="preserve">: crece al 38 % y ya le supera en ARR (1.660 M frente a 1.054 M).</w:t>
      </w:r>
    </w:p>
    <w:p>
      <w:pPr>
        <w:pStyle w:val="ListParagraph"/>
        <w:numPr>
          <w:ilvl w:val="0"/>
          <w:numId w:val="2"/>
        </w:numPr>
        <w:spacing w:after="60"/>
      </w:pPr>
      <w:r>
        <w:rPr>
          <w:b/>
        </w:rPr>
        <w:t xml:space="preserve">Remuneración en acciones</w:t>
      </w:r>
      <w:r>
        <w:t xml:space="preserve">: 10,4 % de las ventas; 172,4 M por reconocer.</w:t>
      </w:r>
    </w:p>
    <w:p>
      <w:pPr>
        <w:pStyle w:val="ListParagraph"/>
        <w:numPr>
          <w:ilvl w:val="0"/>
          <w:numId w:val="2"/>
        </w:numPr>
        <w:spacing w:after="60"/>
      </w:pPr>
      <w:r>
        <w:rPr>
          <w:b/>
        </w:rPr>
        <w:t xml:space="preserve">Ejecución</w:t>
      </w:r>
      <w:r>
        <w:t xml:space="preserve">: caídas de −16 %, −31 % y −20 % en un día tras tres de los cuatro últimos resultados; demandas colectivas.</w:t>
      </w:r>
    </w:p>
    <w:p>
      <w:pPr>
        <w:pStyle w:val="ListParagraph"/>
        <w:numPr>
          <w:ilvl w:val="0"/>
          <w:numId w:val="2"/>
        </w:numPr>
        <w:spacing w:after="60"/>
      </w:pPr>
      <w:r>
        <w:rPr>
          <w:b/>
        </w:rPr>
        <w:t xml:space="preserve">Directivos vendedores</w:t>
      </w:r>
      <w:r>
        <w:t xml:space="preserve">: 18,0 M USD vendidos en 12 meses, sin compras.</w:t>
      </w:r>
    </w:p>
    <w:p>
      <w:pPr>
        <w:pStyle w:val="Heading2"/>
      </w:pPr>
      <w:r>
        <w:t xml:space="preserve">Qué tiene que pasar para que la tesis funcione</w:t>
      </w:r>
    </w:p>
    <w:p>
      <w:pPr>
        <w:spacing w:after="100"/>
      </w:pPr>
      <w:r>
        <w:t xml:space="preserve">La tesis depende de que el SaaS siga creciendo por encima del 30 % sin perder renovaciones frente a Rubrik y Veeam y de que la remuneración en acciones baje como peso de las ventas. La señal en contra sería un ARR de suscripción creciendo menos del 15 %, la retención neta por debajo del 110 % o el fin del proceso de venta sin oferta.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de suscripción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1.054,3 M (+22 %)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transición sigue creciendo.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de SaaS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424,3 M (+38 %)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campo de batalla con Rubrik.</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Poder de precio y pérdida de clientes.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diferencia entre el BPA limpio y el no GAAP.</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libre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258,5 M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250 M en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de 250-260 M.</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70,1x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99,9x / 26,5x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(FY2019-FY2026)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 · -0,3x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Commvault nace en 1988 como grupo de desarrollo de Bell Labs (AT&amp;T), se independiza en 1996 con capital de Warburg Pincus y sale a bolsa en el Nasdaq en 2006 [1]. Durante dos décadas vendió licencias perpetuas de su software de copias de seguridad a grandes empresas. En 2018 Elliott entró en el capital y forzó un plan de márgenes; en 2019 llegó Sanjay Mirchandani como consejero delegado, lanzó Metallic (copia de seguridad como servicio en Azure) y compró Hedvig (almacenamiento definido por software) [1]. Entre FY2020 y FY2024 hizo el paso de licencias a suscripción y SaaS; desde 2024 compró Appranix (recuperación en la nube) y Satori Cyber (seguridad de datos) y se vende como plataforma de «ciberresiliencia» [1, 2]. En septiembre de 2025 emitió 900 M USD en convertibles al 0 % para recomprar acciones [7]; en abril de 2026 Reuters informó de que exploraba su venta con Goldman Sachs tras el interés de Thoma Bravo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Origen como grupo de desarrollo de Bell Labs (AT&amp;T).</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independiza con capital de Warburg Pincus.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Elliott; Sanjay Mirchandani consejero delegado; lanzamiento de Metallic SaaS y compra de Hedvig.</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FY2020-FY2024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Paso de licencias perpetuas a suscripción; ventas planas (670-839 M USD) durante la transición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Appranix y Satori Cyber; incidente de seguridad de Metallic en Azure (2025).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Sep-2025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Convertible de 900 M USD al 0 % (2030) y recompras de 446 M en FY2026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del 31 % el 27-ene por el ARR nuevo; nuevo director financiero (Gary Merrill); exploración de venta; alianza con Microsoft Azure (24-jun) [8, 26].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Commvault vende software para hacer copias de seguridad de los datos de una empresa, guardarlas aisladas y recuperarlas rápido y limpias tras un fallo o un ataque de ransomware, en el centro de datos propio, en la nube pública (AWS, Azure, Google) y en aplicaciones SaaS (Microsoft 365, Salesforce) [1]. Lo vende como licencia por plazo para instalar (435,3 M USD en FY2026), como servicio en su nube (SaaS, 333,0 M) y con soporte (320,4 M), sobre una plataforma única, Commvault Cloud [1]. Tiene ≈ 3.300 empleados (36 % en EE. UU., ≈ 40 % en India) y vende sobre todo a través de revendedores, integradores y mercados de la nube; el 59 % de las ventas es de América [1].</w:t>
      </w:r>
    </w:p>
    <w:p>
      <w:pPr>
        <w:pStyle w:val="Heading2"/>
      </w:pPr>
      <w:r>
        <w:t xml:space="preserve">Cómo gana dinero</w:t>
      </w:r>
    </w:p>
    <w:p>
      <w:pPr>
        <w:spacing w:after="100"/>
      </w:pPr>
      <w:r>
        <w:t xml:space="preserve">Es un negocio de ingresos recurrentes: la suscripción (licencia a plazo, SaaS y su soporte) es ≈ 85 % de las ventas en la definición nueva de la empresa [2]. El margen bruto es del 81 %; el SaaS tiene un margen bruto menor (64 % en FY2026) porque paga la nube [1]. El beneficio depende de cuánto gasta en vender: ventas y marketing fue el 43,9 % de los ingresos en FY2026 [1]. La remuneración en acciones (10,4 % de las ventas) separa el margen GAAP (6,3 %) del que publica la empresa (20,1 %) [1, 3]. Cobra por adelantado: los ingresos diferidos (765 M USD) financian el circulante. Estacionalidad: el 3T y el 4T (oct-mar) son los trimestres más fuertes en licencias.</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 a plazo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SaaS (Commvault Cloud, antes Metallic; Clumio)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Soporte (de licencias a plazo y perpetuas)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Licencia perpetua y otros servicios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 a plazo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SaaS (Commvault Cloud, antes Metallic; Clumio)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Soporte (de licencias a plazo y perpetuas)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Licencia perpetua y otros servicios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Más de 100.000 organizaciones usan la plataforma, con más de 10.000 clientes de SaaS [2]. No hay concentración relevante: ningún cliente llega al 10 % de los ingresos; la venta es sobre todo indirecta (revendedores, integradores, distribuidores, OEM y mercados de la nube), y los revendedores son el canal principal, con acuerdos anuales no exclusivos [1]. Retención neta de la suscripción del 114 % en el 1T27 [2]. El poder de precios es limitado y competido: el 10-K habla de «presión de precios continua» de los competidores y del paso a SaaS, y en el 1T27 la empresa lanzó una «iniciativa estratégica de precios» con 6,5 M USD de costes [1, 2]. El paso a SaaS sube el valor de por vida del cliente pero baja el ingreso por contrato a corto plazo (contratos más cortos y baratos), como mostró el 3T26 [8].</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de suscripción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867,3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1.054,3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Definición nueva desde abril de 2026; guía FY2027 1.200-1.210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de SaaS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424,3</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10.000 clientes de SaaS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suscripción (M USD,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229,3 (1T26)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 (1T27)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el soporte de licencias a plazo (definición nueva)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neta de ingresos de suscripción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Métrica nueva desde abril de 2026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no GAAP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 (1T26)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 (1T27)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Excluye la remuneración en acciones; GAAP: 8,9 % y 8,2 %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libre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207,0 (FY2025, operativo)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237,2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FY2027 250-260 M [2,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el software empresarial de protección de datos (copia, recuperación y ciberresiliencia) para centros de datos, nube pública y aplicaciones SaaS, en todo el mundo. Usamos la cifra de Market Research Future para el software de copia y recuperación de centros de datos, 11.650 M USD en 2025 con un 9,7 % anual hasta 2034 [10], porque cubre a los mismos proveedores (Veeam, Commvault, Dell, IBM, Veritas, Rubrik, Cohesity). Valuates da un perímetro más estrecho, 5.572 M en 2023 con un 9,8 % anual [11]: las dos coinciden en el crecimiento (≈ 10 %) y no en el tamaño, que depende de si se cuentan el soporte y el hardware asociado. Quedan fuera los equipos de almacenamiento y la seguridad de identidades, en los que Commvault entra con productos nuevos.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11.650 M USD en 2025 (software de copia y recuperación de centros de datos, mundial) [10]; ≈ 5.570 M en 2023 con un perímetro más estrecho [11]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Market Research Future; 2026e-2030e con su TCAC del 9,69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Ransomware y ciberresiliencia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recuperación limpia tras un ataque es hoy el argumento de venta: Commvault integra detección con Microsoft Security y CrowdStrike y seguridad de identidades (Okta, Delinea)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 la nube y a SaaS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SaaS de Commvault creció un 52 % en FY2026 (333,0 M USD), pero con contratos más cortos y baratos que hundieron el ARR neto nuevo del 3T26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IA (vectores, lagos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datos que proteger y gobernar: Clumio para Apache Iceberg, Satori (seguridad de datos e IA), Pinecone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almacenamiento y presupuestos de TI</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1T27 los clientes acortaron contratos mientras revisaban sus planes de almacenamiento: licencia a plazo +1 %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Nubes públicas como competidoras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AWS, Azure y Google ofrecen copia nativa; Commvault compite y a la vez se asocia (servicio nativo en Azure desde 2026) [1,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líderes casi empatados en Gartner (Veeam, Cohesity, Commvault, Rubrik) [12]; Rubrik crece un 38 % frente al 11 % de Commvault [2,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cliente de más del 10 %, pero grandes empresas que licitan y revendedores no exclusivos que venden también a la competencia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del SaaS es la nube (Azure, AWS): 118,3 M USD de coste del SaaS en FY2026 (35,5 % de sus ingresos)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Rubrik entró en 2014 y ya factura más que Commvault; las nubes y los fabricantes de almacenamiento empaquetan copia [1,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Copias inmutables de los fabricantes de almacenamiento y servicios nativos de nube sustituyen parte del uso [1].</w:t>
            </w:r>
          </w:p>
        </w:tc>
      </w:tr>
    </w:tbl>
    <w:p>
      <w:pPr>
        <w:spacing w:after="160" w:before="0"/>
      </w:pPr>
    </w:p>
    <w:p>
      <w:pPr>
        <w:pStyle w:val="Heading2"/>
      </w:pPr>
      <w:r>
        <w:t xml:space="preserve">Ciclo</w:t>
      </w:r>
    </w:p>
    <w:p>
      <w:pPr>
        <w:spacing w:after="100"/>
      </w:pPr>
      <w:r>
        <w:t xml:space="preserve">El gasto en protección de datos aguanta mejor que el de almacenamiento: en 2009 cayeron las licencias nuevas y aguantó el soporte; en 2020 la demanda subió con el trabajo a distancia; en 2022 lo que cayó fueron los múltiplos. Hoy crece por el ransomware, pero el 1T27 mostró que los clientes alargan las decisiones cuando revisan su almacenamiento (precios de la memoria) [1, 2].</w:t>
      </w:r>
    </w:p>
    <w:p>
      <w:pPr>
        <w:pStyle w:val="Heading2"/>
      </w:pPr>
      <w:r>
        <w:t xml:space="preserve">Regulación</w:t>
      </w:r>
    </w:p>
    <w:p>
      <w:pPr>
        <w:spacing w:after="100"/>
      </w:pPr>
      <w:r>
        <w:t xml:space="preserve">Normas que obligan a poder recuperarse: DORA en la banca europea (desde enero de 2025), NIS2 en la UE, las reglas de la SEC de comunicación de ciberincidentes (2023) y los requisitos de soberanía de datos (Commvault firmó con STACKIT en Europa) [3]. En el sector público de EE. UU., las autorizaciones FedRAMP High y GovRAMP de Commvault Cloud y FedRAMP «ready» de Clumio [1, 2].</w:t>
      </w:r>
    </w:p>
    <w:p>
      <w:pPr>
        <w:pStyle w:val="Heading2"/>
      </w:pPr>
      <w:r>
        <w:t xml:space="preserve">Tendencias y disrupción</w:t>
      </w:r>
    </w:p>
    <w:p>
      <w:pPr>
        <w:spacing w:after="100"/>
      </w:pPr>
      <w:r>
        <w:t xml:space="preserve">Tres tendencias: la convergencia de copia y seguridad (detección de amenazas, identidades, gobierno de datos), en la que Commvault se asocia con Microsoft, CrowdStrike, Okta y NetApp [3]; el paso a SaaS, que favorece a quien nació en la nube (Rubrik) [13]; y la IA, que crea más datos que proteger pero también puede automatizar la gestión de copias y abaratar la recuperación. Commvault gana con la primera, pierde terreno relativo en la segunda y está expuesta en las dos direcciones a la tercera.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cuatro líderes del cuadrante de Gartner (15 años seguidos); ≈ 10 % del software de copia y recuperación de centros de datos (1.184 M USD de ventas sobre ≈ 11.650 M, estimación propia) [2, 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Rubrik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RBRK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Nativo de la nube; ingresos +38 % en el 2T FY2027 (427,3 M USD), ARR de suscripción 1.660 M (+33 %); pérdidas GAAP (margen EBITDA -17.1 % en 12 meses) [13,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Veeam (Insight Partners)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 por poco en Gartner 2026; fuerte en el mercado medio y en virtualización; compró Securiti AI por 1.725 M USD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Cohesity (con el negocio de copia de Veritas)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pro forma de más de 1.700 M USD y ARR de 1.500 M (año a julio de 2024), 28 % de margen EBITDA en caja ajustado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Dell Technologies (PowerProtect)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Copia ligada al almacenamiento; cerca de pasar a «aspirantes» en Gartner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NetApp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NTAP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7.391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Almacenamiento con copias inmutables propias; aliado de Commvault desde 2026 [3, 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Integraciones con Microsoft, CrowdStrike, Okta y NetApp dan alcance, no efecto de red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copias de años y las políticas de retención atan al cliente; retención neta del 114 %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de Gartner 15 años seguidos; FedRAMP High; más de 200 marcas registradas [8,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81 % pero ventas y marketing del 43,9 % de los ingresos en FY2026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Cuatro líderes con 1.200-2.000 M USD de ventas cada uno; nadie domina [4, 5, 6].</w:t>
            </w:r>
          </w:p>
        </w:tc>
      </w:tr>
    </w:tbl>
    <w:p>
      <w:pPr>
        <w:spacing w:after="160" w:before="0"/>
      </w:pPr>
    </w:p>
    <w:p>
      <w:pPr>
        <w:pStyle w:val="Heading2"/>
      </w:pPr>
      <w:r>
        <w:t xml:space="preserve">Amenazas</w:t>
      </w:r>
    </w:p>
    <w:p>
      <w:pPr>
        <w:spacing w:after="100"/>
      </w:pPr>
      <w:r>
        <w:t xml:space="preserve">La amenaza principal es Rubrik: con ingresos un 30 % mayores que los de Commvault en los últimos 12 meses y creciendo al 38 %, gana las cuentas grandes que pasan a la nube [13, 15]. La segunda, Veeam y Cohesity, con capital riesgo detrás y dispuestos a bajar precios (el 10-K habla de presión de precios continua) [1]. La tercera, las nubes públicas y los fabricantes de almacenamiento, que empaquetan copia nativa. Probabilidad alta de que Commvault siga perdiendo cuota relativa en SaaS; media de que eso le obligue a bajar márgenes.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t xml:space="preserve">Crecimiento anual compuesto FY2019-FY2026: ingresos </w:t>
      </w:r>
      <w:r>
        <w:rPr>
          <w:b/>
          <w:bCs/>
        </w:rPr>
        <w:t xml:space="preserve">7,6 %</w:t>
      </w:r>
      <w:r>
        <w:t xml:space="preserve">, EBITDA </w:t>
      </w:r>
      <w:r>
        <w:rPr>
          <w:b/>
          <w:bCs/>
        </w:rPr>
        <w:t xml:space="preserve">26,0 %</w:t>
      </w:r>
      <w:r>
        <w:t xml:space="preserve">, BPA </w:t>
      </w:r>
      <w:r>
        <w:rPr>
          <w:b/>
          <w:bCs/>
        </w:rPr>
        <w:t xml:space="preserve">56,1 %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711,0 M USD en FY2019 a 1.183,7 M en FY2026 (TCAC del 7,5 %), con dos etapas: estancamiento en FY2019-FY2021 (670-724 M) mientras pasaba de licencia perpetua a suscripción, y aceleración en FY2024-FY2026 (+7,0 %, +18,6 % y +18,9 %) [1, 6]. Lo que crece es la suscripción: 768,3 M en FY2026 (+30 %), de ellos 435,3 M de licencia a plazo y 333,0 M de SaaS (+52 %); el soporte de licencias perpetuas cae (118,3 M, −15 %) [1]. La aceleración de FY2025-FY2026 tiene una parte contable: la licencia a plazo se reconoce casi entera al firmar, así que los contratos más largos adelantan ingresos [1]. El margen operativo GAAP se ha quedado en el 6,3 % en FY2026 (7,4 % en FY2025) porque la remuneración en acciones (123,4 M, el 10,4 % de las ventas) y la reestructuración (32,2 M) se comen la mejora; el no GAAP de la empresa, que excluye las dos, es del 20,1 % [3]. En el 1T FY2027 los ingresos crecieron un 11 % (314,1 M) y el margen operativo GAAP fue del 8,2 % [2].</w:t>
      </w:r>
    </w:p>
    <w:p>
      <w:pPr>
        <w:pStyle w:val="Heading2"/>
      </w:pPr>
      <w:r>
        <w:t xml:space="preserve">Ajustes y partidas no recurrentes</w:t>
      </w:r>
    </w:p>
    <w:p>
      <w:pPr>
        <w:spacing w:after="100"/>
      </w:pPr>
      <w:r>
        <w:t xml:space="preserve">Usamos las cifras publicadas. La empresa da un EBIT y un BPA no GAAP que excluyen la remuneración en acciones y sus cotizaciones (≈ 127 M USD en FY2026), la reestructuración (32,2 M), la amortización de intangibles comprados (4,7 M), los ajustes de contraprestación contingente, la venta con arrendamiento posterior de la sede y, desde el 1T FY2027, 6,5 M de «costes no recurrentes de la iniciativa estratégica de precios» [2, 3]. BPA de FY2026: 1,58 USD GAAP frente a 4,35 no GAAP (194,3 M ÷ 44,7 M de acciones) [3]. La reestructuración se repite todos los años (14,8 M en FY2019, 21,3, 23,5, 6,2, 15,5, 4,5, 10,0 y 32,2 M en FY2026), así que no la tratamos como no recurrente; sí lo son el deterioro de 53,5 M de la antigua sede en FY2023 y los ajustes pequeños de FY2020, FY2025 y FY2026 [6]. El LTM a junio de 2026 lleva 1,4 M de esos ajustes y los 6,5 M de la iniciativa de precios.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Trimestres fiscales (el 1T27 es abr-jun 2026); EBITDA = EBIT GAAP + amortizaciones y BPA GAAP diluido [2, 3, 4]. «Superior» se refiere al BPA no GAAP frente al consenso: 1,17 USD frente a 0,98 en el 3T26, 1,28 frente a 1,09 en el 4T26 y 1,42 frente a 1,16 en el 1T27 [8]. Aun así, la acción cayó un 16,3 % tras el 2T26, un 31,1 % tras el 3T26 (el ARR neto nuevo, 39 M USD, quedó por debajo de los ≈ 45 M que la dirección había apuntado para el segundo semestre, por el paso a SaaS, de contratos más cortos y baratos) y un 19,7 % tras el 1T27 [8, 9]. En abril de 2026 (4T26) la empresa cambió las métricas: ahora guía ingresos por suscripción (incluye el soporte de licencias a plazo) y ARR de suscripción, y dejó de publicar el ARR total [3]. Guía de FY2027 (28-jul-2026): ingresos por suscripción de 1.119-1.129 M USD (subida desde 1.115-1.125), ARR de suscripción de 1.200-1.210 M, margen EBIT no GAAP ≈ 21 % (desde 20,5 %), flujo libre de 250-260 M, recompras ≈ 60 % del flujo libre y ≈ 42 M de acciones; para el 2T, suscripción de 264-268 M, por debajo de los 267 M del 1T [2]. La caída del 28-jul vino de esa guía del 2T y de que la licencia a plazo solo creció un 1 % (110,4 M); la dirección habló de contratos algo más cortos mientras los clientes revisan sus planes de almacenamiento y de un efecto divisa [2, 9]. No hemos podido leer la transcripción completa (Seeking Alpha y Quartr exigen registro): las preguntas de los analistas y lo que la dirección evitó quedan sin documentar.</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(FY2026: Satori Cyber (seguridad de datos e IA, Israel), 28,1 M USD en caja, consolidada desde el 28-ago-2025; venta de la sede de Tinton Falls con arrendamiento posterior (34,8 M) [1].; FY2025: Clumio (copia de datos en AWS) y Appranix (recuperación de aplicaciones en la nube): 65,3 M USD en caja más 4,9 M en acciones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cambió en FY2026: la caja pasó de 302 M USD a 900 M con la emisión de los convertibles (900 M) y, a la vez, la empresa recompró 446,1 M de acciones, así que el patrimonio cayó de 325 M a 7,5 M [1]. Caja neta de los convertibles: ≈ 30 M a junio de 2026 [2]. El circulante comercial es muy negativo porque los clientes pagan por adelantado: clientes (271,6 M) menos ingresos diferidos (764,9 M) = −493 M en junio de 2026, ≈ −37 % de las ventas; crecer libera caja (136,4 M de aumento de ingresos diferidos en FY2026) [1, 2]. Las cuentas a cobrar crecen más que las ventas (+31 % en FY2026 hasta 330,5 M) por la facturación de contratos de licencia a plazo al final del trimestre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FY2019-FY2026: FCF </w:t>
      </w:r>
      <w:r>
        <w:rPr>
          <w:b/>
          <w:bCs/>
        </w:rPr>
        <w:t xml:space="preserve">1.213</w:t>
      </w:r>
      <w:r>
        <w:t xml:space="preserve">, conversión </w:t>
      </w:r>
      <w:r>
        <w:rPr>
          <w:b/>
          <w:bCs/>
        </w:rPr>
        <w:t xml:space="preserve">432 %</w:t>
      </w:r>
      <w:r>
        <w:t xml:space="preserve"> del beneficio neto; adquisiciones 266, dividendos 0, recompras 1.556.</w:t>
      </w:r>
    </w:p>
    <w:p>
      <w:pPr>
        <w:spacing w:after="100"/>
      </w:pPr>
      <w:r>
        <w:t xml:space="preserve">El flujo operativo fue de 244,7 M USD en FY2026 y el flujo libre de la empresa de 237,2 M (20,0 % de las ventas), frente a un beneficio de 70,7 M [1, 3]. La diferencia la explican la remuneración en acciones (123,4 M, gasto sin caja: se paga con dilución, compensada con recompras) y el aumento de ingresos diferidos (136,4 M), en parte contrarrestado por más cuentas a cobrar (74,0 M) y comisiones activadas (73,7 M pagadas frente a 47,7 M amortizadas) [1]. Por eso el capex del informe suma al inmovilizado (7,5 M) el aumento neto de comisiones activadas (24,6 M en FY2026) [1, 6]. El flujo libre «del dueño», restando la remuneración en acciones, fue de ≈ 114 M en FY2026. En el 1T FY2027 el flujo libre fue de 51,1 M (+71 %) [2]. La caja se ha ido a recompras: 1.250 M en FY2022-FY2026, de ellas 446,1 M en FY2026 (4,17 M de acciones) [1, 6].</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FY2026, también sobre el control interno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FY2026: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FY2026: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son limpias, pero el beneficio publicado dice poco por tres razones. Primera, la remuneración en acciones: 123,4 M USD en FY2026 (10,4 % de las ventas; 172,4 M aún por reconocer a 2,1 años), que la empresa saca de su BPA no GAAP (4,35 USD frente a 1,58 GAAP) [1, 3]. Es un coste real: las recompras de 446 M de FY2026 sirvieron en buena parte para compensar la dilución. Segunda, el reconocimiento de ingresos: la licencia a plazo se registra casi entera al firmar, de modo que la duración de los contratos mueve los ingresos de cada trimestre (el 1T27 lo notó) [2, 9]. Tercera, los impuestos: FY2024 llevó una liberación de provisión de activos fiscales de ≈ 105 M (tipo efectivo del −102 %), que infló el BPA a 3,75 USD [1]. La reestructuración se repite cada año. Lectura de los indicadores del motor: con patrimonio casi nulo y circulante muy negativo, Altman y ROE no significan nada; Beneish y Piotroski se leen con cuidado por el salto de caja y deuda de FY2026.</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alta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123,4 M USD en FY2026 (10,4 % de las ventas) y 35,3 M en el 1T27; la empresa la excluye de su BPA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Reestructuración recurrente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Cargos todos los años desde FY2019 (32,2 M en FY2026, dos planes) que el no GAAP excluye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licencia a plazo reconocidos al firmar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duración de los contratos adelanta o retrasa ingresos; la licencia a plazo creció un 1 % en el 1T27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métricas de ARR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abril de 2026 dejó de publicar el ARR total y redefinió el ARR de suscripción, tras fallar el ARR neto nuevo del 3T26 y con demandas colectivas abiertas por ello [3,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Liberación de provisión fiscal en FY2024</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efectivo del −102 % en FY2024; BPA de 3,75 USD no repetible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1.014,0 %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209 M en FY2026 (el 3.461 % del capital invertido medio); ha subido más de un 5 % en 3 de 7 años: comprador en serie.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10,6 %.</w:t>
      </w:r>
    </w:p>
    <w:p>
      <w:pPr>
        <w:spacing w:after="100"/>
      </w:pPr>
      <w:r>
        <w:t xml:space="preserve">El ROIC contable no sirve: los clientes pagan por adelantado (778,7 M de ingresos diferidos en FY2026 frente a 330,5 M de clientes) y el patrimonio es casi nulo (7,5 M) por las recompras, así que el capital invertido sale negativo o mínimo [1]. La medida exigente, sin el circulante negativo (inmovilizado, fondo de comercio, intangibles y comisiones capitalizadas: 342,7 M) y con el resultado operativo con la remuneración en acciones como gasto (80,1 M antes de impuestos; 60,9 M después del 24 %), da un 17,8 % en FY2026 y ≈ 20,7 % en FY2025, frente a un WACC del 10,57 %: ≈ +7 puntos. Es un negocio de capital casi nulo cuya rentabilidad depende del margen: el margen operativo no GAAP (≈ 20 %) se lo come en su mitad la remuneración en acciones (10,4 % de las ventas) y en otra parte la reestructuración (2,7 % en FY2026). Tendencia: el ROIC exigente baja algo porque las compras (Appranix, Satori) y las comisiones capitalizadas del SaaS suben el capital más rápido que el resultado limpio, que lleva tres años plano (74-80 M) aunque las ventas subieron un 41 % [1].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929,8 M USD a 30-jun-2026 y línea de crédito garantizada de 300 M con JPMorgan hasta abril de 2030, sin disponer (covenants de apalancamiento y cobertura de intereses, cumplidos)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Bonos convertibles de 900 M USD al 0 % con vencimiento el 15-sep-2030, emitidos el 5-sep-2025: precio de conversión de 236,88 USD por acción (4,2215 acciones por cada 1.000 USD); la empresa paga en caja hasta el nominal y elige caja o acciones para el exceso; las opciones con techo (99,6 M de coste) cubren la dilución hasta 357,56 USD [1, 7]. De lo emitido, 117,7 M fueron a recomprar acciones el mismo día [1]. Ingresos diferidos de 764,9 M a 30-jun-2026 (473,7 a corto y 291,2 a largo): cobros por adelantado que son circulante, no deuda [2]. Arrendamientos operativos de 35,7 M (fuera del puente en US GAAP) [2]. Demandas colectivas presentadas en mayo y junio de 2026 en Nueva Jersey por la información sobre el ARR (Secciones 10(b) y 20(a)); sin cuantía y sin provisión [5]. Pasivos fiscales inciertos de 17,6 M [1].</w:t>
      </w:r>
    </w:p>
    <w:p>
      <w:pPr>
        <w:pStyle w:val="Heading1"/>
      </w:pPr>
      <w:r>
        <w:t xml:space="preserve">12. Asignación de capital</w:t>
      </w:r>
    </w:p>
    <w:p>
      <w:pPr>
        <w:pStyle w:val="Confianza"/>
        <w:spacing w:after="100"/>
      </w:pPr>
      <w:r>
        <w:t xml:space="preserve">Confianza: Alta</w:t>
      </w:r>
    </w:p>
    <w:p>
      <w:pPr>
        <w:spacing w:after="100"/>
      </w:pPr>
      <w:r>
        <w:t xml:space="preserve">Sin dividendo. La caja va a recompras: programa sin fecha de caducidad que el consejo «recompromete» por tramos de 250 M USD (abril de 2025, enero de 2026 y 15-abr-2026); quedaban 239,9 M a 30-jun-2026 [1, 5]. Guía de FY2027: recompras de ≈ 60 % del flujo libre (≈ 150-156 M) [2]. Compras pequeñas de tecnología (Clumio, Appranix, Satori)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Hedvig (almacenamiento definido por software)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HyperScale y del almacenamiento distribuido; sin deterioros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Clumio (copia de datos nativa en AWS) y Appranix</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(65,3 M) y acciones (4,9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Clumio Backtrack y Clumio para Apache Iceberg; FedRAMP «ready» en septiembre de 2026 [1,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Satori Cyber (seguridad de datos e 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Integrada en la plataforma Commvault Cloud Unity (datos estructurados y de IA) [1, 3].</w:t>
            </w:r>
          </w:p>
        </w:tc>
      </w:tr>
    </w:tbl>
    <w:p>
      <w:pPr>
        <w:spacing w:after="160" w:before="0"/>
      </w:pPr>
    </w:p>
    <w:p>
      <w:pPr>
        <w:spacing w:after="100"/>
      </w:pPr>
      <w:r>
        <w:t xml:space="preserve">La dirección ha devuelto toda la caja con recompras (1.250 M USD en FY2022-FY2026), pero las acciones diluidas solo bajaron de 47,2 M en FY2022 a 44,7 M en FY2026 y 41,9 M en el 1T27: buena parte de lo recomprado compensa la remuneración en acciones (≈ 100-125 M al año) [1, 6]. En FY2026 la empresa se endeudó con 900 M de convertibles al 0 % y recompró 446 M a ≈ 107 USD de media; luego la acción bajó a 71,75 en abril de 2026 [1]. Las compras son pequeñas y tecnológicas, sin deterioros. Veredicto: asignación correcta pero que sirve sobre todo para no diluir.</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Sanjay Mirchandani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 operaciones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consejero delegado de Puppet y directivo de VMware y EMC. Con él la empresa pasó de licencia perpetua a suscripción: ingresos de 671 M USD en FY2020 a 1.184 M en FY2026 y margen EBIT no GAAP del 20 % [2,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Gary Merrill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20 años en Commvault; director financiero en 2022-2024 y director comercial en 2024-2026; vuelve a finanzas el 13-abr-2026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Geoff Haydon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clientes y operaciones de campo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consejero delegado de Ontinue (detección gestionada), con pasos por VMware, Secureworks, Absolute Software y RSA; consejero de Commvault de octubre de 2025 a abril de 2026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Danielle Abrahamsen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contabilidad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Controller desde 2022; llevó la oficina del director financiero con Kevin White entre la salida de DiRico (31-dic-2025) y la llegada de Merrill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Nicola Adamo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Fundador de Making a Mark; preside el consejo [16].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 ingresos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1.161-1.165 M USD (julio de 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1.183,7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 flujo libre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210-215 M USD (julio de 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237,2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 margen EBIT no GAAP</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20,5 % (julio de 2025), bajado a 19-20 % (enero de 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20,1 %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 ARR neto nuevo del 2.º semestre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45 M USD por trimestre (según la demanda colectiva y la prensa)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 M en el 3T26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 ARR total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 (julio de 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 (+18 % a tipos constantes)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1T 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Suscripción 263-265 M USD, margen EBIT no GAAP ≈ 19 %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267,0 M y 22,8 %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dirección cumple las guías de ingresos, flujo libre y margen casi siempre, pero falló en el indicador que el mercado más mira, el ARR neto nuevo del 3T26, y luego cambió las métricas que publica [2, 4]. Mirchandani lleva siete años y es el artífice de la transición; la rotación de directores financieros es alta (Merrill 2022-2024, DiRico 2024-2025, Merrill otra vez desde abril de 2026) [18, 19]. No hay plan de sucesión público para el consejero delegado. La entrada de Haydon (seguridad) en la red comercial responde a la pérdida de ritmo frente a Rubrik.</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Nicola Adamo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el proxy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Sanjay Mirchandani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Martha Bejar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el proxy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Keith Geeslin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el proxy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Vivie "YY" Lee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el proxy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Chuck Moran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el proxy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Shane Sanders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el proxy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David Morton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de Operaciones (presidente)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88 %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FY2026, también sobre el control interno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15,19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 abril de 2025 (proxy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(Portfolio Management y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8,8 % + 5,6 % (13G de abril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18,0 M USD en 12 meses, sin compras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Sanjay Mirchandani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Sanjay Mirchandani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Gary Merrill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Sanjay Mirchandani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Sanjay Mirchandani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Nicola Adamo (presidente del consejo)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19,9 M USD en FY2026 (18,8 M en FY2025 y 12,1 M en FY2024): 0,69 M de fijo, 1,11 M de variable anual y 18,0 M en acciones [16]. El variable anual depende de los ingresos totales y del EBIT no GAAP (este último al 97,5 % del objetivo de 244 M) [16]. Las acciones de 2025 se reparten en un 40 % por tiempo, un 30 % por la rentabilidad para el accionista frente al Russell 3000 y un 30 % por el ARR total (cumplido al 102 %, pago del 111 %) [16]. Premia el crecimiento del ARR y el EBIT que excluye la remuneración en acciones: no castiga la dilución. Hay política de recuperación (clawback) [16]. Ratio frente al empleado mediano: 175 veces [16]. En la junta de 2026, 94,2 % a favor de la remuneración y 5,7 % en contra; en 2025, 96 % a favor [16, 17].</w:t>
      </w:r>
    </w:p>
    <w:p>
      <w:pPr>
        <w:pStyle w:val="Heading2"/>
      </w:pPr>
      <w:r>
        <w:t xml:space="preserve">Operaciones vinculadas, estructura de control y defensas</w:t>
      </w:r>
    </w:p>
    <w:p>
      <w:pPr>
        <w:spacing w:after="100"/>
      </w:pPr>
      <w:r>
        <w:t xml:space="preserve">Sin accionista de control: BlackRock (13,9 %) y las dos gestoras de Vanguard (14,4 % juntas) son los mayores [16]. Una acción, un voto; consejo de siete elegido cada año (ocho con Morton desde septiembre de 2026), todos independientes salvo el consejero delegado, y presidente independiente separado [16, 20]. Sin operaciones vinculadas relevantes [16]. Keith Geeslin (Francisco Partners) lleva en el consejo desde 1996. En abril de 2026 Reuters informó de que la empresa estudiaba su venta con Goldman Sachs tras el interés de fondos (Thoma Bravo) y compradores industriales; no hay comunicado de la empresa ni cierre del proceso.</w:t>
      </w:r>
    </w:p>
    <w:p>
      <w:pPr>
        <w:pStyle w:val="Heading2"/>
      </w:pPr>
      <w:r>
        <w:t xml:space="preserve">Señales de alerta</w:t>
      </w:r>
    </w:p>
    <w:p>
      <w:pPr>
        <w:pStyle w:val="ListParagraph"/>
        <w:numPr>
          <w:ilvl w:val="0"/>
          <w:numId w:val="2"/>
        </w:numPr>
        <w:spacing w:after="60"/>
      </w:pPr>
      <w:r>
        <w:t xml:space="preserve">Ventas de directivos por 18,0 M USD en 12 meses (13,9 M del consejero delegado), 14,8 M con planes 10b5-1 y ninguna compra [21].</w:t>
      </w:r>
    </w:p>
    <w:p>
      <w:pPr>
        <w:pStyle w:val="ListParagraph"/>
        <w:numPr>
          <w:ilvl w:val="0"/>
          <w:numId w:val="2"/>
        </w:numPr>
        <w:spacing w:after="60"/>
      </w:pPr>
      <w:r>
        <w:t xml:space="preserve">Demandas colectivas de mayo y junio de 2026 por la información sobre el ARR del año fiscal 2026 (caída del 31 % del 27-ene-2026) [5].</w:t>
      </w:r>
    </w:p>
    <w:p>
      <w:pPr>
        <w:pStyle w:val="ListParagraph"/>
        <w:numPr>
          <w:ilvl w:val="0"/>
          <w:numId w:val="2"/>
        </w:numPr>
        <w:spacing w:after="60"/>
      </w:pPr>
      <w:r>
        <w:t xml:space="preserve">Rotación de directores financieros: DiRico se fue el 31-dic-2025 y Merrill vuelve al cargo el 13-abr-2026 [18, 19].</w:t>
      </w:r>
    </w:p>
    <w:p>
      <w:pPr>
        <w:pStyle w:val="ListParagraph"/>
        <w:numPr>
          <w:ilvl w:val="0"/>
          <w:numId w:val="2"/>
        </w:numPr>
        <w:spacing w:after="60"/>
      </w:pPr>
      <w:r>
        <w:t xml:space="preserve">Incidente de seguridad en 2025 (acceso de un actor estatal al entorno de Azure de Metallic): 1,8 M USD de costes legales y de consultoría en el 2T26 [2].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FY2027 (a 31-mar-2027), dada el 28-abr-2026 y actualizada el 28-jul-2026: ingresos por suscripción de 1.119-1.129 M USD (antes 1.115-1.125), ARR de suscripción de 1.200-1.210 M, ingresos totales de 1.300-1.310 M (dados en abril; en julio la nota no los repite y la prensa dice que se mantienen), margen EBIT no GAAP ≈ 21 % (antes 20,5 %), flujo libre de 250-260 M, recompras ≈ 60 % del flujo libre y ≈ 42 M de acciones diluidas [2]. 2T FY2027: suscripción de 264-268 M y margen ≈ 20 % [2]. Resultados del 2T el 27-oct-2026 antes de la apertura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19 analistas; BPA no GAAP (sin remuneración en acciones)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19 analistas; BPA no GAAP [23]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 8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163,49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130,00 – 200,00</w:t>
            </w:r>
          </w:p>
        </w:tc>
      </w:tr>
    </w:tbl>
    <w:p>
      <w:pPr>
        <w:spacing w:after="160" w:before="0"/>
      </w:pPr>
    </w:p>
    <w:p>
      <w:pPr>
        <w:pStyle w:val="Heading2"/>
      </w:pPr>
      <w:r>
        <w:t xml:space="preserve">Revisiones de estimaciones</w:t>
      </w:r>
    </w:p>
    <w:p>
      <w:pPr>
        <w:spacing w:after="100"/>
      </w:pPr>
      <w:r>
        <w:t xml:space="preserve">El BPA no GAAP de FY2027 del consenso subió de 5,22 USD hace 90 días a 5,46 hoy, y el de FY2028 de 6,02 a 6,2, tras subir la empresa el margen a ≈ 21 % el 28-jul [2, 23]; el del 3T FY2027 bajó de 1,42 a 1,38 [23]. Recomendaciones: 11 comprar y 8 mantener (hace tres meses, 10 y 8) [23]. Piper Sandler rebajó la acción el 28-jul por falta de catalizadores; Jefferies empezó en «mantener» en abril; en octubre subieron el objetivo RBC, Mizuho y Scotiabank [8, 27]. Objetivo medio de 17 analistas: 163,49 USD (130-200) [23]. El consenso usa BPA no GAAP, que excluye ≈ 2,4 USD por acción de remuneración en acciones después de impuestos; sin consenso gratuito de FY2029.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w:t>
            </w:r>
          </w:p>
        </w:tc>
      </w:tr>
    </w:tbl>
    <w:p>
      <w:pPr>
        <w:spacing w:after="160" w:before="0"/>
      </w:pPr>
    </w:p>
    <w:p>
      <w:pPr>
        <w:spacing w:after="100"/>
      </w:pPr>
      <w:r>
        <w:t xml:space="preserve">La acción es muy volátil para una empresa de software maduro: volatilidad del 63 % en el último año y caída máxima del 61,5 % en cinco años [22]. Subió un 89 % en 2024 por la aceleración de la suscripción, llegó a ≈ 198 USD en septiembre de 2025 y cayó a 71,75 el 9-abr-2026 tras tres resultados castigados (−16,3 % el 28-oct-2025, −31,1 % el 27-ene-2026) y la venta general de software por miedo a la IA [8, 22]. Desde abril ha doblado: el informe de Reuters sobre una posible venta (+10 % el 10-abr), los resultados del 4T (+10,8 % el 28-abr), el acuerdo con Microsoft (junio) y la recuperación de agosto-octubre, con otro tropiezo el 28-jul (−19,7 %) [22, 26]. Rentabilidad a un año del −10,9 % frente al +15,8 % del S&amp;P 500; en tres años, +33,0 % anual frente al +23,7 % [22]. Posición corta del 9,8 % del capital flotante, en parte cobertura de los convertibles [23].</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 / +15,1 % / +69,9 % / -7,9 %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 / +116,0 %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oct-nov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FY2026 (28-oct-2025): bate en BPA pero el mercado castiga el ARR y el margen; −16,3 % ese día y −5,3 % el 5-nov [2,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ene-feb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 FY2026 (27-ene-2026): ARR neto nuevo de 39 M USD frente a los ≈ 45 M apuntados, por el paso a SaaS; −31,1 % en un día y demandas colectivas después [5,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feb-mar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general del software por el miedo a que la IA sustituya aplicaciones (IGV −7 % en 12 meses) y salida de la directora financiera; mínimo de 71,75 USD el 9-abr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Reuters (10-abr): Commvault estudia su venta con Goldman Sachs tras el interés de Thoma Bravo y otros (+10,2 %); nuevos director financiero y jefe comercial (13-abr); resultados del 4T por encima de la guía (+10,8 % el 28-abr) [2,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may-jul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tras el 4T y acuerdo plurianual con Microsoft para vender Commvault como servicio nativo de Azure (24-jun) [2,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jul-ago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1T FY2027 (28-jul): bate en BPA (1,42 frente a 1,16) pero guía del 2T por debajo de lo esperado y licencia a plazo +1 %; Piper Sandler rebaja; −19,7 % en un día [8, 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Recuperación sin nota de la empresa: subidas de objetivo de RBC, Mizuho y Scotiabank en octubre; el mercado vuelve a hablar de compra («must be a buyout coming» en los foros); causa concreta no confirmada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FY2027 el 27-oct-2026 antes de la apertura; guía de suscripción del trimestre de 264-268 M USD [2,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objetivo de RBC (12-oct), Mizuho (15 y 17-oct) y Scotiabank (5-oct); objetivo medio de 17 analistas de 163,49 USD (130-200) [23,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Morton (director financiero de Intapp) entra en el consejo y preside la nueva comisión de Operaciones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directivos de 18,0 M USD en 12 meses (13,9 M del consejero delegado), con planes 10b5-1 en su mayoría; ninguna compra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Piper Sandler rebaja la recomendación por falta de catalizadores tras el 1T FY2027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Demandas colectivas (Imbert v. Commvault, D.N.J.) por la información sobre el ARR de abril de 2025 a enero de 2026; fase inicial, sin cuantía ni fecha [5,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Reuters: Commvault estudia su venta con Goldman Sachs tras el interés de fondos (Thoma Bravo, que ya había hecho una oferta) e industriales; un analista habló de una prima del 30 %; sin novedades públicas desde entonces [8,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2026-04-15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o capital</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consejo renueva el programa de recompras hasta 250 M USD (239,9 M disponibles a 30-jun) [5].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ha subido un 70 % en seis meses y un 116 % desde el mínimo de abril, y está un 7 % por debajo de su máximo de 52 semanas; salta el aviso P1 (subida fuerte), que no cambia la señal pero obliga a explicar la causa: la posible venta (Reuters, 10-abr), los resultados del 4T y el acuerdo con Microsoft explican la mayor parte; la subida de agosto-octubre no tiene una causa concreta confirmada [2, 26, 27]. No hay colocaciones, ampliaciones ni decisiones judiciales con fecha que puedan mover el precio más de un 5 % en contra; las demandas colectivas están en fase inicial. El proceso de venta, si sigue vivo, es un riesgo a favor (prima), no en contra. Los resultados del 27-oct no retrasan nada (regla 11).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 de cierre de cada ejercicio (31 de marzo) de Yahoo [22]. Con el BPA GAAP, el PER de los últimos 12 meses no sirve en FY2019-FY2021 (beneficio casi nulo o pérdidas en la transición a suscripción) ni en FY2023 (pérdida por el deterioro de la antigua sede); en FY2024 el BPA está inflado por la liberación de provisión fiscal. El mercado ha valorado siempre a Commvault por su BPA no GAAP: ≈ 25-30 veces el adelantado en 2024-2025 y ≈ 26 hoy (6,19 USD de BPA no GAAP adelantado) [23]. En la base del informe (BPA con la remuneración en acciones como gasto) el múltiplo es mucho mayor, ≈ 50 veces, porque la remuneración en acciones se come casi la mitad del beneficio.</w:t>
      </w:r>
    </w:p>
    <w:p>
      <w:pPr>
        <w:pStyle w:val="Heading1"/>
      </w:pPr>
      <w:r>
        <w:t xml:space="preserve">18. Comparables cotizados</w:t>
      </w:r>
    </w:p>
    <w:p>
      <w:pPr>
        <w:pStyle w:val="Confianza"/>
        <w:spacing w:after="100"/>
      </w:pPr>
      <w:r>
        <w:t xml:space="preserve">Confianza: Media</w:t>
      </w:r>
    </w:p>
    <w:p>
      <w:pPr>
        <w:spacing w:after="100"/>
      </w:pPr>
      <w:r>
        <w:t xml:space="preserve">Software de infraestructura y seguridad de datos rentable, con modelo de suscripción y crecimiento de un dígito alto: Rubrik (rival directo, en pérdidas: sin PER), NetApp y Nutanix (almacenamiento e infraestructura híbrida), Check Point, Qualys, Tenable y F5 (seguridad), Dropbox (datos en la nube), Akamai (nube y seguridad) y Gen Digital (seguridad para particulares) [23]. Veeam y Cohesity no cotizan. Cifras de Yahoo al cierre del 20-oct-2026; PER con el BPA no GAAP de los analistas (excluye la remuneración en acciones, como el de Commvault).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Commvault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Rubrik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NetApp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Nutanix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Check Point Software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Qualys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F5</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Dropbox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Tenable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Akamai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Gen Digital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14.414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 / 18,5x / 26,3x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 / 17,8x / 22,5x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 / 5,2x / 7,0x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204,37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t xml:space="preserve">Commvault cotiza a ≈ 25 veces el BPA no GAAP de los próximos 12 meses, por encima de la mediana de los comparables (17,8 veces) y en línea con Qualys (22,5), F5 y Nutanix, con un crecimiento parecido (+11 %) [23]. Rubrik vale 15 veces las ventas porque crece al 38 %; Commvault, ≈ 5 [23]. Si se resta la remuneración en acciones (estimación propia con la de los últimos 12 meses de cada una), la mediana pasa a 21,9 veces y Commvault a ≈ 50: es de las que más pierden, porque la remuneración en acciones es el 10,6 % de sus ventas frente al 5-9 % de NetApp, F5 o Check Point [23]. Esa mediana con remuneración en acciones (21,9) es la que usa la regla a 12 meses.</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Datto (copia y gestión para proveedores de servicios)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Kaseya (Insight Partners, TPG, Temasek)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35,50 USD por acción; ingresos de 618,7 M y EBITDA ajustado de 175,4 M en 2021 [29].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Carbonite (copia en la nube y Webroot)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OpenText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2,8 veces los ingresos de 12 meses con Webroot anualizado [30].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Cohesity + negocio de protección de datos de Veritas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Cohesity (fusión)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7.000 M USD del conjunto y ingresos pro forma de más de 1.700 M [14].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Veeam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Insight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Valoración de ≈ 5.000 M USD con más de 1.000 M de ventas anuales (nota de Veeam, no abierta: múltiplo sin calcular).</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120,58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101,43 – 206,18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Las compras del sector se han pagado a 2,8-10 veces las ventas: barato el negocio maduro (Carbonite), caro el que crece (Datto, 35 veces el EBITDA ajustado) [14, 29, 30]. Commvault vale hoy ≈ 5,2 veces las ventas, dentro de ese rango. Es un objetivo plausible: sin accionista de control, 6.500 M USD de capitalización, caja neta, flujo libre de ≈ 255 M y un proceso de venta del que informó Reuters en abril de 2026 con Thoma Bravo como interesado [26]. Una prima del 30 % sobre el precio de entonces (≈ 85 USD) daba ≈ 110 USD, muy por debajo del precio actual: el mercado ya no descuenta solo una opa.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+10,3 %, el centro de la guía de ingresos (1.300-1.310 M) y del consenso (1.306 M) [2, 23]: la suscripción crece ≈ 18 % (guía 1.119-1.129 M) mientras el mantenimiento de licencias perpetuas y los servicios caen. Después +11 % en FY2028e (consenso +11,3 %) y descenso hasta el 5 % en FY2034e: por debajo del ARR de suscripción (+22 %) porque el ARR de SaaS (+38 %) ya no puede compensar mucho más la base vieja, y en línea con el mercado de copia y recuperación (+9,7 % anual [10]) mientras Rubrik crece al 38 % [13]. La cuota baja del 10,2 % al 8,3 % en FY2034e: el base supone que Commvault pierde algo de cuota.</w:t>
      </w:r>
    </w:p>
    <w:p>
      <w:pPr>
        <w:keepNext/>
        <w:spacing w:after="100"/>
      </w:pPr>
      <w:r>
        <w:rPr>
          <w:b/>
          <w:bCs/>
        </w:rPr>
        <w:t xml:space="preserve">Márgenes.</w:t>
      </w:r>
    </w:p>
    <w:p>
      <w:pPr>
        <w:spacing w:after="100"/>
      </w:pPr>
      <w:r>
        <w:t xml:space="preserve">Margen EBITDA limpio (no GAAP de la empresa menos remuneración en acciones, cargas y reestructuración, más depreciación): ≈ 7,6 % en FY2026, 10,2 % en FY2027e (guía no GAAP ≈ 21 %, remuneración ≈ 142 M, reestructuración baja) y subida hasta el 19 % en FY2034e. La subida supone que la remuneración en acciones baja del 10,9 % al ≈ 6-7 % de las ventas y que el margen no GAAP sube de 21 % a ≈ 26-27 %, como en el software maduro (Check Point, Qualys, F5 ganan un 30-40 % de margen EBITDA [23]).</w:t>
      </w:r>
    </w:p>
    <w:p>
      <w:pPr>
        <w:keepNext/>
        <w:spacing w:after="100"/>
      </w:pPr>
      <w:r>
        <w:rPr>
          <w:b/>
          <w:bCs/>
        </w:rPr>
        <w:t xml:space="preserve">Inversión y circulante.</w:t>
      </w:r>
    </w:p>
    <w:p>
      <w:pPr>
        <w:spacing w:after="100"/>
      </w:pPr>
      <w:r>
        <w:t xml:space="preserve">Inversión del 2,0 % de las ventas bajando al 1,6 %: inmovilizado (≈ 0,3 %) más el aumento de las comisiones capitalizadas (24,6 M en FY2026), que la empresa lleva en el flujo operativo. Depreciación del 0,8 %. Circulante comercial del −37 % de las ventas (clientes − ingresos diferidos): crecer da caja. No se proyectan compras; las pequeñas compras de software (Appranix, Satori) se repiten y son un riesgo de que el flujo libre real quede por debajo.</w:t>
      </w:r>
    </w:p>
    <w:p>
      <w:pPr>
        <w:keepNext/>
        <w:spacing w:after="100"/>
      </w:pPr>
      <w:r>
        <w:rPr>
          <w:b/>
          <w:bCs/>
        </w:rPr>
        <w:t xml:space="preserve">Coste del capital.</w:t>
      </w:r>
    </w:p>
    <w:p>
      <w:pPr>
        <w:spacing w:after="100"/>
      </w:pPr>
      <w:r>
        <w:t xml:space="preserve">Tasa libre del 5,12 % (Tesoro a 10 años, 20-oct-2026 [24]); beta de 1,15, entre la mensual de cinco años (0,91) y la semanal de dos años (1,40) [22]: la acción se ha vuelto más volátil (máxima caída del −61,5 % y caídas diarias del 16-31 % en resultados); prima del 5,5 %; coste de la deuda del 5,5 % antes de impuestos (el convertible no paga cupón pero la opción tiene coste) con un peso del 12 % a valor de mercado. WACC del 10,57 %. Con la prima implícita del mercado (4,2 % [25]) el WACC baja al 9,26 % y el DCF sube a 97,56 USD.</w:t>
      </w:r>
    </w:p>
    <w:p>
      <w:pPr>
        <w:keepNext/>
        <w:spacing w:after="100"/>
      </w:pPr>
      <w:r>
        <w:rPr>
          <w:b/>
          <w:bCs/>
        </w:rPr>
        <w:t xml:space="preserve">Valor terminal.</w:t>
      </w:r>
    </w:p>
    <w:p>
      <w:pPr>
        <w:spacing w:after="100"/>
      </w:pPr>
      <w:r>
        <w:t xml:space="preserve">Crecimiento a perpetuidad del 3 %, por encima de la inflación porque los datos que proteger crecen más que la economía. El valor terminal pesa un 64 %. El múltiplo de salida implícito queda muy por debajo de los 70 veces el EBITDA limpio actual: el DCF supone que la acción acaba cotizando como un software maduro.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76,02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104,27</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M (-15 %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 frente al 8,3 %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FY2034e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(hoy: 10,2 %)</w:t>
            </w:r>
          </w:p>
        </w:tc>
      </w:tr>
    </w:tbl>
    <w:p>
      <w:pPr>
        <w:spacing w:after="160" w:before="0"/>
      </w:pPr>
    </w:p>
    <w:p>
      <w:pPr>
        <w:spacing w:after="100"/>
      </w:pPr>
      <w:r>
        <w:t xml:space="preserve">La proyección apenas necesita inversión neta de la amortización (reinversión acumulada de -243 M, con un capex bruto medio del 1,8 % de las ventas). En un negocio de activos ligeros, el crecimiento medio del 8,3 % tiene que salir de subir precios y de ganar volumen sin capital nuevo, y la prueba es el poder de precios y la cuota (8,3 % del mercado en FY2034e, frente al 10,2 %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 volumen de suscripción y SaaS (≈ 7 puntos netos de la caída de mantenimiento perpetuo), precio ≈ 2 puntos (subidas y venta por capacidad) y 1,3 puntos de Satori y de módulos nuevos de ciberresiliencia.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8,5 % (SaaS +30 %, licencias a plazo planas) y precio del 2,5 %: consenso +11,3 % [23].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7,5 % y precio del 2,5 %: la base de mantenimiento perpetuo ya es pequeña y deja de restar.</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6,5 % y precio del 2,5 %: converge hacia el mercado (+9,7 % [10]) con algo de pérdida de cuota.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5,5 % y precio del 2,5 %.</w:t>
            </w:r>
          </w:p>
        </w:tc>
      </w:tr>
    </w:tbl>
    <w:p>
      <w:pPr>
        <w:spacing w:after="160" w:before="0"/>
      </w:pPr>
    </w:p>
    <w:p>
      <w:pPr>
        <w:spacing w:after="100"/>
      </w:pPr>
      <w:r>
        <w:t xml:space="preserve">El crecimiento proyectado (8,3 % medio en FY2027e-FY2034e) está algo por encima del histórico largo (7,6 % en FY2019-FY2026, con la transición dentro) y por debajo del reciente (+18-19 % en FY2025-FY2026) y del mercado (+9,7 % [10]); la cuota baja del 10,2 % al 8,3 %, así que no exige ganar a Rubrik ni a Veeam. No necesita capital: los clientes pagan por adelantado y la reinversión neta es negativa. El poder de precios es moderado: Commvault es líder en el cuadrante de Gartner con los otros tres [12], la retención neta es del 114 % y los clientes grandes no cambian fácilmente de sistema de copia, pero Rubrik y Veeam compiten con precio en SaaS. El motor también da «Sí».</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16,5 % (base: 8,3 %)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36,7 % (base: 19,0 %)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 (WACC: 10,6 %)</w:t>
            </w:r>
          </w:p>
        </w:tc>
      </w:tr>
    </w:tbl>
    <w:p>
      <w:pPr>
        <w:spacing w:after="160" w:before="0"/>
      </w:pPr>
    </w:p>
    <w:p>
      <w:pPr>
        <w:spacing w:after="100"/>
      </w:pPr>
      <w:r>
        <w:t xml:space="preserve">El DCF da 79,81 USD por acción, un 48,8 % por debajo del precio, con un WACC del 10,57 % y un valor terminal que pesa el 64 %. El DCF inverso dice que el precio descuenta un crecimiento del 16,5 % anual durante ocho años con nuestro margen, o un margen EBITDA limpio del 36,7 % en FY2034e con nuestro crecimiento: el doble del 8,3 % proyectado o casi el doble del 19 % final. Es muy exigente frente a la historia (7,6 % de crecimiento en siete años) y frente a Rubrik, que crece más y no gana dinero. La diferencia está en la remuneración en acciones: el mercado y los analistas valoran el flujo libre (258,5 M en 12 meses, 4,0 % de rentabilidad) que la suma como si fuera caja, pero la empresa gasta ≈ 60 % de ese flujo en recomprar las acciones que entrega. Con la prima del mercado el DCF sube a 97,56 USD (−37 %): ni con la tasa más baja se acerca al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Rubrik y Veeam ganan las renovaciones grandes con SaaS más barato y Microsoft y AWS integran la copia básica en su nube; el paso a suscripción ya no ayuda y el ARR crece menos del 10 %. El margen no sube porque la remuneración en acciones se mantiene para retener ingenieros: crecimiento 3 puntos menor y margen 3 puntos menor.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+10-11 % con SaaS +30 % que compensa el fin del mantenimiento perpetuo; margen limpio del 10 % al 19 % en ocho años por la escala del SaaS y una remuneración en acciones que baja como peso de las ventas.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104,27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demanda por ransomware y la protección de datos de la IA aceleran el SaaS (alianza con Azure), Commvault gana cuota a Veritas/Cohesity en la fusión y el margen sube antes: 2 puntos más de crecimiento y de margen. Además, la venta de la empresa a un fondo (Thoma Bravo) con prima.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USD) · precio actual 155,8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77,37 USD (-50,4 %).</w:t>
      </w:r>
    </w:p>
    <w:p>
      <w:pPr>
        <w:spacing w:after="100"/>
      </w:pPr>
      <w:r>
        <w:t xml:space="preserve">Los tres escenarios del DCF están por debajo del precio: el alcista vale 104,27 USD (−33 %) y el bajista 45,58 (−71 %). El precio de 155,85 USD solo se justifica con un crecimiento y un margen muy por encima del alcista o con una venta de la empresa con prima (Datto se vendió a 10 veces las ventas [29]; Commvault cotiza a 5,3). El ponderado de los escenarios queda un 50 % por debajo del precio.</w:t>
      </w:r>
    </w:p>
    <w:p>
      <w:pPr>
        <w:pStyle w:val="Heading1"/>
      </w:pPr>
      <w:r>
        <w:t xml:space="preserve">22. Suma de partes</w:t>
      </w:r>
    </w:p>
    <w:p>
      <w:pPr>
        <w:pStyle w:val="Confianza"/>
        <w:spacing w:after="100"/>
      </w:pPr>
      <w:r>
        <w:t xml:space="preserve">Confianza: Alta</w:t>
      </w:r>
    </w:p>
    <w:p>
      <w:pPr>
        <w:spacing w:after="100"/>
      </w:pPr>
      <w:r>
        <w:t xml:space="preserve">No aplica: Commvault es un solo negocio (protección y recuperación de datos) que vende el mismo software con tres modelos de entrega (licencia a plazo, suscripción gestionada por el cliente y SaaS) y una base de mantenimiento de licencias perpetuas que se va consumiendo; no publica segmentos con resultado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USD) · precio actual 155,8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156,63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84,03 USD (-46,1 % sobre 155,85).</w:t>
      </w:r>
    </w:p>
    <w:p>
      <w:pPr>
        <w:spacing w:after="100"/>
      </w:pPr>
      <w:r>
        <w:t xml:space="preserve">Pesos: DCF 50 %, escenarios 30 % y comparables 20 %. El DCF es el método central en un software con capital nulo, pero depende de tratar la remuneración en acciones como un gasto (lo es: la empresa recompra para compensarla). Los comparables (mediana de PER no GAAP de 17,8 veces y EV/EBITDA) dan 104,55 USD; las transacciones (Datto, Carbonite, Veritas) no pesan porque son compras de control con prima y de hace años, pero recuerdan que un fondo podría pagar 8-10 veces las ventas (200-250 USD) si hay venta. El valor objetivo de la síntesis es de 84,03 USD (−46 %); el rango del DCF con ± 0,5 puntos (71,70-90,33) está lejos del precio. El puente es neutro: los 929,8 M de caja compensan los 900 M del convertible (precio de conversión 236,88 USD, muy por encima del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(52x) × 1.1 (tope: la mediana de 5 años, 67.2x,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186,47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269,95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+73,2 %</w:t>
            </w:r>
          </w:p>
        </w:tc>
      </w:tr>
    </w:tbl>
    <w:p>
      <w:pPr>
        <w:spacing w:after="160" w:before="0"/>
      </w:pPr>
    </w:p>
    <w:p>
      <w:pPr>
        <w:spacing w:after="100"/>
      </w:pPr>
      <w:r>
        <w:rPr>
          <w:b/>
          <w:bCs/>
        </w:rPr>
        <w:t xml:space="preserve">Objetivo a 12 meses (ponderado):</w:t>
      </w:r>
      <w:r>
        <w:t xml:space="preserve"> 178,45 USD · rentabilidad +14,5 % (base +19,6 %) · señal Mantener.</w:t>
      </w:r>
    </w:p>
    <w:p>
      <w:pPr>
        <w:spacing w:after="100"/>
      </w:pPr>
      <w:r>
        <w:t xml:space="preserve">Para comparar, con la regla v2 (historia al cierre, mismo precio): 46,6x / 52,0x / 67,6x, 14,1 % Mantener; con el tope anterior del base (×1,3, 14-oct mediodía): 16,5 %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El consenso mide el BPA sin la remuneración en acciones: 5,46 USD en FY2027e y 6,20 en FY2028e [23]. En esa base nuestro FY2028e sería ≈ 5,9 USD (5 % por debajo, porque no suponemos recompras netas más allá de compensar la dilución). En nuestra base (remuneración en acciones como gasto) son 2,66 y 3,26 USD: la diferencia, ≈ 2,4-2,6 USD por acción, es la remuneración en acciones (≈ 142-149 M al año) y la reestructuración después de impuestos. El objetivo medio de los analistas (163,49 USD) es ≈ 26 veces su BPA no GAAP de FY2028e; el nuestro (178,45 ponderado) es mayor porque la regla común aplica el PER histórico de Commvault en base limpia (mediana de 67 veces), que es alto porque el beneficio limpio ha sido muy pequeño.</w:t>
      </w:r>
    </w:p>
    <w:p>
      <w:pPr>
        <w:keepNext/>
        <w:spacing w:after="100"/>
      </w:pPr>
      <w:r>
        <w:rPr>
          <w:b/>
          <w:bCs/>
        </w:rPr>
        <w:t xml:space="preserve">Del valor intrínseco al objetivo a 12 meses.</w:t>
      </w:r>
    </w:p>
    <w:p>
      <w:pPr>
        <w:spacing w:after="100"/>
      </w:pPr>
      <w:r>
        <w:t xml:space="preserve">El objetivo a 12 meses (178,45 USD, ponderado) queda un 14,5 % sobre el precio; el base (186,47) un 19,6 %. El base supone que el BPA limpio pasa de 1,67 USD (FY2026) a 3,26 en FY2028e (+40 % anual: apalancamiento operativo sobre un margen limpio del 6,8 %, no crecimiento del negocio; en la base no GAAP, +19 % anual) y que el PER sube de 52 a 57,2 veces: la regla lo lleva hacia la mediana adelantada de cinco años (67,2) con el tope de ×1,1. Esa mediana está inflada por años de beneficio limpio deprimido (99 veces en FY2022, 94,5 en FY2025): con la historia sin esos años la ponderada no llegaría al 10 %. El bajista (70,91 USD, −55 %) es el PER de marzo de 2026 sobre un BPA un 26 % menor. Aunque la ponderada llegase al 15 %, no se compraría: el valor intrínseco (84,03 USD) está un 46 % por debajo del precio. La regla da Mantener entre 84,03 USD (comprar) y 198,28 (vender).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FY2027 (antes de la apertura)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por suscripción frente a la guía de 264-268 M, ARR nuevo y guía anual; las últimas tres presentaciones movieron la acción −16 %, −31 % y −20 % en un día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Proceso de venta (Goldman Sachs; interés de Thoma Bravo según Reuters, 10-abr-2026)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 de compra del 30-50 % si se anuncia; sin novedades desde abril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trimestre más fuerte en ARR; el de enero de 2026 hundió la acción un 31 %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FY2027 y guía de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no GAAP &gt; 21 % y remuneración en acciones como peso de las ventas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Alianza con Microsoft Azure (24-jun-2026) y venta en los mercados de las nubes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SaaS de clientes medianos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 60 % del flujo libre)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Compensan la dilución; no reducen mucho las acciones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Demandas colectivas (Imbert v. Commvault, D.N.J.)</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 de un acuerdo; ruido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Rubrik (ventas +38 %, ARR de 1.660 M frente a 1.054 M de Commvault), Veeam (privada, primera del cuadrante de Gartner) y Cohesity-Veritas (≈ 1.700 M) compiten por las mismas renovaciones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a −40 %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instalada grande, retención neta del 114 %, líder en Gartner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 de suscripción creciendo menos del 15 % o retención neta bajo el 110 %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el precio descuenta un crecimiento del 16,5 % anual o un margen limpio del 37 % (DCF inverso)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−45 % hasta el valor intrínseco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venta de la empresa con prima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proceso de venta sin oferta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(10,4 % de las ventas; 172,4 M por reconocer) que no baja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que la compensan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en acciones por encima del 10 % de las ventas en FY2028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y guía: tres caídas del 16-31 % en un día en 12 meses; nuevo director financiero desde abril de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a −30 % en un día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más prudente desde julio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 nuevo bajo lo esperado el 27-oct-2026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Seguridad del propio producto (incidente de Metallic en Azure de 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acceso a datos copiados en 2025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aviso de CISA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Nubes (Microsoft, AWS, Google) integran la copia y recuperación básica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Commvault es socio de Azure y protege varias nubes y equipos propios a la vez</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clientes medianos de Metallic</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puede ayudar (más datos que proteger, ataques de ransomware con IA) y restar (copia autónoma en las nubes, rivales nuevos)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Productos para proteger datos y agentes de IA (Satori, Arlie)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por terabyte a la baja en las renovaciones</w:t>
            </w:r>
          </w:p>
        </w:tc>
      </w:tr>
    </w:tbl>
    <w:p>
      <w:pPr>
        <w:spacing w:after="160" w:before="0"/>
      </w:pPr>
    </w:p>
    <w:p>
      <w:pPr>
        <w:pStyle w:val="Heading2"/>
      </w:pPr>
      <w:r>
        <w:t xml:space="preserve">Pre-mortem</w:t>
      </w:r>
    </w:p>
    <w:p>
      <w:pPr>
        <w:spacing w:after="100"/>
      </w:pPr>
      <w:r>
        <w:t xml:space="preserve">Octubre de 2027: la acción ha caído un 45 %. El proceso de venta terminó sin oferta y el mercado dejó de pagar la prima. Rubrik superó a Commvault en ARR por más de 700 M y ganó las renovaciones grandes con su SaaS; Veeam bajó precios tras su salida a bolsa y Microsoft integró la copia básica en Azure. El ARR de suscripción creció un 12 % y la empresa recortó la guía dos veces; la remuneración en acciones siguió por encima del 10 % de las ventas para retener ingenieros y el BPA limpio no pasó de 2,5 USD. El mercado volvió a valorar a Commvault por su BPA con la remuneración en acciones (30 veces), no por su flujo libre. La señal temprana: un 2T FY2027 con ingresos por suscripción en la parte baja de 264-268 M y retención neta por debajo del 110 %.</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±10 % a 3-5 años</w:t>
      </w:r>
    </w:p>
    <w:p>
      <w:pPr>
        <w:spacing w:after="100"/>
      </w:pPr>
      <w:r>
        <w:t xml:space="preserve">La IA ayuda: multiplica los datos que las empresas guardan y tienen que proteger (datos de entrenamiento, modelos, agentes), y los ataques de ransomware hechos con IA son más rápidos y frecuentes, lo que sube la demanda de recuperación limpia y probada; Commvault vende productos para proteger y gobernar los datos que usa la IA (Satori, el asistente Arlie). La IA resta: abarata escribir software y facilita rivales nuevos; las nubes pueden automatizar la copia y recuperación dentro de su plataforma; y el mercado castiga a las empresas de software con precio por usuario o por capacidad por miedo a que la IA las sustituya. En conjunto, Mixto: la necesidad de recuperar datos no desaparece, pero el precio por terabyte puede bajar. Señal: precio por terabyte en renovaciones y crecimiento del ARR de SaaS.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Commvault es la seguridad de su propio software y de su nube (un fallo en Metallic expone datos de miles de clientes), la protección de datos personales de los clientes, la retención de ingenieros (la remuneración en acciones es el 10 % de las ventas) y el gobierno de la remuneración y de la venta de la empresa [1, 16]. El impacto ambiental propio es bajo (oficinas y centros de datos de terceros).</w:t>
      </w:r>
    </w:p>
    <w:p>
      <w:pPr>
        <w:pStyle w:val="Heading2"/>
      </w:pPr>
      <w:r>
        <w:t xml:space="preserve">Controversias</w:t>
      </w:r>
    </w:p>
    <w:p>
      <w:pPr>
        <w:spacing w:after="100"/>
      </w:pPr>
      <w:r>
        <w:t xml:space="preserve">Incidente de seguridad de 2025: un actor estatal explotó una vulnerabilidad de Metallic en Azure y la agencia de ciberseguridad de EE. UU. (CISA) emitió un aviso; la empresa dijo que no hubo acceso a los datos copiados de los clientes. Demandas colectivas de 2026 (Imbert v. Commvault, D.N.J.) por las declaraciones sobre el ARR nuevo antes de la caída de enero [31]. Ventas de directivos de 18,0 M USD en 12 meses, sin compras [21]. Calificaciones de MSCI, Sustainalytics o CDP no comprobadas en fuente primaria: no se dan.</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de las ventas tendrá la remuneración en acciones en FY2028-FY2030 y cuánto del flujo libre seguirá yendo a recomprar para compensarla?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nuestro valor (84 USD) y el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nuevo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ARR nuevo del 3T FY2026 fue de 39 M frente a ≈ 45 M esperado, y qué parte fue pérdida frente a Rubrik o Veeam?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caída del 31 % y las demandas colectivas.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de la empresa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¿Sigue abierto el proceso con Goldman Sachs y hubo ofertas en firme?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único camino al precio actual con prima.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tasa de éxito tiene Commvault frente a Rubrik y Veeam en renovaciones y clientes nuevos de más de 100.000 USD de ARR?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crecimiento del 10-11 % es sostenible.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Mantenimiento perpetuo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queda de ingresos de mantenimiento de licencias perpetuas y a qué ritmo cae?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Resta crecimiento hasta que se agote.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Reestructuración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hubo 32,2 M de reestructuración en FY2026 y por qué se repite todos los 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tratamos como recurrente; si no lo es, el BPA limpio sube ≈ 0,15 USD.</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($CVLT)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de análisis técnico (soporte en la media de 50 sesiones, «rompió y vendió fuerte»), especulación de compra («must be a buyout coming») y muchos mensajes de despachos sobre la demanda colectiva; comparaciones con Rubrik, a la que varios ven sobrevalorada frente a Commvault [32].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y titulares)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Artículos alcistas con matices («compra el negocio, respeta el resultado», fuerza oculta del SaaS) frente a la rebaja de Piper Sandler por falta de catalizadores [33].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MarketBeat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objetivo de RBC, Mizuho y Scotiabank en octubre; ventas del director financiero y de la directora de contabilidad sin debate [27].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Motley Fool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el 1T27, «guía modesta» y una acción que «estaba cotizada para fuegos artificiales» tras subir un 92 % desde marzo [9].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Posible compra por un fondo (Thoma Bravo)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un informe de Reuters (abril) pero ningún comunicado ni novedad en seis meses; el precio ya está por encima de lo que daba una prima del 30 % sobre el de abril [32].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Rubrik frente a Commvault</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Rubrik crece al 38 % y Commvault al 11 %; Commvault es más barata por ventas (5 frente a 15 veces) pero pierde cuota en SaaS [32].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Credibilidad del ARR y demandas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fallo del ARR neto nuevo del 3T26 y el cambio de métricas son reales; las demandas están en fase inicial [32].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Resultados que baten y acción que cae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Batió el BPA en los cuatro últimos trimestres y cayó en tres de ellos: el mercado mira el ARR y la guía, no el BPA [9, 33].</w:t>
            </w:r>
          </w:p>
        </w:tc>
      </w:tr>
    </w:tbl>
    <w:p>
      <w:pPr>
        <w:spacing w:after="160" w:before="0"/>
      </w:pPr>
    </w:p>
    <w:p>
      <w:pPr>
        <w:spacing w:after="100"/>
      </w:pPr>
      <w:r>
        <w:t xml:space="preserve">El sentimiento es dividido y mejora: los particulares han pasado de la capitulación de abril (mínimo de 71,75 USD) a especular con una compra, y los analistas suben objetivos [27, 32]. No es euforia, pero la acción ha doblado y parte del precio descansa en una posible opa sin confirmar. El riesgo que señalan los foros y que el informe recoge es la competencia de Rubrik y la credibilidad del ARR. Opiniones, no datos: ninguna cifra sale de aquí.</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22 controles correctos y 3 explicados. Fuentes: 35 (17 primarias); citas distintas en el texto: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-102,0 %: explica la causa (créditos fiscales, regularizaciones, mezcla de países) y no lo proyectes en el DCF. Explicación: En FY2024 la empresa liberó la provisión de valoración de sus activos fiscales diferidos en EE. UU. (activo fiscal diferido de 0 a 111,2 M): beneficio fiscal extraordinario y tipo de −102 %; en FY2025 aún se notó (6 %). No se proyecta: el DCF y el BPA usan un 24 %, el tipo no GAAP que usa la empresa y cercano al GAAP de FY2026 [1, 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6,0 %: explica la causa (créditos fiscales, regularizaciones, mezcla de países) y no lo proyectes en el DCF. Explicación: En FY2024 la empresa liberó la provisión de valoración de sus activos fiscales diferidos en EE. UU. (activo fiscal diferido de 0 a 111,2 M): beneficio fiscal extraordinario y tipo de −102 %; en FY2025 aún se notó (6 %). No se proyecta: el DCF y el BPA usan un 24 %, el tipo no GAAP que usa la empresa y cercano al GAAP de FY2026 [1, 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8,3 % en FY2034e frente al 10,2 %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-37,0 % frente a -37,9 % real: genera una variación de circulante de -34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FY2028e (3,26) supone un 43,6 % anual desde 1,58 (FY2026): explícalo en valoracion.objetivo_12m.comentario o la confianza es baja. Explicación: El motor mide desde el BPA GAAP de FY2026 (1,58 USD). En la base limpia (1,67 USD en FY2026), el BPA base de FY2028e (3,26) crece un 40 % anual: no es crecimiento del negocio sino apalancamiento operativo sobre un margen limpio muy fino (6,8 % en FY2026): las ventas +22 % en dos años (guía FY2027 1.300-1.310 M), el margen no GAAP del 20 % al 22 % (guía ≈ 21 % en FY2027), la reestructuración del 2,7 % de las ventas en FY2026 (32,2 M) a ≈ 0,8 %, y 42 M de acciones frente a 44,6 M. En la base del consenso (no GAAP) el BPA crece ≈ 19 % anual (4,35 → 6,20 USD) [3, 23]. Por eso el bajista resta 3 puntos de margen (BPA 2,42, −26 %) y la prueba del BPA −10 % es la que cuenta.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 fuentes (17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Propio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transcripción de las dos últimas conferencias (preguntas de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Seeking Alpha (transcripción del 1T27 y del 4T26: registro obligatorio); 2) Quartr y StockTaper (registro y error 429); 3) resúmenes de prensa (Motley Fool, MarketBeat, StorageNewsletter): solo titulares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usan las notas de resultados y la prensa; preguntas sin documentar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los cinco primeros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Gartner (cuadrante 2026, sin cuotas en abierto); 2) IDC (sin cifras en abierto); 3) prensa sectorial (Blocks &amp; Files, IT Europa): cuotas con perímetros distintos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de cada consejero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(tabla gráfica que el texto no conserva); 2) web de gobierno corporativo de la empresa; 3) 8-K de nombramientos (solo Morton)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indica «según el proxy de 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GAAP y EBITDA del consenso; FY2029e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quoteSummary (solo BPA no GAAP de dos ejercicios); 2) MarketBeat (solo titulares); 3) MarketScreener no abre sin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BPA propio se calcula con la remuneración en acciones como gasto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causa de la subida de agosto-octubre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de la empresa (solo el nombramiento de Morton); 2) titulares de Seeking Alpha (RSS); 3) noticias de MarketBeat (subidas de objetivo)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explica con las subidas de objetivo y la especulación de compra, sin causa confirmada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FY2026 (cerrado el 31-mar-2026): cuentas, ingresos por tipo y región, convertibles, recompras, reestructuración, remuneración en acciones, impuestos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Commvault Systems,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https://www.sec.gov/Archives/edgar/data/1169561/000116956126000017/cvlt-20260331.htm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Commvault Announces First Quarter Fiscal 2027 Financial Results (cuentas del 1T, conciliación no GAAP, ARR, guía FY2027)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Commvault Systems,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https://www.sec.gov/Archives/edgar/data/1169561/000116956126000020/q1fy27pressrelease.htm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Commvault Announces Fourth Quarter Fiscal 2026 Financial Results (cifras anuales FY2026, conciliación no GAAP, guía FY2027 con definiciones nuevas)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Commvault Systems,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https://www.sec.gov/Archives/edgar/data/1169561/000116956126000013/q4fy26pressrelease.htm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del 1T, 2T y 3T FY2026 (29-jul-2025, 28-oct-2025, 27-ene-2026)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Commvault Systems,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https://www.sec.gov/Archives/edgar/data/1169561/000116956126000003/q3fy26pressrelease.htm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1T FY2027 (30-jun-2026): convertibles, línea de crédito, demandas colectivas, recompras, KPI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Commvault Systems,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https://www.sec.gov/Archives/edgar/data/1169561/000116956126000024/cvlt-20260630.htm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Commvault (remuneración en acciones, reestructuración, amortización de intangibles, deterioro de la sede en FY2023, ingresos diferidos, comisiones activadas)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https://data.sec.gov/api/xbrl/companyfacts/CIK0001169561.json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emisión de 900 M USD de bonos convertibles al 0 % con vencimiento en 2030 y compra de opciones con techo (capped calls)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Commvault Systems,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https://www.sec.gov/Archives/edgar/data/1169561/000116956125000075/cvlt-20250902.htm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Seeking Alpha sobre CVLT (resultados frente al consenso de cada trimestre, conferencias)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https://seekingalpha.com/api/sa/combined/CVLT.xml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Commvault Stock Crashed Today (1T FY2027: guía prudente, ingresos por suscripción algo menores en el 2T)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https://www.fool.com/investing/2026/07/28/why-commvault-stock-crashed-today/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Backup and Recovery Software Market (10.620 M USD en 2024, 11.650 M en 2025, 26.790 M en 2034, TCAC del 9,69 %)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Research Future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https://www.marketresearchfuture.com/reports/data-center-backup-and-recovery-software-market-31689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Backup and Recovery Software Market (5.571,8 M USD en 2023, 10.800 M en 2030, TCAC del 9,8 %)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Valuates Reports (PR 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https://tools.prnewswire.com/en-us/live/20823/release/20251127EN34661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Veeam leads 2026 Gartner backup MQ by a whisker (Cohesity, Commvault, Rubrik y Veeam en líderes)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Blocks &amp; Files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https://www.blocksandfiles.com/data-protection/2026/07/03/veeam-leads-2026-gartner-backup-mq-by-a-whisker/5266085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Rubrik fiscal 2Q27 financial results (ingresos 427,3 M USD, +38 %; ARR de suscripción 1.660 M, +33 %; guía FY2027 1.685-1.693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StorageNewsletter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https://www.storagenewsletter.com/2026/08/28/rubrik-fiscal-2q27-financial-results/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Cohesity becomes number one in data protection by creating $7bn firm with Veritas (ingresos pro forma &gt; 1.700 M USD, ARR 1.500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 Europa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https://iteuropa.com/news/cohesity-becomes-number-one-data-protection-creating-7bn-firm-veritas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competidores y comparables (ventas y márgenes de los últimos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https://finance.yahoo.com/quote/RBRK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remuneración, accionistas, ratio de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Commvault Systems,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https://www.sec.gov/Archives/edgar/data/1169561/000116956126000018/cvlt-20260624.htm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del 6-ago-2026 (votos)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Commvault Systems,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https://www.sec.gov/Archives/edgar/data/1169561/000116956126000027/cvlt-20260806.htm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Gary Merrill, director financiero, y Geoff Haydon, presidente de clientes y operaciones de campo (13-abr-2026)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Commvault Systems,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https://www.sec.gov/Archives/edgar/data/1169561/000116956126000008/pressrelease-geoffandgary2.htm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salida de la directora financiera Jen DiRico (4-dic-2025)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Commvault Systems,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https://www.sec.gov/Archives/edgar/data/1169561/000116956125000094/pressrelease-cforesignation.htm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David Morton entra en el consejo (24-sep-2026)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Commvault Systems,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https://www.sec.gov/Archives/edgar/data/1169561/000116956126000030/pressrelease-davidmorton20.htm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directivos y consejeros de Commvault (21-oct-2025 a 21-oct-2026), herramienta 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https://www.sec.gov/cgi-bin/browse-edgar?action=getcompany&amp;CIK=0001169561&amp;type=4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CVLT, SPY e IGV (precio, rango, rentabilidades, beta, cierres de ejercicio):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https://finance.yahoo.com/quote/CVLT/history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CVLT y comparables (BPA no GAAP y ventas, objetivos, recomendaciones, remuneración en acciones de 12 meses; sesión del 21-oct a las 10:43 de Nueva York): quoteSummary y fundamentals-timeseries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https://finance.yahoo.com/quote/CVLT/analysis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5,12 % el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Exclusive: Commvault explores sale after takeover interest, sources say (Goldman Sachs, Thoma Bravo)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(vía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https://finance.yahoo.com/markets/stocks/articles/exclusive-commvault-explores-sale-takeover-165715528.html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Noticias de CommVault Systems (subidas de objetivo de RBC, Mizuho y Scotiabank en octubre de 2026; fecha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https://www.marketbeat.com/stocks/NASDAQ/CVLT/news/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Commvault Announces Second Quarter Fiscal Year 2027 Earnings Release Date (27-oct-2026)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Commvault Systems, Inc. (vía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https://finviz.com/news/399246/commvault-announces-second-quarter-fiscal-year-2027-earnings-release-date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Kaseya-Datto: Datto Announces Fourth Quarter and Full Year 2021 Financial Results (ingresos de 618,7 M USD, EBITDA ajustado de 175,4 M) y compra por 6.200 M (35,50 USD por acción, prima del 52 %)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Datto Holding Corp. / Kaseya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https://www.kaseya.com/?p=14784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OpenText to acquire Carbonite (valor empresa ≈ 1.420 M USD, ≈ 2,8 veces los ingresos de 12 meses, prima del 78 %)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Carbonite, Inc. (SEC, SC 14D9-C)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nov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https://www.sec.gov/Archives/edgar/data/1340127/000119312519289310/d832010dex991.htm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Imbert v. Commvault Systems (D.N.J. 26-cv-5654): ficha de la demanda colectiva (periodo 29-abr-2025 a 26-ene-2026, ARR neto nuevo de 39 M frente a ≈ 45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Bleichmar Fonti &amp; Auld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https://www.bfalaw.com/cases/commvault-systems-class-action-lawsuit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$CVLT (jul-oct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https://api.stocktwits.com/api/2/streams/symbol/CVLT.json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artículos sobre CVLT («Buy The Business, Respect The Print», 19-oct; «Recent Earnings Results Show Subscriber Growth», 1-ago; «The Hidden SaaS Strength Behind CVLT's Recent Dip», 2-jul; «Circling The Wagons On Takeover Interest», 14-abr)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https://seekingalpha.com/symbol/CVLT/analysis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de software (14-oct-2026): excluye ciberseguridad e infraestructura; sin ficha propia de protección de datos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(sectores/software-2026-10-14.md)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sectores/software-2026-10-14.md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Cálculo propio del BPA limpio (remuneración en acciones como gasto) y del PER histórico a partir del XBRL de la SEC y de los cierres de Yahoo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Elaboración propia (notas/propio.mjs)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89,7 %</w:t>
      </w:r>
      <w:r>
        <w:t xml:space="preserve"> · Secciones con menos del 60 % de campos cubiertos: </w:t>
      </w:r>
      <w:r>
        <w:rPr>
          <w:b/>
          <w:bCs/>
        </w:rPr>
        <w:t xml:space="preserve">ninguna</w:t>
      </w:r>
      <w:r>
        <w:t xml:space="preserve"> · Generado el 21 oct 2026.</w:t>
      </w:r>
    </w:p>
    <w:p>
      <w:pPr>
        <w:pStyle w:val="Nota"/>
        <w:spacing w:after="100"/>
      </w:pPr>
      <w:r>
        <w:t xml:space="preserve">Cifras en millones de USD, ejercicio a 31 de marzo etiquetado por el año en que termina (FY2026 = abr-25 a mar-26). Último ejercicio real FY2026 (10-K del 11-may-2026) y último trimestre el 1T FY2027 (10-Q a 30-jun-2026); el 2T FY2027 se publica el 27-oct-2026, seis días después del corte. Precio: cierre del 20-oct-2026 (155,85 USD); la sesión del 21-oct estaba abierta (162,34 USD a las 14:43 UTC [23]) y la decisión se comprueba con ese precio en las pruebas de robustez. El DCF y la regla a 12 meses tratan la remuneración en acciones (123,4 M en FY2026, 10,4 % de las ventas) como un gasto: el BPA de la regla es un BPA «limpio» (GAAP sin amortización de intangibles comprados ni deterioros, con la reestructuración, que se repite cada año, dentro), no el no GAAP de la empresa y del consenso (5,46 USD en FY2027e frente a 2,66 nuestro). Sin transcripciones de las conferencias de resultados (no accesibles). Calificación crediticia sin comprobar (el convertible no está calificado). Precio de una acción en EUR: ≈ 134 EUR, un 0,4 % de una cartera de 30.000 EUR.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Commvault Systems, Inc. (CVLT)</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155,85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(71,75 – 175,03)</c:v>
                </c:pt>
                <c:pt idx="1">
                  <c:v>Precio objetivo de los analistas (130,00 – 200,00)</c:v>
                </c:pt>
                <c:pt idx="2">
                  <c:v>Comparables: PER NTM (73,42 – 132,16)</c:v>
                </c:pt>
                <c:pt idx="3">
                  <c:v>Transacciones precedentes (EV/ventas) (101,43 – 206,18)</c:v>
                </c:pt>
                <c:pt idx="4">
                  <c:v>DCF (WACC y g ± 0,5) (71,70 – 90,33)</c:v>
                </c:pt>
                <c:pt idx="5">
                  <c:v>Escenarios (bajista – alcista) (45,58 – 104,27)</c:v>
                </c:pt>
                <c:pt idx="6">
                  <c:v>DCF con la prima implícita del mercado (4,2 %)</c:v>
                </c:pt>
                <c:pt idx="7">
                  <c:v>Precio actual (155,85)</c:v>
                </c:pt>
              </c:strCache>
            </c:strRef>
          </c:cat>
          <c:val>
            <c:numRef>
              <c:f>Hoja1!$B$2:$B$9</c:f>
              <c:numCache>
                <c:formatCode>#,##0</c:formatCode>
                <c:ptCount val="8"/>
                <c:pt idx="0">
                  <c:v>71.75</c:v>
                </c:pt>
                <c:pt idx="1">
                  <c:v>130</c:v>
                </c:pt>
                <c:pt idx="2">
                  <c:v>73.42</c:v>
                </c:pt>
                <c:pt idx="3">
                  <c:v>101.43</c:v>
                </c:pt>
                <c:pt idx="4">
                  <c:v>71.7</c:v>
                </c:pt>
                <c:pt idx="5">
                  <c:v>45.58</c:v>
                </c:pt>
                <c:pt idx="6">
                  <c:v>89.98</c:v>
                </c:pt>
                <c:pt idx="7">
                  <c:v>155.07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(71,75 – 175,03)</c:v>
                </c:pt>
                <c:pt idx="1">
                  <c:v>Precio objetivo de los analistas (130,00 – 200,00)</c:v>
                </c:pt>
                <c:pt idx="2">
                  <c:v>Comparables: PER NTM (73,42 – 132,16)</c:v>
                </c:pt>
                <c:pt idx="3">
                  <c:v>Transacciones precedentes (EV/ventas) (101,43 – 206,18)</c:v>
                </c:pt>
                <c:pt idx="4">
                  <c:v>DCF (WACC y g ± 0,5) (71,70 – 90,33)</c:v>
                </c:pt>
                <c:pt idx="5">
                  <c:v>Escenarios (bajista – alcista) (45,58 – 104,27)</c:v>
                </c:pt>
                <c:pt idx="6">
                  <c:v>DCF con la prima implícita del mercado (4,2 %)</c:v>
                </c:pt>
                <c:pt idx="7">
                  <c:v>Precio actual (155,85)</c:v>
                </c:pt>
              </c:strCache>
            </c:strRef>
          </c:cat>
          <c:val>
            <c:numRef>
              <c:f>Hoja1!$C$2:$C$9</c:f>
              <c:numCache>
                <c:formatCode>#,##0</c:formatCode>
                <c:ptCount val="8"/>
                <c:pt idx="0">
                  <c:v>103.28</c:v>
                </c:pt>
                <c:pt idx="1">
                  <c:v>70</c:v>
                </c:pt>
                <c:pt idx="2">
                  <c:v>58.739999999999995</c:v>
                </c:pt>
                <c:pt idx="3">
                  <c:v>104.75</c:v>
                </c:pt>
                <c:pt idx="4">
                  <c:v>18.629999999999995</c:v>
                </c:pt>
                <c:pt idx="5">
                  <c:v>58.69</c:v>
                </c:pt>
                <c:pt idx="6">
                  <c:v>16.47999999999999</c:v>
                </c:pt>
                <c:pt idx="7">
                  <c:v>1.5600000000000023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Licencia a plazo</c:v>
                </c:pt>
              </c:strCache>
            </c:strRef>
          </c:tx>
          <c:spPr>
            <a:solidFill>
              <a:srgbClr val="2A78D6"/>
            </a:solidFill>
            <a:ln w="12700">
              <a:solidFill>
                <a:srgbClr val="FFFFFF"/>
              </a:solidFill>
            </a:ln>
          </c:spPr>
          <c:invertIfNegative val="0"/>
          <c:cat>
            <c:strRef>
              <c:f>Hoja1!$A$2:$A$4</c:f>
              <c:strCache>
                <c:ptCount val="3"/>
                <c:pt idx="0">
                  <c:v>FY2024</c:v>
                </c:pt>
                <c:pt idx="1">
                  <c:v>FY2025</c:v>
                </c:pt>
                <c:pt idx="2">
                  <c:v>FY2026</c:v>
                </c:pt>
              </c:strCache>
            </c:strRef>
          </c:cat>
          <c:val>
            <c:numRef>
              <c:f>Hoja1!$B$2:$B$4</c:f>
              <c:numCache>
                <c:formatCode>#,##0</c:formatCode>
                <c:ptCount val="3"/>
                <c:pt idx="0">
                  <c:v>303</c:v>
                </c:pt>
                <c:pt idx="1">
                  <c:v>370.4</c:v>
                </c:pt>
                <c:pt idx="2">
                  <c:v>435.3</c:v>
                </c:pt>
              </c:numCache>
            </c:numRef>
          </c:val>
        </c:ser>
        <c:ser>
          <c:idx val="1"/>
          <c:order val="1"/>
          <c:tx>
            <c:strRef>
              <c:f>Hoja1!$C$1</c:f>
              <c:strCache>
                <c:ptCount val="1"/>
                <c:pt idx="0">
                  <c:v>SaaS (Commvault Cloud, antes Metallic; Clumio)</c:v>
                </c:pt>
              </c:strCache>
            </c:strRef>
          </c:tx>
          <c:spPr>
            <a:solidFill>
              <a:srgbClr val="EB6834"/>
            </a:solidFill>
            <a:ln w="12700">
              <a:solidFill>
                <a:srgbClr val="FFFFFF"/>
              </a:solidFill>
            </a:ln>
          </c:spPr>
          <c:invertIfNegative val="0"/>
          <c:cat>
            <c:strRef>
              <c:f>Hoja1!$A$2:$A$4</c:f>
              <c:strCache>
                <c:ptCount val="3"/>
                <c:pt idx="0">
                  <c:v>FY2024</c:v>
                </c:pt>
                <c:pt idx="1">
                  <c:v>FY2025</c:v>
                </c:pt>
                <c:pt idx="2">
                  <c:v>FY2026</c:v>
                </c:pt>
              </c:strCache>
            </c:strRef>
          </c:cat>
          <c:val>
            <c:numRef>
              <c:f>Hoja1!$C$2:$C$4</c:f>
              <c:numCache>
                <c:formatCode>#,##0</c:formatCode>
                <c:ptCount val="3"/>
                <c:pt idx="0">
                  <c:v>126.2</c:v>
                </c:pt>
                <c:pt idx="1">
                  <c:v>219.3</c:v>
                </c:pt>
                <c:pt idx="2">
                  <c:v>333</c:v>
                </c:pt>
              </c:numCache>
            </c:numRef>
          </c:val>
        </c:ser>
        <c:ser>
          <c:idx val="2"/>
          <c:order val="2"/>
          <c:tx>
            <c:strRef>
              <c:f>Hoja1!$D$1</c:f>
              <c:strCache>
                <c:ptCount val="1"/>
                <c:pt idx="0">
                  <c:v>Soporte (de licencias a plazo y perpetuas)</c:v>
                </c:pt>
              </c:strCache>
            </c:strRef>
          </c:tx>
          <c:spPr>
            <a:solidFill>
              <a:srgbClr val="1BAF7A"/>
            </a:solidFill>
            <a:ln w="12700">
              <a:solidFill>
                <a:srgbClr val="FFFFFF"/>
              </a:solidFill>
            </a:ln>
          </c:spPr>
          <c:invertIfNegative val="0"/>
          <c:cat>
            <c:strRef>
              <c:f>Hoja1!$A$2:$A$4</c:f>
              <c:strCache>
                <c:ptCount val="3"/>
                <c:pt idx="0">
                  <c:v>FY2024</c:v>
                </c:pt>
                <c:pt idx="1">
                  <c:v>FY2025</c:v>
                </c:pt>
                <c:pt idx="2">
                  <c:v>FY2026</c:v>
                </c:pt>
              </c:strCache>
            </c:strRef>
          </c:cat>
          <c:val>
            <c:numRef>
              <c:f>Hoja1!$D$2:$D$4</c:f>
              <c:numCache>
                <c:formatCode>#,##0</c:formatCode>
                <c:ptCount val="3"/>
                <c:pt idx="0">
                  <c:v>307.8</c:v>
                </c:pt>
                <c:pt idx="1">
                  <c:v>307.6</c:v>
                </c:pt>
                <c:pt idx="2">
                  <c:v>320.4</c:v>
                </c:pt>
              </c:numCache>
            </c:numRef>
          </c:val>
        </c:ser>
        <c:ser>
          <c:idx val="3"/>
          <c:order val="3"/>
          <c:tx>
            <c:strRef>
              <c:f>Hoja1!$E$1</c:f>
              <c:strCache>
                <c:ptCount val="1"/>
                <c:pt idx="0">
                  <c:v>Licencia perpetua y otros servicios</c:v>
                </c:pt>
              </c:strCache>
            </c:strRef>
          </c:tx>
          <c:spPr>
            <a:solidFill>
              <a:srgbClr val="EDA100"/>
            </a:solidFill>
            <a:ln w="12700">
              <a:solidFill>
                <a:srgbClr val="FFFFFF"/>
              </a:solidFill>
            </a:ln>
          </c:spPr>
          <c:invertIfNegative val="0"/>
          <c:cat>
            <c:strRef>
              <c:f>Hoja1!$A$2:$A$4</c:f>
              <c:strCache>
                <c:ptCount val="3"/>
                <c:pt idx="0">
                  <c:v>FY2024</c:v>
                </c:pt>
                <c:pt idx="1">
                  <c:v>FY2025</c:v>
                </c:pt>
                <c:pt idx="2">
                  <c:v>FY2026</c:v>
                </c:pt>
              </c:strCache>
            </c:strRef>
          </c:cat>
          <c:val>
            <c:numRef>
              <c:f>Hoja1!$E$2:$E$4</c:f>
              <c:numCache>
                <c:formatCode>#,##0</c:formatCode>
                <c:ptCount val="3"/>
                <c:pt idx="0">
                  <c:v>102.3</c:v>
                </c:pt>
                <c:pt idx="1">
                  <c:v>98.4</c:v>
                </c:pt>
                <c:pt idx="2">
                  <c:v>95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Licencia a plazo</c:v>
                </c:pt>
                <c:pt idx="1">
                  <c:v>SaaS (Commvault Cloud, antes Metallic; Clumio)</c:v>
                </c:pt>
                <c:pt idx="2">
                  <c:v>Soporte (de licencias a plazo y perpetuas)</c:v>
                </c:pt>
                <c:pt idx="3">
                  <c:v>Licencia perpetua y otros servicios</c:v>
                </c:pt>
              </c:strCache>
            </c:strRef>
          </c:cat>
          <c:val>
            <c:numRef>
              <c:f>Hoja1!$B$2:$B$5</c:f>
              <c:numCache>
                <c:formatCode>General</c:formatCode>
                <c:ptCount val="4"/>
                <c:pt idx="0">
                  <c:v>36.8</c:v>
                </c:pt>
                <c:pt idx="1">
                  <c:v>28.1</c:v>
                </c:pt>
                <c:pt idx="2">
                  <c:v>27.1</c:v>
                </c:pt>
                <c:pt idx="3">
                  <c:v>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América (EE. UU., Canadá y Latinoamérica)</c:v>
                </c:pt>
                <c:pt idx="1">
                  <c:v>Internacional (EMEA, Asia-Pacífico)</c:v>
                </c:pt>
              </c:strCache>
            </c:strRef>
          </c:cat>
          <c:val>
            <c:numRef>
              <c:f>Hoja1!$B$2:$B$3</c:f>
              <c:numCache>
                <c:formatCode>0"%"</c:formatCode>
                <c:ptCount val="2"/>
                <c:pt idx="0">
                  <c:v>59.4</c:v>
                </c:pt>
                <c:pt idx="1">
                  <c:v>40.6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(Market Research Future; 2026e-2030e con su TCAC del 9,69 %))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2024</c:v>
                </c:pt>
                <c:pt idx="1">
                  <c:v>2025</c:v>
                </c:pt>
                <c:pt idx="2">
                  <c:v>2026e</c:v>
                </c:pt>
                <c:pt idx="3">
                  <c:v>2027e</c:v>
                </c:pt>
                <c:pt idx="4">
                  <c:v>2028e</c:v>
                </c:pt>
                <c:pt idx="5">
                  <c:v>2030e</c:v>
                </c:pt>
              </c:strCache>
            </c:strRef>
          </c:cat>
          <c:val>
            <c:numRef>
              <c:f>Hoja1!$B$2:$B$7</c:f>
              <c:numCache>
                <c:formatCode>#,##0</c:formatCode>
                <c:ptCount val="6"/>
                <c:pt idx="0">
                  <c:v>10620</c:v>
                </c:pt>
                <c:pt idx="1">
                  <c:v>11650</c:v>
                </c:pt>
                <c:pt idx="2">
                  <c:v>12779</c:v>
                </c:pt>
                <c:pt idx="3">
                  <c:v>14017</c:v>
                </c:pt>
                <c:pt idx="4">
                  <c:v>15376</c:v>
                </c:pt>
                <c:pt idx="5">
                  <c:v>18500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Commvault</c:v>
                </c:pt>
                <c:pt idx="1">
                  <c:v>Rubrik</c:v>
                </c:pt>
                <c:pt idx="2">
                  <c:v>Veeam (Insight Partners)</c:v>
                </c:pt>
                <c:pt idx="3">
                  <c:v>Cohesity (con el negocio de copia de Veritas)</c:v>
                </c:pt>
                <c:pt idx="4">
                  <c:v>Dell Technologies (PowerProtect)</c:v>
                </c:pt>
                <c:pt idx="5">
                  <c:v>NetApp</c:v>
                </c:pt>
              </c:strCache>
            </c:strRef>
          </c:cat>
          <c:val>
            <c:numRef>
              <c:f>Hoja1!$B$2:$B$7</c:f>
              <c:numCache>
                <c:formatCode>0.0"%"</c:formatCode>
                <c:ptCount val="6"/>
                <c:pt idx="0">
                  <c:v>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3</c:v>
                </c:pt>
                <c:pt idx="3">
                  <c:v>2</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FY2019</c:v>
                </c:pt>
                <c:pt idx="1">
                  <c:v>FY2020</c:v>
                </c:pt>
                <c:pt idx="2">
                  <c:v>FY2021</c:v>
                </c:pt>
                <c:pt idx="3">
                  <c:v>FY2022</c:v>
                </c:pt>
                <c:pt idx="4">
                  <c:v>FY2023</c:v>
                </c:pt>
                <c:pt idx="5">
                  <c:v>FY2024</c:v>
                </c:pt>
                <c:pt idx="6">
                  <c:v>FY2025</c:v>
                </c:pt>
                <c:pt idx="7">
                  <c:v>FY2026</c:v>
                </c:pt>
                <c:pt idx="8">
                  <c:v>FY2027e</c:v>
                </c:pt>
                <c:pt idx="9">
                  <c:v>FY2028e</c:v>
                </c:pt>
                <c:pt idx="10">
                  <c:v>FY2029e</c:v>
                </c:pt>
                <c:pt idx="11">
                  <c:v>FY2030e</c:v>
                </c:pt>
                <c:pt idx="12">
                  <c:v>FY2031e</c:v>
                </c:pt>
                <c:pt idx="13">
                  <c:v>FY2032e</c:v>
                </c:pt>
                <c:pt idx="14">
                  <c:v>FY2033e</c:v>
                </c:pt>
                <c:pt idx="15">
                  <c:v>FY2034e</c:v>
                </c:pt>
              </c:strCache>
            </c:strRef>
          </c:cat>
          <c:val>
            <c:numRef>
              <c:f>Hoja1!$B$2:$B$17</c:f>
              <c:numCache>
                <c:formatCode>#,##0</c:formatCode>
                <c:ptCount val="16"/>
                <c:pt idx="0">
                  <c:v>711</c:v>
                </c:pt>
                <c:pt idx="1">
                  <c:v>670.9</c:v>
                </c:pt>
                <c:pt idx="2">
                  <c:v>723.5</c:v>
                </c:pt>
                <c:pt idx="3">
                  <c:v>769.6</c:v>
                </c:pt>
                <c:pt idx="4">
                  <c:v>784.6</c:v>
                </c:pt>
                <c:pt idx="5">
                  <c:v>839.2</c:v>
                </c:pt>
                <c:pt idx="6">
                  <c:v>995.6</c:v>
                </c:pt>
                <c:pt idx="7">
                  <c:v>1183.7</c:v>
                </c:pt>
                <c:pt idx="8">
                  <c:v>1306</c:v>
                </c:pt>
                <c:pt idx="9">
                  <c:v>1449</c:v>
                </c:pt>
                <c:pt idx="10">
                  <c:v>1594</c:v>
                </c:pt>
                <c:pt idx="11">
                  <c:v>1738</c:v>
                </c:pt>
                <c:pt idx="12">
                  <c:v>1877</c:v>
                </c:pt>
                <c:pt idx="13">
                  <c:v>2008</c:v>
                </c:pt>
                <c:pt idx="14">
                  <c:v>2128</c:v>
                </c:pt>
                <c:pt idx="15">
                  <c:v>2235</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FY2019</c:v>
                </c:pt>
                <c:pt idx="1">
                  <c:v>FY2020</c:v>
                </c:pt>
                <c:pt idx="2">
                  <c:v>FY2021</c:v>
                </c:pt>
                <c:pt idx="3">
                  <c:v>FY2022</c:v>
                </c:pt>
                <c:pt idx="4">
                  <c:v>FY2023</c:v>
                </c:pt>
                <c:pt idx="5">
                  <c:v>FY2024</c:v>
                </c:pt>
                <c:pt idx="6">
                  <c:v>FY2025</c:v>
                </c:pt>
                <c:pt idx="7">
                  <c:v>FY2026</c:v>
                </c:pt>
                <c:pt idx="8">
                  <c:v>FY2027e</c:v>
                </c:pt>
                <c:pt idx="9">
                  <c:v>FY2028e</c:v>
                </c:pt>
                <c:pt idx="10">
                  <c:v>FY2029e</c:v>
                </c:pt>
                <c:pt idx="11">
                  <c:v>FY2030e</c:v>
                </c:pt>
                <c:pt idx="12">
                  <c:v>FY2031e</c:v>
                </c:pt>
                <c:pt idx="13">
                  <c:v>FY2032e</c:v>
                </c:pt>
                <c:pt idx="14">
                  <c:v>FY2033e</c:v>
                </c:pt>
                <c:pt idx="15">
                  <c:v>FY2034e</c:v>
                </c:pt>
              </c:strCache>
            </c:strRef>
          </c:cat>
          <c:val>
            <c:numRef>
              <c:f>Hoja1!$C$2:$C$17</c:f>
              <c:numCache>
                <c:formatCode>#,##0</c:formatCode>
                <c:ptCount val="16"/>
                <c:pt idx="0">
                  <c:v>17</c:v>
                </c:pt>
                <c:pt idx="1">
                  <c:v>-4.2</c:v>
                </c:pt>
                <c:pt idx="2">
                  <c:v>-6.4</c:v>
                </c:pt>
                <c:pt idx="3">
                  <c:v>52.6</c:v>
                </c:pt>
                <c:pt idx="4">
                  <c:v>47.9</c:v>
                </c:pt>
                <c:pt idx="5">
                  <c:v>81.8</c:v>
                </c:pt>
                <c:pt idx="6">
                  <c:v>87.8</c:v>
                </c:pt>
                <c:pt idx="7">
                  <c:v>85.7</c:v>
                </c:pt>
                <c:pt idx="8">
                  <c:v>133</c:v>
                </c:pt>
                <c:pt idx="9">
                  <c:v>167</c:v>
                </c:pt>
                <c:pt idx="10">
                  <c:v>207</c:v>
                </c:pt>
                <c:pt idx="11">
                  <c:v>252</c:v>
                </c:pt>
                <c:pt idx="12">
                  <c:v>300</c:v>
                </c:pt>
                <c:pt idx="13">
                  <c:v>341</c:v>
                </c:pt>
                <c:pt idx="14">
                  <c:v>383</c:v>
                </c:pt>
                <c:pt idx="15">
                  <c:v>425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83.5</c:v>
                </c:pt>
                <c:pt idx="1">
                  <c:v>82.5</c:v>
                </c:pt>
                <c:pt idx="2">
                  <c:v>84.9</c:v>
                </c:pt>
                <c:pt idx="3">
                  <c:v>85.2</c:v>
                </c:pt>
                <c:pt idx="4">
                  <c:v>82.7</c:v>
                </c:pt>
                <c:pt idx="5">
                  <c:v>81.9</c:v>
                </c:pt>
                <c:pt idx="6">
                  <c:v>82</c:v>
                </c:pt>
                <c:pt idx="7">
                  <c:v>81.2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2.4</c:v>
                </c:pt>
                <c:pt idx="1">
                  <c:v>-0.6</c:v>
                </c:pt>
                <c:pt idx="2">
                  <c:v>-0.9</c:v>
                </c:pt>
                <c:pt idx="3">
                  <c:v>6.8</c:v>
                </c:pt>
                <c:pt idx="4">
                  <c:v>6.1</c:v>
                </c:pt>
                <c:pt idx="5">
                  <c:v>9.7</c:v>
                </c:pt>
                <c:pt idx="6">
                  <c:v>8.8</c:v>
                </c:pt>
                <c:pt idx="7">
                  <c:v>7.2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0">
                  <c:v>0.7</c:v>
                </c:pt>
                <c:pt idx="1">
                  <c:v>-3.2</c:v>
                </c:pt>
                <c:pt idx="2">
                  <c:v>-3.1</c:v>
                </c:pt>
                <c:pt idx="3">
                  <c:v>5.4</c:v>
                </c:pt>
                <c:pt idx="4">
                  <c:v>4.8</c:v>
                </c:pt>
                <c:pt idx="5">
                  <c:v>9</c:v>
                </c:pt>
                <c:pt idx="6">
                  <c:v>7.9</c:v>
                </c:pt>
                <c:pt idx="7">
                  <c:v>6.4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Hoja1!$E$2:$E$9</c:f>
              <c:numCache>
                <c:formatCode>0"%"</c:formatCode>
                <c:ptCount val="8"/>
                <c:pt idx="0">
                  <c:v>0.5</c:v>
                </c:pt>
                <c:pt idx="1">
                  <c:v>-0.8</c:v>
                </c:pt>
                <c:pt idx="2">
                  <c:v>-4.3</c:v>
                </c:pt>
                <c:pt idx="3">
                  <c:v>4.4</c:v>
                </c:pt>
                <c:pt idx="4">
                  <c:v>-4.6</c:v>
                </c:pt>
                <c:pt idx="5">
                  <c:v>20.1</c:v>
                </c:pt>
                <c:pt idx="6">
                  <c:v>7.6</c:v>
                </c:pt>
                <c:pt idx="7">
                  <c:v>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2T25</c:v>
                </c:pt>
                <c:pt idx="1">
                  <c:v>3T25</c:v>
                </c:pt>
                <c:pt idx="2">
                  <c:v>4T25</c:v>
                </c:pt>
                <c:pt idx="3">
                  <c:v>1T26</c:v>
                </c:pt>
                <c:pt idx="4">
                  <c:v>2T26</c:v>
                </c:pt>
                <c:pt idx="5">
                  <c:v>3T26</c:v>
                </c:pt>
                <c:pt idx="6">
                  <c:v>4T26</c:v>
                </c:pt>
                <c:pt idx="7">
                  <c:v>1T27</c:v>
                </c:pt>
              </c:strCache>
            </c:strRef>
          </c:cat>
          <c:val>
            <c:numRef>
              <c:f>Hoja1!$B$2:$B$9</c:f>
              <c:numCache>
                <c:formatCode>0.0"%"</c:formatCode>
                <c:ptCount val="8"/>
                <c:pt idx="0">
                  <c:v>16</c:v>
                </c:pt>
                <c:pt idx="1">
                  <c:v>21</c:v>
                </c:pt>
                <c:pt idx="2">
                  <c:v>23</c:v>
                </c:pt>
                <c:pt idx="3">
                  <c:v>26</c:v>
                </c:pt>
                <c:pt idx="4">
                  <c:v>18</c:v>
                </c:pt>
                <c:pt idx="5">
                  <c:v>19</c:v>
                </c:pt>
                <c:pt idx="6">
                  <c:v>13</c:v>
                </c:pt>
                <c:pt idx="7">
                  <c:v>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91</c:v>
                </c:pt>
                <c:pt idx="1">
                  <c:v>80</c:v>
                </c:pt>
                <c:pt idx="2">
                  <c:v>95</c:v>
                </c:pt>
                <c:pt idx="3">
                  <c:v>92</c:v>
                </c:pt>
                <c:pt idx="4">
                  <c:v>98</c:v>
                </c:pt>
                <c:pt idx="5">
                  <c:v>97</c:v>
                </c:pt>
                <c:pt idx="6">
                  <c:v>92</c:v>
                </c:pt>
                <c:pt idx="7">
                  <c:v>102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0</c:v>
                </c:pt>
                <c:pt idx="1">
                  <c:v>0</c:v>
                </c:pt>
                <c:pt idx="2">
                  <c:v>0</c:v>
                </c:pt>
                <c:pt idx="3">
                  <c:v>0</c:v>
                </c:pt>
                <c:pt idx="4">
                  <c:v>0</c:v>
                </c:pt>
                <c:pt idx="5">
                  <c:v>0</c:v>
                </c:pt>
                <c:pt idx="6">
                  <c:v>0</c:v>
                </c:pt>
                <c:pt idx="7">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0">
                  <c:v>7</c:v>
                </c:pt>
                <c:pt idx="1">
                  <c:v>1</c:v>
                </c:pt>
                <c:pt idx="2">
                  <c:v>1</c:v>
                </c:pt>
                <c:pt idx="3">
                  <c:v>1</c:v>
                </c:pt>
                <c:pt idx="4">
                  <c:v>0</c:v>
                </c:pt>
                <c:pt idx="5">
                  <c:v>1</c:v>
                </c:pt>
                <c:pt idx="6">
                  <c:v>1</c:v>
                </c:pt>
                <c:pt idx="7">
                  <c:v>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103.10000000000001</c:v>
                </c:pt>
                <c:pt idx="1">
                  <c:v>85.3</c:v>
                </c:pt>
                <c:pt idx="2">
                  <c:v>108.8</c:v>
                </c:pt>
                <c:pt idx="3">
                  <c:v>158.7</c:v>
                </c:pt>
                <c:pt idx="4">
                  <c:v>160.5</c:v>
                </c:pt>
                <c:pt idx="5">
                  <c:v>196.5</c:v>
                </c:pt>
                <c:pt idx="6">
                  <c:v>187.1</c:v>
                </c:pt>
                <c:pt idx="7">
                  <c:v>212.6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3.6</c:v>
                </c:pt>
                <c:pt idx="1">
                  <c:v>-5.6</c:v>
                </c:pt>
                <c:pt idx="2">
                  <c:v>-31</c:v>
                </c:pt>
                <c:pt idx="3">
                  <c:v>33.6</c:v>
                </c:pt>
                <c:pt idx="4">
                  <c:v>-35.8</c:v>
                </c:pt>
                <c:pt idx="5">
                  <c:v>168.9</c:v>
                </c:pt>
                <c:pt idx="6">
                  <c:v>76.1</c:v>
                </c:pt>
                <c:pt idx="7">
                  <c:v>70.7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4.6</c:v>
                </c:pt>
                <c:pt idx="1">
                  <c:v>-17.1</c:v>
                </c:pt>
                <c:pt idx="2">
                  <c:v>-27.7</c:v>
                </c:pt>
                <c:pt idx="7">
                  <c:v>1014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10.6</c:v>
                </c:pt>
                <c:pt idx="1">
                  <c:v>10.6</c:v>
                </c:pt>
                <c:pt idx="2">
                  <c:v>10.6</c:v>
                </c:pt>
                <c:pt idx="3">
                  <c:v>10.6</c:v>
                </c:pt>
                <c:pt idx="4">
                  <c:v>10.6</c:v>
                </c:pt>
                <c:pt idx="5">
                  <c:v>10.6</c:v>
                </c:pt>
                <c:pt idx="6">
                  <c:v>10.6</c:v>
                </c:pt>
                <c:pt idx="7">
                  <c:v>10.6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0">
                  <c:v>0.9</c:v>
                </c:pt>
                <c:pt idx="1">
                  <c:v>-1.4</c:v>
                </c:pt>
                <c:pt idx="2">
                  <c:v>-7.7</c:v>
                </c:pt>
                <c:pt idx="3">
                  <c:v>10.3</c:v>
                </c:pt>
                <c:pt idx="4">
                  <c:v>-16.2</c:v>
                </c:pt>
                <c:pt idx="5">
                  <c:v>72.8</c:v>
                </c:pt>
                <c:pt idx="6">
                  <c:v>25.2</c:v>
                </c:pt>
                <c:pt idx="7">
                  <c:v>42.5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0.0"x"</c:formatCode>
                <c:ptCount val="8"/>
                <c:pt idx="0">
                  <c:v>-19.29</c:v>
                </c:pt>
                <c:pt idx="1">
                  <c:v>68.6</c:v>
                </c:pt>
                <c:pt idx="2">
                  <c:v>62.06</c:v>
                </c:pt>
                <c:pt idx="3">
                  <c:v>-5.09</c:v>
                </c:pt>
                <c:pt idx="4">
                  <c:v>-6.01</c:v>
                </c:pt>
                <c:pt idx="5">
                  <c:v>-3.82</c:v>
                </c:pt>
                <c:pt idx="6">
                  <c:v>-3.44</c:v>
                </c:pt>
                <c:pt idx="7">
                  <c:v>-0.22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FY2031 (15-sep-2030)</c:v>
                </c:pt>
              </c:strCache>
            </c:strRef>
          </c:cat>
          <c:val>
            <c:numRef>
              <c:f>Hoja1!$B$2</c:f>
              <c:numCache>
                <c:formatCode>#,##0</c:formatCode>
                <c:ptCount val="1"/>
                <c:pt idx="0">
                  <c:v>900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0</c:v>
                </c:pt>
                <c:pt idx="1">
                  <c:v>157.5</c:v>
                </c:pt>
                <c:pt idx="2">
                  <c:v>0</c:v>
                </c:pt>
                <c:pt idx="3">
                  <c:v>16.9</c:v>
                </c:pt>
                <c:pt idx="4">
                  <c:v>0</c:v>
                </c:pt>
                <c:pt idx="5">
                  <c:v>0</c:v>
                </c:pt>
                <c:pt idx="6">
                  <c:v>65.3</c:v>
                </c:pt>
                <c:pt idx="7">
                  <c:v>25.8</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0</c:v>
                </c:pt>
                <c:pt idx="1">
                  <c:v>0</c:v>
                </c:pt>
                <c:pt idx="2">
                  <c:v>0</c:v>
                </c:pt>
                <c:pt idx="3">
                  <c:v>0</c:v>
                </c:pt>
                <c:pt idx="4">
                  <c:v>0</c:v>
                </c:pt>
                <c:pt idx="5">
                  <c:v>0</c:v>
                </c:pt>
                <c:pt idx="6">
                  <c:v>0</c:v>
                </c:pt>
                <c:pt idx="7">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0">
                  <c:v>132.7</c:v>
                </c:pt>
                <c:pt idx="1">
                  <c:v>77.2</c:v>
                </c:pt>
                <c:pt idx="2">
                  <c:v>95.3</c:v>
                </c:pt>
                <c:pt idx="3">
                  <c:v>305.2</c:v>
                </c:pt>
                <c:pt idx="4">
                  <c:v>150.9</c:v>
                </c:pt>
                <c:pt idx="5">
                  <c:v>184</c:v>
                </c:pt>
                <c:pt idx="6">
                  <c:v>165</c:v>
                </c:pt>
                <c:pt idx="7">
                  <c:v>446.1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7</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BlackRock</c:v>
                </c:pt>
                <c:pt idx="1">
                  <c:v>Vanguard (Portfolio Management y Capital Management)</c:v>
                </c:pt>
                <c:pt idx="2">
                  <c:v>Consejeros y directivos</c:v>
                </c:pt>
              </c:strCache>
            </c:strRef>
          </c:cat>
          <c:val>
            <c:numRef>
              <c:f>Hoja1!$B$2:$B$4</c:f>
              <c:numCache>
                <c:formatCode>0.0"%"</c:formatCode>
                <c:ptCount val="3"/>
                <c:pt idx="0">
                  <c:v>13.9</c:v>
                </c:pt>
                <c:pt idx="1">
                  <c:v>14.4</c:v>
                </c:pt>
                <c:pt idx="2">
                  <c:v>0.9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30.6</c:v>
                </c:pt>
                <c:pt idx="1">
                  <c:v>2.1</c:v>
                </c:pt>
                <c:pt idx="2">
                  <c:v>12.6</c:v>
                </c:pt>
                <c:pt idx="3">
                  <c:v>-24.5</c:v>
                </c:pt>
                <c:pt idx="4">
                  <c:v>24</c:v>
                </c:pt>
                <c:pt idx="5">
                  <c:v>24.5</c:v>
                </c:pt>
                <c:pt idx="6">
                  <c:v>-8.8</c:v>
                </c:pt>
                <c:pt idx="7">
                  <c:v>27.1</c:v>
                </c:pt>
                <c:pt idx="8">
                  <c:v>89</c:v>
                </c:pt>
                <c:pt idx="9">
                  <c:v>-16.9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0.0"x"</c:formatCode>
                <c:ptCount val="8"/>
                <c:pt idx="0">
                  <c:v>162</c:v>
                </c:pt>
                <c:pt idx="3">
                  <c:v>54.5</c:v>
                </c:pt>
                <c:pt idx="4">
                  <c:v>46.9</c:v>
                </c:pt>
                <c:pt idx="5">
                  <c:v>52.1</c:v>
                </c:pt>
                <c:pt idx="6">
                  <c:v>77.8</c:v>
                </c:pt>
                <c:pt idx="7">
                  <c:v>40.4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0.0"x"</c:formatCode>
                <c:ptCount val="8"/>
                <c:pt idx="0">
                  <c:v>53.3</c:v>
                </c:pt>
                <c:pt idx="1">
                  <c:v>53.3</c:v>
                </c:pt>
                <c:pt idx="2">
                  <c:v>53.3</c:v>
                </c:pt>
                <c:pt idx="3">
                  <c:v>53.3</c:v>
                </c:pt>
                <c:pt idx="4">
                  <c:v>53.3</c:v>
                </c:pt>
                <c:pt idx="5">
                  <c:v>53.3</c:v>
                </c:pt>
                <c:pt idx="6">
                  <c:v>53.3</c:v>
                </c:pt>
                <c:pt idx="7">
                  <c:v>53.3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Datto (copia y gestión para proveedores de servicios)</c:v>
                </c:pt>
                <c:pt idx="1">
                  <c:v>Carbonite (copia en la nube y Webroot)</c:v>
                </c:pt>
                <c:pt idx="2">
                  <c:v>Cohesity + negocio de protección de datos de Veritas</c:v>
                </c:pt>
                <c:pt idx="3">
                  <c:v>Veeam</c:v>
                </c:pt>
              </c:strCache>
            </c:strRef>
          </c:cat>
          <c:val>
            <c:numRef>
              <c:f>Hoja1!$B$2:$B$5</c:f>
              <c:numCache>
                <c:formatCode>0.0"x"</c:formatCode>
                <c:ptCount val="4"/>
                <c:pt idx="0">
                  <c:v>35.3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FY2027e</c:v>
                </c:pt>
                <c:pt idx="1">
                  <c:v>FY2028e</c:v>
                </c:pt>
                <c:pt idx="2">
                  <c:v>FY2029e</c:v>
                </c:pt>
                <c:pt idx="3">
                  <c:v>FY2030e</c:v>
                </c:pt>
                <c:pt idx="4">
                  <c:v>FY2031e</c:v>
                </c:pt>
                <c:pt idx="5">
                  <c:v>FY2032e</c:v>
                </c:pt>
                <c:pt idx="6">
                  <c:v>FY2033e</c:v>
                </c:pt>
                <c:pt idx="7">
                  <c:v>FY2034e</c:v>
                </c:pt>
              </c:strCache>
            </c:strRef>
          </c:cat>
          <c:val>
            <c:numRef>
              <c:f>Hoja1!$B$2:$B$9</c:f>
              <c:numCache>
                <c:formatCode>#,##0</c:formatCode>
                <c:ptCount val="8"/>
                <c:pt idx="0">
                  <c:v>112</c:v>
                </c:pt>
                <c:pt idx="1">
                  <c:v>154</c:v>
                </c:pt>
                <c:pt idx="2">
                  <c:v>184</c:v>
                </c:pt>
                <c:pt idx="3">
                  <c:v>217</c:v>
                </c:pt>
                <c:pt idx="4">
                  <c:v>251</c:v>
                </c:pt>
                <c:pt idx="5">
                  <c:v>280</c:v>
                </c:pt>
                <c:pt idx="6">
                  <c:v>306</c:v>
                </c:pt>
                <c:pt idx="7">
                  <c:v>331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1172</c:v>
                </c:pt>
                <c:pt idx="1">
                  <c:v>2129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155,85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45.58</c:v>
                </c:pt>
                <c:pt idx="1">
                  <c:v>79.81</c:v>
                </c:pt>
                <c:pt idx="2">
                  <c:v>104.27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155,85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(71,75 – 175,03)</c:v>
                </c:pt>
                <c:pt idx="1">
                  <c:v>Precio objetivo de los analistas (130,00 – 200,00)</c:v>
                </c:pt>
                <c:pt idx="2">
                  <c:v>Comparables: PER NTM (73,42 – 132,16)</c:v>
                </c:pt>
                <c:pt idx="3">
                  <c:v>Transacciones precedentes (EV/ventas) (101,43 – 206,18)</c:v>
                </c:pt>
                <c:pt idx="4">
                  <c:v>DCF (WACC y g ± 0,5) (71,70 – 90,33)</c:v>
                </c:pt>
                <c:pt idx="5">
                  <c:v>Escenarios (bajista – alcista) (45,58 – 104,27)</c:v>
                </c:pt>
                <c:pt idx="6">
                  <c:v>DCF con la prima implícita del mercado (4,2 %)</c:v>
                </c:pt>
                <c:pt idx="7">
                  <c:v>Precio actual (155,85)</c:v>
                </c:pt>
              </c:strCache>
            </c:strRef>
          </c:cat>
          <c:val>
            <c:numRef>
              <c:f>Hoja1!$B$2:$B$9</c:f>
              <c:numCache>
                <c:formatCode>#,##0</c:formatCode>
                <c:ptCount val="8"/>
                <c:pt idx="0">
                  <c:v>71.75</c:v>
                </c:pt>
                <c:pt idx="1">
                  <c:v>130</c:v>
                </c:pt>
                <c:pt idx="2">
                  <c:v>73.42</c:v>
                </c:pt>
                <c:pt idx="3">
                  <c:v>101.43</c:v>
                </c:pt>
                <c:pt idx="4">
                  <c:v>71.7</c:v>
                </c:pt>
                <c:pt idx="5">
                  <c:v>45.58</c:v>
                </c:pt>
                <c:pt idx="6">
                  <c:v>89.98</c:v>
                </c:pt>
                <c:pt idx="7">
                  <c:v>155.07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(71,75 – 175,03)</c:v>
                </c:pt>
                <c:pt idx="1">
                  <c:v>Precio objetivo de los analistas (130,00 – 200,00)</c:v>
                </c:pt>
                <c:pt idx="2">
                  <c:v>Comparables: PER NTM (73,42 – 132,16)</c:v>
                </c:pt>
                <c:pt idx="3">
                  <c:v>Transacciones precedentes (EV/ventas) (101,43 – 206,18)</c:v>
                </c:pt>
                <c:pt idx="4">
                  <c:v>DCF (WACC y g ± 0,5) (71,70 – 90,33)</c:v>
                </c:pt>
                <c:pt idx="5">
                  <c:v>Escenarios (bajista – alcista) (45,58 – 104,27)</c:v>
                </c:pt>
                <c:pt idx="6">
                  <c:v>DCF con la prima implícita del mercado (4,2 %)</c:v>
                </c:pt>
                <c:pt idx="7">
                  <c:v>Precio actual (155,85)</c:v>
                </c:pt>
              </c:strCache>
            </c:strRef>
          </c:cat>
          <c:val>
            <c:numRef>
              <c:f>Hoja1!$C$2:$C$9</c:f>
              <c:numCache>
                <c:formatCode>#,##0</c:formatCode>
                <c:ptCount val="8"/>
                <c:pt idx="0">
                  <c:v>103.28</c:v>
                </c:pt>
                <c:pt idx="1">
                  <c:v>70</c:v>
                </c:pt>
                <c:pt idx="2">
                  <c:v>58.739999999999995</c:v>
                </c:pt>
                <c:pt idx="3">
                  <c:v>104.75</c:v>
                </c:pt>
                <c:pt idx="4">
                  <c:v>18.629999999999995</c:v>
                </c:pt>
                <c:pt idx="5">
                  <c:v>58.69</c:v>
                </c:pt>
                <c:pt idx="6">
                  <c:v>16.47999999999999</c:v>
                </c:pt>
                <c:pt idx="7">
                  <c:v>1.5600000000000023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