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Giant Biogene Holding Co., Ltd</w:t>
      </w:r>
    </w:p>
    <w:p>
      <w:pPr>
        <w:spacing w:after="60"/>
        <w:rPr>
          <w:color w:val="52514E"/>
          <w:sz w:val="22"/>
          <w:szCs w:val="22"/>
        </w:rPr>
      </w:pPr>
      <w:r>
        <w:rPr>
          <w:color w:val="52514E"/>
          <w:sz w:val="22"/>
          <w:szCs w:val="22"/>
        </w:rPr>
        <w:t xml:space="preserve">2367.HK · Bolsa de Hong Kong (Main Board) · ISIN KYG3887G1091 · Productos de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RMB</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19,27 RMB (22,60 HKD)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23,21 RMB (27,22 HKD)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+23,2 % (base +19,0 %)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28,43 RMB (33,34 HKD) · mercado 31,71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20.339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5,1x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-4,2x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Giant Biogene Holding Co.,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2367.HK / KYG3887G1091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Hong Kong (Main Board)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Hang Seng (Tracker Fund 2800.HK)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Productos de consumo básico / Productos de cuidado personal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Xi'an (Shaanxi); sociedad de las Islas Caimán · 2000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https://www.giantbiogene.com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19,27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19,10 – 37,45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20.339 M RMB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12.543 M RMB</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94,7 M HKD/día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mar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23,21 RMB (27,22 HKD)</w:t>
      </w:r>
      <w:r>
        <w:t xml:space="preserve"> frente a 19,27 (22,60 HKD) · Rentabilidad a 12 meses </w:t>
      </w:r>
      <w:r>
        <w:rPr>
          <w:b/>
          <w:bCs/>
        </w:rPr>
        <w:t xml:space="preserve">+23,2 % (base +19,0 %)</w:t>
      </w:r>
      <w:r>
        <w:t xml:space="preserve"> · Valor intrínseco 28,43 RMB (33,34 HKD) · con la prima implícita del mercado: 31,71 (37,18 HKD) (+64,6 %) · Alcista / bajista +58,0 % / +9,7 %</w:t>
      </w:r>
    </w:p>
    <w:p>
      <w:pPr>
        <w:spacing w:after="100"/>
      </w:pPr>
      <w:r>
        <w:rPr>
          <w:b/>
        </w:rPr>
        <w:t xml:space="preserve">La recomendación y por qué.</w:t>
      </w:r>
      <w:r>
        <w:t xml:space="preserve"> Comprar según la regla, con convicción baja; la acción robusta es </w:t>
      </w:r>
      <w:r>
        <w:rPr>
          <w:b/>
        </w:rPr>
        <w:t xml:space="preserve">Mantener</w:t>
      </w:r>
      <w:r>
        <w:t xml:space="preserve">: no es una compra nueva. La regla v3 da un objetivo de 23,21 RMB (27,22 HKD): +23,2 % con dividendo (+19,0 % en el base) frente a un precio de 19,27 RMB, el cierre de 22,60 HKD del 16-oct-2026 (Hong Kong no abrió el 19-oct) [31]. Pero la v2 da un 12,5 %, la compra no aguanta un BPA un 10 % menor y la calidad no pasa por la sostenibilidad. Subiría la convicción un 2S26 que vuelva a crecer; la bajaría otro semestre de caídas.</w:t>
      </w:r>
    </w:p>
    <w:p>
      <w:pPr>
        <w:spacing w:after="100"/>
      </w:pPr>
      <w:r>
        <w:rPr>
          <w:b/>
        </w:rPr>
        <w:t xml:space="preserve">Por qué ha caído un 73 %.</w:t>
      </w:r>
      <w:r>
        <w:t xml:space="preserve"> De 87 HKD (abril de 2025) a 22,60 [31]. En mayo de 2025 un bloguero acusó al sérum 胶原棒 de KOMFYMED de llevar un 0,0177 % de colágeno frente al ≥ 0,1 % de su etiqueta; el laboratorio se retractó, Giant presentó análisis de varios laboratorios por encima del 0,1 %, se supo que Bloomage, rival, tenía participación en un fondo ligado al bloguero, y no hemos encontrado sanción de la NMPA [16, 17]. Aun así, la marca sufrió: ventas del 2S25 −19,8 % y del 1S26 −6,3 %, con más gasto comercial en Tmall y Douyin (43,4 % de las ventas) [2, 3].</w:t>
      </w:r>
    </w:p>
    <w:p>
      <w:pPr>
        <w:spacing w:after="100"/>
      </w:pPr>
      <w:r>
        <w:rPr>
          <w:b/>
        </w:rPr>
        <w:t xml:space="preserve">El negocio.</w:t>
      </w:r>
      <w:r>
        <w:t xml:space="preserve"> Giant fabrica en Xi'an colágeno recombinante por fermentación y lo vende como apósitos sanitarios, sérums y cremas de reparación de la piel (KOMFYMED, el 81 % de las ventas) y antiedad (COLLGENE), sobre todo online y en farmacias y clínicas de China [1, 2]. Desde junio de 2026 vende inyectables de colágeno con registro de clase III [3, 22]. </w:t>
      </w:r>
      <w:r>
        <w:rPr>
          <w:b/>
        </w:rPr>
        <w:t xml:space="preserve">Calidad</w:t>
      </w:r>
      <w:r>
        <w:t xml:space="preserve">: ROIC del 152 % en 2025 frente a un WACC del 9,65 % (142 puntos), pero la sostenibilidad del crecimiento es </w:t>
      </w:r>
      <w:r>
        <w:rPr>
          <w:b/>
        </w:rPr>
        <w:t xml:space="preserve">en parte</w:t>
      </w:r>
      <w:r>
        <w:t xml:space="preserve">: las pruebas numéricas pasan, pero el foso se estrecha y las ventas llevan dos semestres cayendo, así que </w:t>
      </w:r>
      <w:r>
        <w:rPr>
          <w:b/>
        </w:rPr>
        <w:t xml:space="preserve">no pasa el requisito de calidad</w:t>
      </w:r>
      <w:r>
        <w:t xml:space="preserve">.</w:t>
      </w:r>
    </w:p>
    <w:p>
      <w:pPr>
        <w:spacing w:after="100"/>
      </w:pPr>
      <w:r>
        <w:rPr>
          <w:b/>
        </w:rPr>
        <w:t xml:space="preserve">Finanzas.</w:t>
      </w:r>
      <w:r>
        <w:t xml:space="preserve"> Ventas de 5.518,5 M RMB en 2025 (−0,4 %), margen EBITDA del 40,2 % y beneficio de 1.914,8 M (BPA 1,81) [1]; en el 1S26, ventas de 2.917,7 M y margen del 34,1 % [3]. Caja y fondos de ≈ 7.600 M sin deuda (37 % de la capitalización); reparte ≈ 65 % del beneficio con extraordinarios [3].</w:t>
      </w:r>
    </w:p>
    <w:p>
      <w:pPr>
        <w:spacing w:after="100"/>
      </w:pPr>
      <w:r>
        <w:rPr>
          <w:b/>
        </w:rPr>
        <w:t xml:space="preserve">Equipo y gobierno.</w:t>
      </w:r>
      <w:r>
        <w:t xml:space="preserve"> La familia fundadora (Fan Daidi; Yan Jianya, presidenta y consejera delegada) controla el 55 % y compró 200 M HKD de acciones en 2025 [4, 30]. Alertas: cambio de auditor (EY por KPMG, rotación) y el 59 % del capital libre contra el mandato de emisión del 20 % [25, 27].</w:t>
      </w:r>
    </w:p>
    <w:p>
      <w:pPr>
        <w:spacing w:after="100"/>
      </w:pPr>
      <w:r>
        <w:rPr>
          <w:b/>
        </w:rPr>
        <w:t xml:space="preserve">Valoración.</w:t>
      </w:r>
      <w:r>
        <w:t xml:space="preserve"> El DCF da 26,97 RMB (WACC del 9,65 %, bono chino al 1,65 % [34]); el precio descuenta ventas cayendo un 5,6 % al año. A 12 meses: PER de 13,1x sobre un BPA de 2028e de 1,71 RMB, un 20 % por debajo del consenso, que no ha recortado tras el 1S26.</w:t>
      </w:r>
    </w:p>
    <w:p>
      <w:pPr>
        <w:spacing w:after="100"/>
      </w:pPr>
      <w:r>
        <w:rPr>
          <w:b/>
        </w:rPr>
        <w:t xml:space="preserve">Riesgos y catalizadores.</w:t>
      </w:r>
      <w:r>
        <w:t xml:space="preserve"> El riesgo principal es que KOMFYMED no vuelva a crecer (bajista a 12 meses −21,5 %); le siguen el coste del tráfico en Tmall y Douyin, el regulador chino (NMPA: eficacia, contenido declarado, venta online de productos sanitarios) y las campañas de rivales. </w:t>
      </w:r>
      <w:r>
        <w:rPr>
          <w:b/>
        </w:rPr>
        <w:t xml:space="preserve">Riesgo de IA: bajo-medio</w:t>
      </w:r>
      <w:r>
        <w:t xml:space="preserve">, mixto. Catalizador: el 11.11 y los resultados de marzo de 2027. Veredicto de precio y noticias: no cambia.</w:t>
      </w:r>
    </w:p>
    <w:p>
      <w:pPr>
        <w:spacing w:after="100"/>
      </w:pPr>
      <w:r>
        <w:rPr>
          <w:b/>
        </w:rPr>
        <w:t xml:space="preserve">Qué cambiaría la decisión.</w:t>
      </w:r>
      <w:r>
        <w:t xml:space="preserve"> El límite robusto (v3 y v2 con BPA −10 %) es de 21,68 HKD, un 4 % por debajo de hoy; aun así la compra seguiría bloqueada por la calidad mientras la sostenibilidad no sea «Sí». La cambiaría un 2S26 y un 1S27 con ventas creciendo y margen del 34 % o más.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23,21 RMB (27,22 HKD)</w:t>
      </w:r>
      <w:r>
        <w:t xml:space="preserve"> (rentabilidad +23,2 % (base +19,0 %)) · Valor intrínseco: 28,43 RMB (33,34 HKD) (+47,5 % sobre 19,27) · con la prima implícita del mercado: 31,71 (37,18 HKD) (+64,6 %)</w:t>
      </w:r>
    </w:p>
    <w:p>
      <w:pPr>
        <w:spacing w:after="100"/>
      </w:pPr>
      <w:r>
        <w:t xml:space="preserve">Giant es la empresa que convirtió el colágeno recombinante en una categoría de cosmética en China: margen EBITDA del 34-45 %, ROIC por encima del 150 % y ≈ 7.600 M de caja sin deuda [1, 3].</w:t>
      </w:r>
    </w:p>
    <w:p>
      <w:pPr>
        <w:spacing w:after="100"/>
      </w:pPr>
      <w:r>
        <w:t xml:space="preserve">El problema es la tendencia: la polémica de 2025 dañó al producto estrella, la competencia en Douyin y Tmall encarece cada venta y las ventas caen desde el 2S25. A 19,27 RMB el mercado descuenta un negocio que se encoge un 5-6 % al año.</w:t>
      </w:r>
    </w:p>
    <w:p>
      <w:pPr>
        <w:spacing w:after="100"/>
      </w:pPr>
      <w:r>
        <w:t xml:space="preserve">Nuestro base (ventas −2 % en 2026 y +6 % después) da una rentabilidad a 12 meses del 19 %, pero la compra depende de la regla elegida (v3 sí, v2 no) y de una recuperación que aún no se ve. Es barata; no es todavía una compra robusta.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 RMB (27,22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 × 1,44 = 15,12 · 13,1x × 1,71 = 22,40 · 17,7x × 1,86 = 32,92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 / 19,0 %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31,40 (nuestro base -28,7 %)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28,43 RMB (33,34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(HKD al tipo de 0,8528 RMB por HKD)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19,27 RMB (22,60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58,0 % /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 frente a 9,7 % y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31,71 RMB (37,18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asimetría de n.d. (&lt; 2))</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20,48 (24,02 HKD)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20,48 y 26,39 (24,02 y 30,95 HKD)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26,39 (30,95 HKD)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(v3) da Comprar: 23,2 % ponderado y 19,0 % base, con un valor intrínseco de 28,43 RMB frente a 19,27. Pero la compra no es robusta: la v2 (PER al cierre) da Mantener con un 12,5 %, con un BPA un 10 % menor la v3 baja al 11,2 % y la sostenibilidad del crecimiento es «En parte», así que no pasa el requisito de calidad. La recomendación de la regla es Comprar, con convicción baja; la acción robusta (herramientas/robustez.mjs) es Mantener: no abrir posición.</w:t>
      </w:r>
    </w:p>
    <w:p>
      <w:pPr>
        <w:pStyle w:val="Heading2"/>
      </w:pPr>
      <w:r>
        <w:t xml:space="preserve">Qué cambiaría la recomendación</w:t>
      </w:r>
    </w:p>
    <w:p>
      <w:pPr>
        <w:pStyle w:val="ListParagraph"/>
        <w:numPr>
          <w:ilvl w:val="0"/>
          <w:numId w:val="2"/>
        </w:numPr>
        <w:spacing w:after="60"/>
      </w:pPr>
      <w:r>
        <w:t xml:space="preserve">Ventas del 2S26 y del 1S27 creciendo con margen del 34 %: la sostenibilidad pasaría a «Sí» y la compra podría ser robusta por debajo de 21,68 HKD.</w:t>
      </w:r>
    </w:p>
    <w:p>
      <w:pPr>
        <w:pStyle w:val="ListParagraph"/>
        <w:numPr>
          <w:ilvl w:val="0"/>
          <w:numId w:val="2"/>
        </w:numPr>
        <w:spacing w:after="60"/>
      </w:pPr>
      <w:r>
        <w:t xml:space="preserve">Precio por debajo de 21,68 HKD (límite robusto): pasa la rentabilidad con v3 y v2 y BPA −10 %, pero sigue bloqueada por la calidad.</w:t>
      </w:r>
    </w:p>
    <w:p>
      <w:pPr>
        <w:pStyle w:val="ListParagraph"/>
        <w:numPr>
          <w:ilvl w:val="0"/>
          <w:numId w:val="2"/>
        </w:numPr>
        <w:spacing w:after="60"/>
      </w:pPr>
      <w:r>
        <w:t xml:space="preserve">Otro semestre de caídas o margen EBITDA por debajo del 30 %: bajaríamos el base al bajista.</w:t>
      </w:r>
    </w:p>
    <w:p>
      <w:pPr>
        <w:pStyle w:val="ListParagraph"/>
        <w:numPr>
          <w:ilvl w:val="0"/>
          <w:numId w:val="2"/>
        </w:numPr>
        <w:spacing w:after="60"/>
      </w:pPr>
      <w:r>
        <w:t xml:space="preserve">Precio por encima de 26,39 RMB (≈ 30,95 HKD):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Ventas cayendo un 5,6 % al año desde 2027 con un margen del 34 %, o un margen del 22 % para siempre: un negocio en declive. Los analistas, en cambio, esperan +10 % en 2026 y +12 % anual después, sin haber recortado.</w:t>
      </w:r>
    </w:p>
    <w:p>
      <w:pPr>
        <w:keepNext/>
        <w:spacing w:after="100"/>
      </w:pPr>
      <w:r>
        <w:rPr>
          <w:b/>
          <w:bCs/>
        </w:rPr>
        <w:t xml:space="preserve">Lo que creemos nosotros.</w:t>
      </w:r>
    </w:p>
    <w:p>
      <w:pPr>
        <w:spacing w:after="100"/>
      </w:pPr>
      <w:r>
        <w:t xml:space="preserve">Ni lo uno ni lo otro: ventas planas en 2026 (−2 %) y +6 % en 2027-2028 con margen del 34 %, BPA de 2028e un 20 % por debajo del consenso. A este precio la rentabilidad es buena (19 % base), pero la tesis aún no tiene pruebas.</w:t>
      </w:r>
    </w:p>
    <w:p>
      <w:pPr>
        <w:keepNext/>
        <w:spacing w:after="100"/>
      </w:pPr>
      <w:r>
        <w:rPr>
          <w:b/>
          <w:bCs/>
        </w:rPr>
        <w:t xml:space="preserve">Por qué podemos tener razón.</w:t>
      </w:r>
    </w:p>
    <w:p>
      <w:pPr>
        <w:spacing w:after="100"/>
      </w:pPr>
      <w:r>
        <w:t xml:space="preserve">El 618 de 2026 dio +25 % de GMV online en KOMFYMED y la empresa sigue ganando un 34 % de EBITDA [3, 23], pero el gasto comercial sube y los canales de distribuidores y JD caen un 13-15 % [3].</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RMB) · precio actual 19,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Calidad del negocio</w:t>
      </w:r>
      <w:r>
        <w:t xml:space="preserve">: ROIC del 152 % y margen EBITDA del 34 % aun en la caída [1, 3].</w:t>
      </w:r>
    </w:p>
    <w:p>
      <w:pPr>
        <w:pStyle w:val="ListParagraph"/>
        <w:numPr>
          <w:ilvl w:val="0"/>
          <w:numId w:val="2"/>
        </w:numPr>
        <w:spacing w:after="60"/>
      </w:pPr>
      <w:r>
        <w:rPr>
          <w:b/>
        </w:rPr>
        <w:t xml:space="preserve">Caja</w:t>
      </w:r>
      <w:r>
        <w:t xml:space="preserve">: ≈ 7.600 M sin deuda, el 37 % de la capitalización [3].</w:t>
      </w:r>
    </w:p>
    <w:p>
      <w:pPr>
        <w:pStyle w:val="ListParagraph"/>
        <w:numPr>
          <w:ilvl w:val="0"/>
          <w:numId w:val="2"/>
        </w:numPr>
        <w:spacing w:after="60"/>
      </w:pPr>
      <w:r>
        <w:rPr>
          <w:b/>
        </w:rPr>
        <w:t xml:space="preserve">Precio</w:t>
      </w:r>
      <w:r>
        <w:t xml:space="preserve">: 12 veces nuestro BPA de 2027e, el PER más bajo desde la salida a bolsa [31].</w:t>
      </w:r>
    </w:p>
    <w:p>
      <w:pPr>
        <w:pStyle w:val="ListParagraph"/>
        <w:numPr>
          <w:ilvl w:val="0"/>
          <w:numId w:val="2"/>
        </w:numPr>
        <w:spacing w:after="60"/>
      </w:pPr>
      <w:r>
        <w:rPr>
          <w:b/>
        </w:rPr>
        <w:t xml:space="preserve">Opciones nuevas</w:t>
      </w:r>
      <w:r>
        <w:t xml:space="preserve">: tres registros de clase III de inyectables de colágeno [20, 21, 22].</w:t>
      </w:r>
    </w:p>
    <w:p>
      <w:pPr>
        <w:pStyle w:val="Heading2"/>
      </w:pPr>
      <w:r>
        <w:t xml:space="preserve">En contra</w:t>
      </w:r>
    </w:p>
    <w:p>
      <w:pPr>
        <w:pStyle w:val="ListParagraph"/>
        <w:numPr>
          <w:ilvl w:val="0"/>
          <w:numId w:val="2"/>
        </w:numPr>
        <w:spacing w:after="60"/>
      </w:pPr>
      <w:r>
        <w:rPr>
          <w:b/>
        </w:rPr>
        <w:t xml:space="preserve">Ventas cayendo</w:t>
      </w:r>
      <w:r>
        <w:t xml:space="preserve">: −19,8 % en el 2S25 y −6,3 % en el 1S26 [2, 3].</w:t>
      </w:r>
    </w:p>
    <w:p>
      <w:pPr>
        <w:pStyle w:val="ListParagraph"/>
        <w:numPr>
          <w:ilvl w:val="0"/>
          <w:numId w:val="2"/>
        </w:numPr>
        <w:spacing w:after="60"/>
      </w:pPr>
      <w:r>
        <w:rPr>
          <w:b/>
        </w:rPr>
        <w:t xml:space="preserve">Foso que se estrecha</w:t>
      </w:r>
      <w:r>
        <w:t xml:space="preserve">: más gasto comercial (43,4 %) y margen bruto a la baja [3].</w:t>
      </w:r>
    </w:p>
    <w:p>
      <w:pPr>
        <w:pStyle w:val="ListParagraph"/>
        <w:numPr>
          <w:ilvl w:val="0"/>
          <w:numId w:val="2"/>
        </w:numPr>
        <w:spacing w:after="60"/>
      </w:pPr>
      <w:r>
        <w:rPr>
          <w:b/>
        </w:rPr>
        <w:t xml:space="preserve">Regulador y reputación</w:t>
      </w:r>
      <w:r>
        <w:t xml:space="preserve">: la polémica de 2025 puede repetirse; la NMPA decide las normas [17].</w:t>
      </w:r>
    </w:p>
    <w:p>
      <w:pPr>
        <w:pStyle w:val="ListParagraph"/>
        <w:numPr>
          <w:ilvl w:val="0"/>
          <w:numId w:val="2"/>
        </w:numPr>
        <w:spacing w:after="60"/>
      </w:pPr>
      <w:r>
        <w:rPr>
          <w:b/>
        </w:rPr>
        <w:t xml:space="preserve">Consenso atrasado</w:t>
      </w:r>
      <w:r>
        <w:t xml:space="preserve">: espera +10 % en 2026; los recortes pueden pesar en marzo [32].</w:t>
      </w:r>
    </w:p>
    <w:p>
      <w:pPr>
        <w:pStyle w:val="Heading2"/>
      </w:pPr>
      <w:r>
        <w:t xml:space="preserve">Qué tiene que pasar para que la tesis funcione</w:t>
      </w:r>
    </w:p>
    <w:p>
      <w:pPr>
        <w:spacing w:after="100"/>
      </w:pPr>
      <w:r>
        <w:t xml:space="preserve">Si las ventas dejan de caer. La señal de que la tesis aguanta: un 11.11 con KOMFYMED en los primeros puestos y ventas del 2S26 de 2.490 M o más con margen EBITDA del 33-34 %; la de que falla: ventas del 2S26 por debajo de 2.400 M, gasto comercial por encima del 45 % o una actuación de la NMPA sobre KOMFYMED.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 la tesis es que dejan de caer.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comercial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coste del tráfico y el poder de la marca.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34 %.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online propia (Tmall, Douyin)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 M, −2,2 %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&gt;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61 %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inyectables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Sin publicar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Sin cifra en los resultados de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Única fuente de crecimiento nueva.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6,9x / 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 10,0x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-4,2x · -4,2x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Fundada en Xi'an en 2000 por Yan Jianya (empresario) y Fan Daidi (científica de la Universidad del Noroeste que desarrolló la producción de colágeno recombinante «humanizado» por fermentación). Empezó vendiendo apósitos de colágeno a hospitales para después de tratamientos dermatológicos y láser, y lanzó COLLGENE (2009) y KOMFYMED (2011). En 2021 se reorganizó en las Islas Caimán, entraron fondos (CPE, Hillhouse, serie A de 7.094 M) y la empresa recompró 6.360 M de acciones a los fundadores; salió a bolsa en Hong Kong el 4-nov-2022 [7]. Entre 2021 y 2024 multiplicó por 3,6 las ventas con KOMFYMED en Douyin; en 2025 la polémica sobre el contenido de colágeno, la competencia y el cambio de canal frenaron el crecimiento [1, 16]. Desde 2025 entra en inyectables de clase III [20, 21,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Xi'an por Yan Jianya y Fan Daidi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COLLGENE y de KOMFYMED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y entrada de inversores (serie A de 7.094 M)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Hong Kong (4-nov)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5.539 M (+57 %); colocación de 1.499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Polémica del 胶原棒 (mayo-junio), ventas planas; colocación de 2.164 M en abril; primer registro de clase III (octubre) [16,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−6,3 % en el 1S; registros de clase III de enero y junio; lanzamiento del inyectable 753; marca nueva 1'me (octubre) [3, 21, 22]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Giant Biogene (巨子生物, Xi'an) fabrica y vende en China cosmética y productos sanitarios basados en colágeno recombinante y ginsenósidos que produce por fermentación (biología sintética): el 99,7 % de las ventas es «cuidado profesional de la piel» [1, 3]. KOMFYMED (可复美) es el 80 % de las ventas: apósitos de colágeno para después de tratamientos estéticos (producto sanitario de clase II, su origen), sérums monodosis («胶原棒»), cremas («Focus Cream») y el nuevo «超透棒». COLLGENE (可丽金) es el 17 %: antiedad y, desde junio de 2026, el inyectable de colágeno 753 (clase III). Vende online en tiendas propias de Tmall, Douyin y JD (61 % de las ventas), a plataformas (11 %), en directo a cadenas y tiendas propias (4 %) y a distribuidores que llegan a ≈ 1.700 hospitales públicos, ≈ 3.500 clínicas y más de 130.000 farmacias (23 %) [3]. Fábricas propias en Xi'an; 2.319 empleados [3].</w:t>
      </w:r>
    </w:p>
    <w:p>
      <w:pPr>
        <w:pStyle w:val="Heading2"/>
      </w:pPr>
      <w:r>
        <w:t xml:space="preserve">Cómo gana dinero</w:t>
      </w:r>
    </w:p>
    <w:p>
      <w:pPr>
        <w:spacing w:after="100"/>
      </w:pPr>
      <w:r>
        <w:t xml:space="preserve">Margen bruto del 80 % (79,5 % en el 1S26): el colágeno lo produce ella y el producto es barato de fabricar [3]. El dinero se va en marketing: el gasto comercial fue del 37 % de las ventas en 2025 y del 43 % en el 1S26 (promoción en plataformas, influencers, comisiones de Tmall y Douyin y tiendas propias). El margen EBITDA pasó del 42-45 % (2023-1S25) al 34 % (2S25 y 1S26). Nada es recurrente por contrato: depende de la repetición de compra y de los grandes festivales online (618 en junio y 11.11 en noviembre), que hacen el 2S más fuerte en ventas y en gasto. El apalancamiento operativo es alto en las dos direcciones: con ventas cayendo y el marketing subiendo, cada punto de ventas pesa más en el beneficio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KOMFYMED (可复美)</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COLLGENE (可丽金)</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marcas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Alimentos funcionales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RMB,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KOMFYMED (可复美)</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COLLGENE (可丽金)</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marcas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Alimentos funcionales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finales: millones de consumidores (sobre todo mujeres jóvenes urbanas), pacientes de clínicas de estética y dermatología y compradores de farmacia. Ningún cliente pesa un 10 % de las ventas [1]. No hay contratos: la retención depende de la marca y la recomendación médica. Poder de precios: el margen bruto se mantuvo en 80-82 % de 2023 a 2025, pero en 2025 la empresa «reforzó el control de precios» del canal (lo que le costó ventas de apósitos) y compite con descuentos en los festivales [1]; tras la polémica de mayo de 2025, KOMFYMED salió de los diez primeros del 618 de Tmall en belleza (había estado entre los tres primeros de marcas chinas emergentes en 2024) [18]. En el 618 de 2026 dice haber recuperado: +25 % de GMV online (KOMFYMED) y +30 % (COLLGENE)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online en tiendas propias (DTC: Tmall, Douyin…)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3.587,2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3.402,1 M (2025); 1.777,1 M en el 1S26 (−2,2 %)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 la venta por influencers; sube la venta en directo propia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plataformas (JD.com, Vipshop)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377,1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508,5 M (2025); 334,5 M en el 1S26 (−14,5 %)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JD repuso menos en el 1S26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distribuidores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1.404,6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1.383,2 M (2025); 683,3 M en el 1S26 (−13,2 %)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Farmacias y clínicas más prudentes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80,3 % (2025); 79,5 %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productos nuevos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comercial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 (2025); 43,4 %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lanzamientos y tiendas propias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Puntos de venta físicos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3.000 clínicas privadas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1.700 hospitales públicos, ≈ 3.500 clínicas, &gt;130.000 farmacias y 42 tiendas propias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de cosmética de China continental (cuidado de la piel, maquillaje y otros), que es donde vende el 100 % de la empresa; dentro, su nicho es la «cosmética funcional» o dermocosmética de reparación y los productos sanitarios para la piel (apósitos) y, desde 2026, los inyectables de estética. Usamos la estadística oficial de ventas minoristas de cosmética de la Oficina Nacional de Estadística (empresas por encima del umbral: 4.653 億 RMB en 2025) [13], y como contraste la cifra de la asociación sectorial para todos los canales (≈ 1,1 billones de RMB, +2,83 %) [14], que incluye online pequeño y precios de venta al público. No hay una cifra pública fiable del nicho del colágeno recombinante: no la usamos.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465.300 M RMB en 2025 (ventas minoristas de cosmética de empresas por encima del umbral, +5,1 %) [13]; ≈ 1,1 billones de RMB en todos los canales (+2,83 %) según la asociación sectorial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RMB (ventas minoristas de cosmética, empresas por encima del umbr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Cosmética «funcional» y de ingrediente activo (colágeno, ácido hialurónico, péptidos)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171 materias primas nuevas registradas en 2025 (+87,9 %) [14]; KOMFYMED pasó de 898 M a 4.542 M de ventas en 2021-2024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Marcas chinas frente a extranjeras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Proya, Mao Geping y Chicmax crecen; Estée Lauder y Shiseido pierden en China (ventas de Shiseido y EL de los últimos doce meses con márgenes del 7-11 %)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de pago en Douyin y Tmall (coste de captar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comercial de Giant del 36,3 % (2024) al 43,4 % de las ventas (1S26) [3]; la dirección: «los dividendos de tráfico ya no están»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chino débil y presión de precios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minoristas totales +3,7 % en 2025 y +0,9 % en diciembre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Estética médica no quirúrgica (inyectables de colágeno)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registros de clase III de Giant entre oct-2025 y jun-2026 [20, 21,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declaraciones de eficacia y de etiquetado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polémica de 2025 giró sobre si el 胶原棒 tenía ≥ 0,1 % de colágeno; no hay norma nacional de método de medida para cosmética [17]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de precios y de tráfico en Douyin y Tmall; Bloomage, Botanee, Proya y marcas nuevas compiten en reparación y colágeno; en 2025 la rivalidad llegó a ataques públicos (Bloomage reconoció su participación en un fondo ligado al bloguero que acusó a Giant)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Consumidor final atomizado, pero las plataformas (Tmall, Douyin, JD) y los grandes vendedores en directo fijan comisiones, visibilidad y descuentos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Giant produce su propio colágeno; los envases y materias auxiliares son genéricos (coste de ventas del 20 % de las ventas)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 baja en cosmética (fabricación por encargo y marketing en redes); alta en productos sanitarios de clase III (años de ensayos y registro NMPA) [20, 21,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Otros activos (hialurónico, péptidos, exosomas), colágeno animal y tratamientos estéticos sustituyen a la reparación tópica.</w:t>
            </w:r>
          </w:p>
        </w:tc>
      </w:tr>
    </w:tbl>
    <w:p>
      <w:pPr>
        <w:spacing w:after="160" w:before="0"/>
      </w:pPr>
    </w:p>
    <w:p>
      <w:pPr>
        <w:pStyle w:val="Heading2"/>
      </w:pPr>
      <w:r>
        <w:t xml:space="preserve">Ciclo</w:t>
      </w:r>
    </w:p>
    <w:p>
      <w:pPr>
        <w:spacing w:after="100"/>
      </w:pPr>
      <w:r>
        <w:t xml:space="preserve">La cosmética china creció un 5,1 % en 2025 según la estadística oficial, por encima del consumo total (+3,7 %) [13, 14], pero el mercado de todos los canales solo un 2,83 % [14]: madurez con consumo débil y precios a la baja. En 2020 el sector cayó (cierres) y en 2022 retrocedió con los confinamientos; Giant creció en ambos años (+30 % en 2021 y +52 % en 2022) [7] por su nicho. El ciclo pesa menos que la competencia de marcas y la factura del tráfico.</w:t>
      </w:r>
    </w:p>
    <w:p>
      <w:pPr>
        <w:pStyle w:val="Heading2"/>
      </w:pPr>
      <w:r>
        <w:t xml:space="preserve">Regulación</w:t>
      </w:r>
    </w:p>
    <w:p>
      <w:pPr>
        <w:spacing w:after="100"/>
      </w:pPr>
      <w:r>
        <w:t xml:space="preserve">Cosmética: Reglamento de Supervisión de Cosméticos de 2021 (registro de ingredientes nuevos, pruebas de eficacia de las declaraciones, etiquetado de ingredientes por orden de peso, «no traza» por encima del 0,1 %) [17]. Productos sanitarios: los apósitos son de clase II y los inyectables de clase III con registro de la NMPA; Giant tiene tres registros de clase III (oct-2025, ene-2026, jun-2026) y la licencia de fabricación de clase III (1S26) [3, 20, 21, 22]. Norma sectorial YY/T 1947-2025 de apósitos de colágeno recombinante [17]. La NMPA endureció en 2025 la venta online de productos sanitarios y las declaraciones de eficacia [18]. No hay norma nacional de medida del colágeno recombinante en cosmética: es el centro de la polémica de 2025 [17].</w:t>
      </w:r>
    </w:p>
    <w:p>
      <w:pPr>
        <w:pStyle w:val="Heading2"/>
      </w:pPr>
      <w:r>
        <w:t xml:space="preserve">Tendencias y disrupción</w:t>
      </w:r>
    </w:p>
    <w:p>
      <w:pPr>
        <w:spacing w:after="100"/>
      </w:pPr>
      <w:r>
        <w:t xml:space="preserve">Ganan las marcas chinas con «ciencia» propia y las que controlan su canal online (venta en directo propia frente a grandes influencers). Pierden las que dependen de un producto estrella y del tráfico de pago. La estética médica se desplaza a inyectables «regenerativos» (colágeno, PLLA), con competidores que ya tenían registros (Jinbo Bio con colágeno tipo III, Sihuan) [23]. Giant gana con su tecnología y sus registros de clase III, y pierde con la erosión de KOMFYMED y la competencia en reparación.</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Primera en colágeno recombinante (Euromonitor, tres años seguidos, según la empresa) y entre las diez mayores de cosmética china por ventas; ≈ 1,2 % de las ventas minoristas oficiales de cosmética (estimación propia: 5.519 M de ventas a precio de fábrica sobre 465.300 M a precio de venta) [3,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Proya Cosmetics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603605.SS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marca china de cuidado de la piel; antiedad y reparación; margen operativo de los últimos doce meses del 11,1 %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Mao Geping Cosmetics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1318.HK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Maquillaje y cuidado de alta gama en grandes almacenes; crece un 26 %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Yunnan Botanee (Winona)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300957.SZ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reparación de piel sensible; margen del 15 %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Bloomage Biotech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688363.SS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Ácido hialurónico y cosmética; ventas −21,6 %; enfrentada a Giant en la polémica de 2025 [16,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Imeik Technology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300896.SZ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Inyectables de estética (hialurónico, PLLA): el competidor del negocio nuevo de Giant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Shanghai Chicmax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2145.HK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de masas (KANS, One Leaf) muy dependientes de Douyin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Shanghai Jahwa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600315.SS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tradicional con marcas de masas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L'Oréal (China)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340.338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mundial; en China con La Roche-Posay y SkinCeuticals en dermocosmética (grupo entero) [15,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venta de producto de consumo.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el consumidor cambia de sérum sin coste; algo más altos en clínicas que recomiendan el apósito tras un tratamiento [B13].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233 patentes concedidas y solicitadas, más de 50 tipos de colágeno recombinante, tres registros de clase III únicos en China y la licencia de fabricación de clase III [B8, B9-B11, B13]; marca KOMFYMED con más de diez años en apósitos (primera de Tmall en apósitos en el 618 de 2026) [B13]. La polémica de 2025 dañó la confianza en el producto estrella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Produce su colágeno a gran escala: margen bruto del 80 % frente al 70-75 % de los rivales chinos [B7, B13].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grande y fragmentado: no hay escala que excluya.</w:t>
            </w:r>
          </w:p>
        </w:tc>
      </w:tr>
    </w:tbl>
    <w:p>
      <w:pPr>
        <w:spacing w:after="160" w:before="0"/>
      </w:pPr>
    </w:p>
    <w:p>
      <w:pPr>
        <w:pStyle w:val="Heading2"/>
      </w:pPr>
      <w:r>
        <w:t xml:space="preserve">Amenazas</w:t>
      </w:r>
    </w:p>
    <w:p>
      <w:pPr>
        <w:spacing w:after="100"/>
      </w:pPr>
      <w:r>
        <w:t xml:space="preserve">Tres amenazas, de más a menos probable: (1) la erosión de KOMFYMED por la guerra de precios y de tráfico en Douyin y Tmall (venta por influencers en caída, gasto comercial del 43 %) [3]; (2) el descrédito del colágeno recombinante como ingrediente si se repite la polémica de 2025 o si un competidor (Sihuan, Jinbo) gana el relato técnico sobre la «triple hélice» [17, 23]; (3) en inyectables, Imeik y otros tienen años de ventaja comercial con médicos y clínicas. Probabilidad media-alta de que el margen no vuelva al 40 %.</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2021-2025: ingresos </w:t>
      </w:r>
      <w:r>
        <w:rPr>
          <w:b/>
          <w:bCs/>
        </w:rPr>
        <w:t xml:space="preserve">37,3 %</w:t>
      </w:r>
      <w:r>
        <w:t xml:space="preserve">, EBITDA </w:t>
      </w:r>
      <w:r>
        <w:rPr>
          <w:b/>
          <w:bCs/>
        </w:rPr>
        <w:t xml:space="preserve">23,6 %</w:t>
      </w:r>
      <w:r>
        <w:t xml:space="preserve">, BPA </w:t>
      </w:r>
      <w:r>
        <w:rPr>
          <w:b/>
          <w:bCs/>
        </w:rPr>
        <w:t xml:space="preserve">21,5 %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RMB,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1.552 M en 2021 a 5.539 M en 2024 (+52,8 % anual), todo orgánico, empujadas por KOMFYMED (可复美), que pasó de 898 M a 4.542 M con el «胶原棒» (sérum monodosis de colágeno recombinante) y las ventas en directo de Douyin y Tmall [1, 6, 7]. Después se frenaron en seco: 2025 quedó plano (5.519 M, −0,4 %) con un 2S25 de 2.406 M (−19,8 % frente a 2.998 M del 2S24) y el 1S26 cayó un 6,3 % (2.918 M) [2, 3]. El margen EBITDA, del 42-43 % en 2024, bajó al 40,2 % en 2025 y al 34,1 % en el 1S26: el margen bruto cedió del 82,1 % (2024) al 79,5 % (1S26) por la mezcla, y el gasto comercial subió del 36,3 % de las ventas en 2024 al 43,4 % en el 1S26 (1.267 M, +19,7 %) por marca, lanzamientos y tiendas propias mientras caía la venta por influencers [1, 3]. El resultado financiero (intereses de ≈ 7.600 M de caja y productos financieros) suma 212 M en 2025 y 138 M en el 1S26: el 9-13 % del beneficio antes de impuestos.</w:t>
      </w:r>
    </w:p>
    <w:p>
      <w:pPr>
        <w:pStyle w:val="Heading2"/>
      </w:pPr>
      <w:r>
        <w:t xml:space="preserve">Ajustes y partidas no recurrentes</w:t>
      </w:r>
    </w:p>
    <w:p>
      <w:pPr>
        <w:spacing w:after="100"/>
      </w:pPr>
      <w:r>
        <w:t xml:space="preserve">Cifras publicadas NIIF. La empresa da un «beneficio neto ajustado» que suma los pagos en acciones (45 M en 2025, 90 M en 2024, 6 M en el 1S26): 1.960 M en 2025 frente a 1.915 M publicados [2, 3]; usamos el publicado. El tipo impositivo de 2025 (18,5 %) lleva 92 M de retención sobre los dividendos de las filiales chinas (23 M en 2024): es recurrente mientras la empresa reparta. 2022 lleva 8 M de pérdidas en productos financieros y 14 M de diferencias de cambio; 2021, 22 M de ganancias de cambio. No hay deterioros ni reestructuraciones.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 empresa publica semestres. En los resultados de 2025 (19-mar-2026) la dirección habló de un año «extraordinario» por la competencia y los «golpes externos» (la polémica del colágeno de mayo-junio de 2025), reconoció que «los dividendos tradicionales de tráfico ya no están» y que la incertidumbre del tráfico externo es grande, y fijó para 2026 el objetivo de «volver a crecer» con lanzamientos y más venta propia [2]. En el 1S26 (18-ago-2026) atribuyó la caída del 6,3 % a una «reestructuración por fases» de las ventas de cuidado profesional de la piel (menos venta por influencers, distribuidores más prudentes y JD.com reponiendo menos), mantuvo el objetivo de volver a crecer en el año y destacó el «超透棒» (más de 30 M de GMV en su primera semana en canal propio), el +25 % de GMV de KOMFYMED en el 618 y el lanzamiento del inyectable 753 (clase III) [3]. Entre un mensaje y otro cambia el énfasis: de la competencia de precios a la reorganización de canales y a la estética médica. No dio cifras de ventas ni margen para el 2S ni explicó cuánto del gasto comercial (43,4 % de las ventas) es inversión puntual. No hay transcripción pública de la conferencia en las fuentes leídas.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Reorganización previa a la salida a bolsa: 7.094 M de caja de la serie A y 6.360 M de recompra de acciones ordinarias de los fundadores pendiente en «otras cuentas a pagar» (pagada en 2022); balance no comparable [7].).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casi todo caja: 7.594 M de liquidez sobre un activo de 10.244 M a jun-2026. Creció con el beneficio y con dos colocaciones (1.499 M en mayo de 2024 y 2.164 M en abril de 2025, esta a 66,65 HKD) [1, 12], a pesar de repartir 908 M en 2024, 1.279 M en 2025 y 1.285 M en el 1S26. El circulante comercial es pequeño (394 M a dic-2025, el 7,1 % de las ventas) pero empeoró en 2025: existencias +26 % (391 M, la mayoría producto acabado) y clientes +43 % con ventas planas, y proveedores −31 % [2]. En el 1S26 los clientes casi se doblan (389 M) por la venta a plataformas y distribuidores, un punto a vigilar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RMB,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5.912</w:t>
      </w:r>
      <w:r>
        <w:t xml:space="preserve">, conversión </w:t>
      </w:r>
      <w:r>
        <w:rPr>
          <w:b/>
          <w:bCs/>
        </w:rPr>
        <w:t xml:space="preserve">81 %</w:t>
      </w:r>
      <w:r>
        <w:t xml:space="preserve"> del beneficio neto; adquisiciones 237, dividendos 5.105, recompras 6.402.</w:t>
      </w:r>
    </w:p>
    <w:p>
      <w:pPr>
        <w:spacing w:after="100"/>
      </w:pPr>
      <w:r>
        <w:t xml:space="preserve">El flujo operativo sale de impuestos y no incluye los intereses cobrados, que la empresa pone en inversión (168 M en 2025) [1]. La conversión del beneficio en flujo operativo es del 93 % en 2025 y del 99 % en 2024; en el 1S26 sube a 790 M (+10 %) porque pagó menos impuestos (148 M frente a 288 M) [4]. El capex se disparó en 2025 (429 M, el 7,8 % de las ventas) por las fábricas nuevas de Xi'an; en el 1S26 bajó a 95 M con 27 M de derechos de uso de suelo, y quedan 331 M comprometidos [3, 4]. Estimación propia: el capex de mantenimiento es ≈ la amortización (1,5-2 % de las ventas); el resto es capacidad para productos nuevos (inyectables de clase III, materias primas). 2021-2022 llevan la reorganización previa a la bolsa: 7.094 M de la serie A, 6.236 M de recompra a los fundadores y 2.917 M de dividendos a los fundadores [7]. Las «adquisiciones» de 2025 son 205 M en asociadas no materiales, 14 M en una cotizada (Hanbon) y 2 M en una filial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(Hong Kong) hasta las cuentas de 2025; KPMG desde la junta del 28-may-2026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 Ernst &amp; Young)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NIIF auditadas por EY durante siete ejercicios (2019-2025), con opinión favorable en 2025 y la venta online directa (61,6 % de las ventas) y a distribuidores (25,1 %) como cuestiones clave de auditoría [1]. EY dimitió el 30-abr-2026 a petición de la empresa, que dice haber cambiado por «buen gobierno» tras siete años; no se declaran desacuerdos [27, 28]. Cambiar de auditor justo después de un año malo no es una señal de fraude, pero sí un punto a vigilar. Las ventas se reconocen al entregar; los cobros son por adelantado salvo plataformas y distribuidores (7-180 días). Los pagos en acciones bajaron de 90 M (2024) a 45 M (2025) y 6 M en el 1S26 (1,6 %, 2,3 % y 0,6 % del beneficio). El I+D se lleva a gastos (89 M en 2025, 1,6 % de las ventas): no hay capitalización. Señales del circulante en 2025: existencias +26 % y clientes +43 % con ventas planas; en el 1S26 clientes +92 % frente a diciembre. El beneficio se apoya cada vez más en el resultado financiero (9 % del beneficio antes de impuestos en 2025, 13 % en el 1S26).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 tras un año malo (EY → KPMG, abril-mayo 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inicia la empresa; EY dimite el 30-abr; sin desacuerdos declarados [27, 28]. Primer cierre anual de KPMG: marzo de 2027.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y cuentas a cobrar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+26 % y clientes +43 % en 2025 con ventas −0,4 %; clientes 389 M en jun-2026 (202 M en dic-2025) [2, 3]. Puede ser estacionalidad del 618 y del canal JD.</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 más dependiente de intereses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financiero de 212 M en 2025 y 138 M en el 1S26; bajará con los tipos del dólar y con los dividendos.</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12,9 % · </w:t>
      </w:r>
      <w:r>
        <w:rPr>
          <w:b/>
          <w:bCs/>
        </w:rPr>
        <w:t xml:space="preserve">WACC</w:t>
      </w:r>
      <w:r>
        <w:t xml:space="preserve">: 9,7 %.</w:t>
      </w:r>
    </w:p>
    <w:p>
      <w:pPr>
        <w:spacing w:after="100"/>
      </w:pPr>
      <w:r>
        <w:t xml:space="preserve">Giant crea mucho valor: ROIC del 152 % en 2025 frente a un WACC del 9,65 % (142 puntos), y del 224-273 % en 2023-2024 [1]. Viene de un margen operativo del 38,8 % en 2025 con muy poco capital (el capital invertido sin caja es de ≈ 1.150 M para 5.519 M de ventas): fabrica en Xi'an con fermentación propia y vende sobre todo online. Lo que empeora: el ROIC incremental de 2022-2025 es del 12,9 %, porque el capital creció (fábricas, existencias) y el beneficio de 2025 cayó (−7,2 %). La caja (8.469 M a fin de 2025) no entra en el ROIC; con ella, el ROE fue del 22,5 % en 2025 [1]. Pasa con holgura el requisito de ROIC − WACC ≥ 5 puntos; la calidad la frena la sostenibilidad («En parte»), no la rentabilidad.</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4.852,5 M, productos financieros de bancos a valor razonable de 2.543,3 M y ≈ 199 M de depósitos a más de un año a 30-jun-2026 (≈ 7.594 M); sin deuda bancaria ni avales [3, 4]. El 51 % de la caja está en USD (2.499 M)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financiera ni pasivos por pensiones (planes de aportación definida). Arrendamientos de 12,3 M (NIIF 16). Compromisos de inversión contratados de 330,6 M (fábricas y líneas) a 30-jun-2026 [3]. No hay pasivos contingentes materiales según la empresa [3]. Pasivos por contrato (anticipos de clientes) de 52 M. No hay factoring ni confirming declarados. La caja de las filiales chinas paga una retención al subir como dividendo a la matriz de las Caimán (92 M de impuesto en 2025) [1].</w:t>
      </w:r>
    </w:p>
    <w:p>
      <w:pPr>
        <w:pStyle w:val="Heading1"/>
      </w:pPr>
      <w:r>
        <w:t xml:space="preserve">12. Asignación de capital</w:t>
      </w:r>
    </w:p>
    <w:p>
      <w:pPr>
        <w:pStyle w:val="Confianza"/>
        <w:spacing w:after="100"/>
      </w:pPr>
      <w:r>
        <w:t xml:space="preserve">Confianza: Alta</w:t>
      </w:r>
    </w:p>
    <w:p>
      <w:pPr>
        <w:spacing w:after="100"/>
      </w:pPr>
      <w:r>
        <w:t xml:space="preserve">Reparto alto y con extraordinarios: dividendo ordinario + extraordinario de 0,89 RMB por 2023, 1,1942 RMB por 2024 y 1,2104 RMB por 2025 (≈ 1.290 M, el 67 % del beneficio de 2025) [1, 2]. No hay dividendo a cuenta (ni en 2025 ni en 2026) [3]. Recompras: 5,2 M de acciones en 2025 (166 M RMB) y 4 M en enero de 2026 (140 M HKD, a 33,7-36,3 HKD), todas amortizadas el 20-abr-2026 [3, 11]; el mandato de la junta permite el 10 %. Ampliaciones con descuento en 2024 y 2025 (1.499 M y 2.164 M) para «reservas» y expansión [12]. Prioridad declarada: inyectables de clase III, materias primas nuevas, marcas nuevas y salida al exterior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RMB,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en asociadas no materiales (sin nombre en las cuentas) y 1,7 % aprox. en Hanbon Science and Technology (cotizada, a valor razonable)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Asociadas con 9,5 M de beneficio en 2025 y 9,8 M en el 1S26; Hanbon vendida en el 1S26 por 22 M [1, 4].</w:t>
            </w:r>
          </w:p>
        </w:tc>
      </w:tr>
    </w:tbl>
    <w:p>
      <w:pPr>
        <w:spacing w:after="160" w:before="0"/>
      </w:pPr>
    </w:p>
    <w:p>
      <w:pPr>
        <w:spacing w:after="100"/>
      </w:pPr>
      <w:r>
        <w:t xml:space="preserve">La dirección invierte poco (no lo necesita: ROIC operativo muy alto) y reparte casi todo el flujo libre, pero ha emitido acciones dos veces con la acción alta (2024 y 2025, ≈ 3.660 M en total) cuando ya tenía miles de millones de caja: la caja ociosa (≈ 7.600 M, el 37 % de la capitalización) rinde un 3-4 % y diluye el ROE (18 % en los últimos doce meses). La recompra de 2025-2026 se hizo entre 33 y 36 HKD, un 50 % por encima del precio de hoy. Las acciones en circulación pasaron de 982,7 M (2023, diluidas) a 1.059,4 M (2025): +7,8 % por colocaciones y opciones.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 Jianya (严建亚)</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el grupo en 2000; preside también Xi'an Triangle Defense (cotizada en Shenzhen) desde 2015. Marido de la accionista de control. Llevó las ventas de 957 M (2019) a 5.539 M (2024); desde 2025 caen. RSU de 7,35 M de acciones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 Daidi (范代娣)</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científica y accionista de control (no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Científica de la Universidad del Noroeste; desarrolló la producción de colágeno recombinante; controla el 55,13 % por el fideicomiso familiar (Juzi Holding) [1,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 Huijuan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y consejera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Auditora en Deloitte (2008-2010) y PwC (2011-2018), directora financiera de Easy Click (2019-2022)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 Yubo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ejecutiva, directora de producto y secretaria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Hija de los fundadores, 30 años; en el grupo desde 2018 (relación con inversores, financiación)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 Juan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ejecutiva y vicepresidenta sénior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Banca (CCB) y secretaria de consejo en empresas de Xi'an antes de entrar en 2016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Fang Juan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ejecutiva y vicepresidenta sénior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grupo desde diciembre de 2000; directora de la filial operativa desde 2020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«Construir marcas, ampliar canales y reforzar registros»: obtener registros de productos sanitarios de clase III (sin cifra de ventas)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registros de clase III (oct-2025 y ene-2026); ventas −0,4 %, beneficio −7,1 %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«Volver a crecer» en el año (sin cifra)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−6,3 %, beneficio −20,5 %; el objetivo se mantiene para el año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Empresa familiar de fundadores: el matrimonio Yan-Fan controla el 55 % y su hija es consejera ejecutiva y directora de producto. El equipo es estable (sin cambios de presidente o consejero delegado en 24 meses) y técnico en lo científico; la directora financiera viene de las grandes auditoras. La credibilidad está tocada: la empresa no da guía numérica, dijo en 2025 que el colágeno era el doble de lo que medía el bloguero sin publicar un método validado, y el «volver a crecer» de 2026 va por detrás tras el 1S. A favor: el accionista de control compró 4,2 M de acciones (200 M HKD) entre junio y octubre de 2025 a 39-48 HKD [30]. No hay plan de sucesión publicado más allá de la entrada de la hija en el consejo.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 Jianya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 Gobierno corporativo (presidente),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 Juan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Fang Juan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 Huijuan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ejecutiva y directora financiera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 Yubo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Huang Jin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 Wenhua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Wong Sze Wing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(presidenta), Remuneraciones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 Ernst &amp; Young)</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18,60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Juzi Holding (fideicomiso familiar de Fan Daidi) + Healing Holding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(fundadores)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+4,23 M de acciones compradas entre jun y oct-2025 (200,2 M HKD) [30]; 55,13 % a jun-2026 tras amortizar 9,2 M de acciones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 Jianya (RSU en fideicomiso)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libre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Colocación de 35 M de acciones en abril de 2025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Juzi Holding (accionista de control)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del consejo es pequeña en efectivo: 4,1 M RMB de sueldos y aportaciones de los cinco ejecutivos en 2025, más 14,0 M de gasto contable por RSU y opciones concedidas antes de la salida a bolsa y en 2023 [1]. El presidente cobró 0,76 M en efectivo y 9,37 M de gasto por RSU (10,13 M en total; 11,01 M en 2024). Las RSU de 2021 y las opciones de 2023 tienen condiciones de servicio y de desempeño individual, no de ROIC ni de rentabilidad para el accionista [1]. Hong Kong no vota la política de remuneración; la junta solo autoriza al consejo a fijar los honorarios (99,99 % a favor, 0,04 % en contra sobre el capital libre presente) [25]. Sin cláusulas de recuperación publicadas.</w:t>
      </w:r>
    </w:p>
    <w:p>
      <w:pPr>
        <w:pStyle w:val="Heading2"/>
      </w:pPr>
      <w:r>
        <w:t xml:space="preserve">Operaciones vinculadas, estructura de control y defensas</w:t>
      </w:r>
    </w:p>
    <w:p>
      <w:pPr>
        <w:spacing w:after="100"/>
      </w:pPr>
      <w:r>
        <w:t xml:space="preserve">Fan Daidi controla el 55,13 % por un fideicomiso familiar (Juzi Holding) y su marido preside el consejo y es consejero delegado; la hija es consejera ejecutiva: cinco de ocho consejeros son ejecutivos y tres independientes (el mínimo de Hong Kong) [1, 4]. Una acción, un voto; sin clases. El presidente y consejero delegado es la misma persona (desviación declarada del código C.2.1) [3]. No hay operaciones vinculadas relevantes declaradas salvo 10 M de anticipo a una parte vinculada en el 1S26 [4]. Con el 55 %, ninguna oferta prospera sin la familia; el control también protege de una venta oportunista. La junta de 2026 aprobó el mandato de emitir hasta el 20 % del capital con un 8,4 % de votos en contra (≈ 59 % del capital libre presente en contra) [25].</w:t>
      </w:r>
    </w:p>
    <w:p>
      <w:pPr>
        <w:pStyle w:val="Heading2"/>
      </w:pPr>
      <w:r>
        <w:t xml:space="preserve">Señales de alerta</w:t>
      </w:r>
    </w:p>
    <w:p>
      <w:pPr>
        <w:pStyle w:val="ListParagraph"/>
        <w:numPr>
          <w:ilvl w:val="0"/>
          <w:numId w:val="2"/>
        </w:numPr>
        <w:spacing w:after="60"/>
      </w:pPr>
      <w:r>
        <w:t xml:space="preserve">Cambio de auditor (EY → KPMG) iniciado por la empresa en abril de 2026, tras el primer año malo; EY dimitió el 30-abr; sin desacuerdos declarados [27, 28].</w:t>
      </w:r>
    </w:p>
    <w:p>
      <w:pPr>
        <w:pStyle w:val="ListParagraph"/>
        <w:numPr>
          <w:ilvl w:val="0"/>
          <w:numId w:val="2"/>
        </w:numPr>
        <w:spacing w:after="60"/>
      </w:pPr>
      <w:r>
        <w:t xml:space="preserve">El 59 % del capital libre presente votó contra el mandato de emisión del 20 % en la junta de 2026; la empresa ya colocó acciones con descuento en 2024 y 2025 [25].</w:t>
      </w:r>
    </w:p>
    <w:p>
      <w:pPr>
        <w:pStyle w:val="ListParagraph"/>
        <w:numPr>
          <w:ilvl w:val="0"/>
          <w:numId w:val="2"/>
        </w:numPr>
        <w:spacing w:after="60"/>
      </w:pPr>
      <w:r>
        <w:t xml:space="preserve">Concentración familiar: presidente y consejero delegado unidos, accionista de control, hija en el consejo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Sin guía numérica. Objetivo de 2026: «volver a crecer» en el año (resultados de 2025, 19-mar-2026; repetido con el 1S26, 18-ago-2026). A medio plazo: inyectables de clase III, materias primas nuevas, marcas nuevas y exterior. El 1S26 cayó un 6,3 %: para crecer en el año, el 2S26 tiene que superar 2.601 M (+8,1 % frente al 2S25).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16-oct-2026 (BPA y DPA en HKD convertidos a 0,8528)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21,32 – 39,23</w:t>
            </w:r>
          </w:p>
        </w:tc>
      </w:tr>
    </w:tbl>
    <w:p>
      <w:pPr>
        <w:spacing w:after="160" w:before="0"/>
      </w:pPr>
    </w:p>
    <w:p>
      <w:pPr>
        <w:pStyle w:val="Heading2"/>
      </w:pPr>
      <w:r>
        <w:t xml:space="preserve">Revisiones de estimaciones</w:t>
      </w:r>
    </w:p>
    <w:p>
      <w:pPr>
        <w:spacing w:after="100"/>
      </w:pPr>
      <w:r>
        <w:t xml:space="preserve">En Yahoo, el BPA de 2026e apenas se ha movido en 90 días (2,09 → 2,10 HKD) y el de 2027e tampoco (2,29 → 2,28 HKD), con 4-6 analistas [33]: el consenso no ha recortado tras el 1S26 (−6,3 % de ventas, −20,5 % de beneficio) y sigue esperando 6.062 M de ventas en 2026e (+9,8 %), que exigirían un 2S26 de +31 %. Lo leemos como consenso desfasado. Las recomendaciones pasan de 14 «comprar» (hace 2-3 meses) a 12, y aparece un «vender» [33]. Huachuang mantiene un objetivo de 38,01 HKD (15x 2026e de cosmética más ≈ 6.000 M por estética) [23]. Solo MarketScreener da estimaciones completas; contrastamos objetivos y recomendaciones con Yahoo.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Rentabilidad total en HKD: −41,3 % en un año frente al −1,3 % del Tracker Fund (2800.HK) y −28,5 % en 2026 [31]. La acción subió de 33,6 HKD (fin de 2022) a 87,1 HKD (máximo de abril de 2025) con el crecimiento del 50 % anual, y desde el 16-may-2025 ha caído un 71,4 % hasta 22,60 HKD [31]: la polémica del colágeno (−19,8 % en siete sesiones desde el 21-may-2025), el frenazo del 2S25 (−34 % en octubre de 2025, con el primer día del 11.11 flojo), los resultados de 2025 (marzo) y del 1S26 (agosto). Beta de 1,02 frente al Tracker Fund (mensual, 47 meses) y volatilidad del 40 % [31]. No hay dato oficial de posición corta en las fuentes leídas.</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 / -22,3 % / -22,5 % / -58,3 %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-57,9 % / 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2027-03-20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16-oct-2025 cayó un 15,3 % y el mes cerró con −34 %, al arrancar la preventa del 11.11 de 2025; el 2S25 confirmó después el frenazo: ventas −19,8 % y margen EBITDA del 34 % (45 % en el 1S25) [2, 31]. Recoge también la polémica del colágeno (mayo-junio de 2025) y la competencia. La familia compró 200,2 M HKD entre junio y octubre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el 19-mar-2026: beneficio −7,2 %, 2S25 −19,8 % de ventas y una dirección que admitió que «los dividendos del tráfico ya no están» [2, 31]. Recogido en nuestro base (2026e −2 %).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16 % en el mes (mayor subida de un mes en seis meses: +19,9 % hasta el 31-jul) con el 618 de 2026 (GMV online de KOMFYMED +25 % y de COLLGENE +30 %, según la empresa) y el lanzamiento del inyectable 753 [3,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el 18-ago (ventas −6,3 %, beneficio −20,5 %, gasto comercial del 43,4 %): −5,6 % ese día y −6,8 % el 21-ago; la caída de un mes llegó al −18 % el 18-sep [3, 23,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mínimo de 22,40 HKD el 7-oct y cierre de 22,60 HKD el 16-oct: el foro habla de capitulación y de bajistas antes del 11.11 [31, 42]. Sin hecho nuevo de la empresa en octubre.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Próximos resultados (2026) hacia el 20-mar-2027, estimación por la fecha de 2025 [2]. Unos resultados cercanos no aplazan una compra (reglas 11 y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analistas siguen en comprar (12 compras, 3 mantener, 1 vender; objetivo medio de 36,82 HKD) y sin recortar el BPA en 90 días [32, 33]; Huachuang mantiene un objetivo de 38,01 HKD [23]. Riesgo de recortes en marzo, ya recogido en nuestro BPA (−20 % frente al consenso).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 registro de clase III de la NMPA (implante reticulado de colágeno recombinante tipo III), tras los de oct-2025 y ene-2026 [20, 21, 22]. Sin actuación del regulador por la polémica de 2025 [17,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aprobó el mandato general para emitir hasta el 20 % del capital, con el 59 % del capital libre en contra [25]. No hay colocación anunciada; con ≈ 7.600 M de caja no necesita dinero, y las dos anteriores (2024 y 2025) se hicieron con la acción alta (66,65 HKD) [12]. No es un hecho pendiente con fecha.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auditor: Ernst &amp; Young deja el cargo tras siete años y entra KPMG; el comité de auditoría dice que no hay desacuerdos y que el motivo es la rotación [27, 28]. KPMG ya revisó las cuentas del 1S26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Amortización de 9,2 M de acciones recompradas (4 M en enero de 2026 a 33,74-36,32 HKD); 1.061,7 M de acciones emitidas [10,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2025-10-27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familia Fan (Juzi Holding) compró 4,23 M de acciones por 200,2 M HKD entre junio y octubre de 2025 y llegó al 54,66 % (55,13 % en junio de 2026) [4, 30]. Compras, no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caído un 58 % en un año y un 73 % desde el máximo de abril de 2025 con causas conocidas y recogidas en nuestro caso base: la polémica del colágeno de 2025, el frenazo del 2S25 (−19,8 %), el 1S26 (−6,3 %) y el gasto comercial más alto. No hay un hecho pendiente con fecha que pueda mover el precio más de un 5 % en contra: ninguna colocación anunciada (el mandato de 2026 es genérico y la empresa tiene caja de sobra), ninguna decisión del regulador pendiente, y el accionista de control compra, no vende. Los avisos P4 y P5 (mínimos y bajista) no cambian la señal.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Precios de cierre de cada año en HKD (33,60; 35,60; 50,20; 33,14) [31] convertidos a RMB con el tipo de cierre del año (0,8919; 0,9035; 0,9400; 0,8991) [36]. 2021 no cotizaba (salida a bolsa el 4-nov-2022). El PER de los últimos doce meses fue de 30x (2022), 22x (2023), 23x (2024) y 16x (2025); hoy, 12x. La caída del múltiplo refleja que el mercado ha dejado de pagar por un crecimiento del 50 % que se ha vuelto negativo, y la mayor parte de la caída del precio desde 2024 viene del múltiplo, no del beneficio (−19 % desde 2024).</w:t>
      </w:r>
    </w:p>
    <w:p>
      <w:pPr>
        <w:pStyle w:val="Heading1"/>
      </w:pPr>
      <w:r>
        <w:t xml:space="preserve">18. Comparables cotizados</w:t>
      </w:r>
    </w:p>
    <w:p>
      <w:pPr>
        <w:pStyle w:val="Confianza"/>
        <w:spacing w:after="100"/>
      </w:pPr>
      <w:r>
        <w:t xml:space="preserve">Confianza: Media</w:t>
      </w:r>
    </w:p>
    <w:p>
      <w:pPr>
        <w:spacing w:after="100"/>
      </w:pPr>
      <w:r>
        <w:t xml:space="preserve">Cosmética china cotizada (Proya, Botanee, Bloomage, Jahwa, Mao Geping, Chicmax), estética inyectable china (Imeik, competidor del negocio nuevo) y tres grandes extranjeras con negocio en China (Shiseido, L'Oréal, Estée Lauder). Fuera Florasis y Winona privadas, Jinbo Bio (sin datos en Yahoo) y Gushengtang (clínicas). Datos de Yahoo del 15-16-oct-2026, convertidos a RMB; PER NTM = PER adelantado de Yahoo (BPA del próximo ejercicio) [33,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Giant Biogene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Proya Cosmetics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Yunnan Botanee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Bloomage Biotech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Imeik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Shanghai Jahwa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Mao Geping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Shanghai Chicmax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Shiseido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1.613.084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Estée Lauder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254.839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16,1x / 19,7x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 / 17,1x / 21,9x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 / 22,1x / 26,9x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 / 2,2x / 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(10 comparables): múltiplo = 25,8 + -0,62 × crecimiento; R² = 0,41. Para el crecimiento esperado de la empresa (19,0 %), el múltiplo ajustado es 13,9x y el valor por acción, 39,78.</w:t>
      </w:r>
    </w:p>
    <w:p>
      <w:pPr>
        <w:spacing w:after="100"/>
      </w:pPr>
      <w:r>
        <w:t xml:space="preserve">Giant cotiza a ≈ 12x el BPA de los próximos doce meses del consenso y a ≈ 5x el EBITDA de los últimos doce meses neto de caja, por debajo de la mediana de los comparables chinos (PER de 20x) pese a tener el margen EBITDA más alto del grupo después de Imeik (34 % frente al 11-15 % de Proya, Botanee y Bloomage). El descuento tiene dos causas: las ventas caen (−6,3 % en el 1S26 frente a +2-26 % de Proya, Botanee y Mao Geping) y el mercado duda de que el margen se sostenga. Mao Geping (10x) y Chicmax (8x) muestran que el mercado de Hong Kong paga poco por la cosmética china aunque crezca. Usaríamos el PER, no el EV/EBITDA, porque la caja (37 % de la capitalización) y su rendimiento son parte del beneficio.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rhode (cuidado de la piel,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e.l.f. Beauty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800 M USD al cierre (más 200 M variables) sobre 212 M de ventas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 Skincare (dermocosmética,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Bridgepoint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462 M EUR y ≈ 23 M de EBITDA, estimaciones de FundComb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 Skin Health (dermocosmética médica,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Galderma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1.500 M USD en efectivo; ventas y EBITDA no publicados en la fuente [39]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ISDIN (dermocosmética, España), 50 %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1.200 M EUR por el 50 % (900 al cierre y 300 en 2029) [40]</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marcas de cuidado de la piel con ciencia propia se pagan a 3,5-4,5 veces las ventas y ≈ 20 veces el EBITDA [37, 38]. Giant cotiza muy por debajo con la caja descontada (valor empresa de ≈ 13.000 M RMB, ≈ 2,4 veces las ventas de los últimos doce meses). Con el 55 % en manos de la familia fundadora, una oferta solo llegaría con su acuerdo: no ponderamos las transacciones, que sirven de suelo de referencia.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37,3 % anual de 2021 a 2025 (1.552,5 M a 5.518,5 M) [1], todo orgánico, pero en 2025 se pararon (−0,4 %): +22,5 % en el 1S25 y −19,8 % en el 2S25, tras la polémica del colágeno de mayo-junio de 2025 y la competencia en Douyin y Tmall [2, 18]. El 1S26 cayó un 6,3 % [3]. Proyectamos −2 % en 2026e (el 1S publicado y un 2S26 de +3,5 %), +6 % en 2027e y 2028e (estabilidad de KOMFYMED, COLLGENE +9 % en 2025 y los inyectables de clase III lanzados en junio de 2026 [22]) y bajando al 2 % en 2033e. Es la mitad que el consenso (+12 % anual) [32]: la empresa no ha demostrado todavía que vuelva a crecer.</w:t>
      </w:r>
    </w:p>
    <w:p>
      <w:pPr>
        <w:keepNext/>
        <w:spacing w:after="100"/>
      </w:pPr>
      <w:r>
        <w:rPr>
          <w:b/>
          <w:bCs/>
        </w:rPr>
        <w:t xml:space="preserve">Márgenes.</w:t>
      </w:r>
    </w:p>
    <w:p>
      <w:pPr>
        <w:spacing w:after="100"/>
      </w:pPr>
      <w:r>
        <w:t xml:space="preserve">El margen EBITDA fue del 44,1 % en el 1S24 y del 45,0 % en el 1S25, y cayó al 34,0 % en el 2S25 y al 34,1 % en el 1S26 [2, 3]: el gasto comercial subió del 36,3 % de las ventas en 2024 al 43,4 % en el 1S26 y el margen bruto bajó del 82,1 % al 79,5 % [3]. Proyectamos el 34 % en 2026e-2027e y el 34,5 % después: no suponemos que vuelva el 40-45 %, porque para vender lo mismo hace falta pagar más tráfico en Douyin y Tmall y más directos propios. Aun así es el doble que Proya o Botanee (11-15 %) [19]: el producto sanitario de clase II y el colágeno recombinante propio siguen dando precio.</w:t>
      </w:r>
    </w:p>
    <w:p>
      <w:pPr>
        <w:keepNext/>
        <w:spacing w:after="100"/>
      </w:pPr>
      <w:r>
        <w:rPr>
          <w:b/>
          <w:bCs/>
        </w:rPr>
        <w:t xml:space="preserve">Inversión y circulante.</w:t>
      </w:r>
    </w:p>
    <w:p>
      <w:pPr>
        <w:spacing w:after="100"/>
      </w:pPr>
      <w:r>
        <w:t xml:space="preserve">Capex del 4,5 % de las ventas en 2026e (las fábricas nuevas de Xi'an: 7,8 % en 2025 [1]) bajando al 2,2 % desde 2031e, y amortización del 1,8-2,0 % (1,5 % en 2025, 1,7 % en los últimos doce meses). Circulante del 7,5 % de las ventas (≈ 8 % a jun-2026, con clientes estacionalmente altos) [3].</w:t>
      </w:r>
    </w:p>
    <w:p>
      <w:pPr>
        <w:keepNext/>
        <w:spacing w:after="100"/>
      </w:pPr>
      <w:r>
        <w:rPr>
          <w:b/>
          <w:bCs/>
        </w:rPr>
        <w:t xml:space="preserve">Coste del capital.</w:t>
      </w:r>
    </w:p>
    <w:p>
      <w:pPr>
        <w:spacing w:after="100"/>
      </w:pPr>
      <w:r>
        <w:t xml:space="preserve">Todo en RMB: bono chino a 10 años del 1,648 % (ChinaBond, 16-oct-2026) [34]. Beta de 1,0 (la medida frente al Tracker Fund es de 1,02 con 47 meses [31]). Prima de mercado del 5,5 % y prima adicional de 2,5 puntos: país (regulación cambiante de cosmética y productos sanitarios, NMPA), dependencia de las plataformas (Tmall, Douyin) y un producto estrella dañado por la polémica de 2025. Sin deuda: WACC del 9,65 %. Con la prima implícita de Damodaran (4,2 %) [35] el coste sería del 8,35 %. Tipos de cambio a 15-16-oct-2026 [36].</w:t>
      </w:r>
    </w:p>
    <w:p>
      <w:pPr>
        <w:keepNext/>
        <w:spacing w:after="100"/>
      </w:pPr>
      <w:r>
        <w:rPr>
          <w:b/>
          <w:bCs/>
        </w:rPr>
        <w:t xml:space="preserve">Valor terminal.</w:t>
      </w:r>
    </w:p>
    <w:p>
      <w:pPr>
        <w:spacing w:after="100"/>
      </w:pPr>
      <w:r>
        <w:t xml:space="preserve">Crecimiento a perpetuidad del 1,5 %, por debajo del bono chino (1,65 %) y de la inflación más el crecimiento real chino a largo plazo; el mercado de cosmética crece un 3-5 % [13, 14]. El valor terminal pesa el 58 % del valor; el múltiplo de salida implícito es de 9,5 veces el EBITDA, por debajo de las 14-34 veces de los comparables chinos [19].</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RMB,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RMB,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 (reinvierte el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 (histórico: 12,9 %)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 frente al 3,3 %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 (hoy: 1,2 %)</w:t>
            </w:r>
          </w:p>
        </w:tc>
      </w:tr>
    </w:tbl>
    <w:p>
      <w:pPr>
        <w:spacing w:after="160" w:before="0"/>
      </w:pPr>
    </w:p>
    <w:p>
      <w:pPr>
        <w:spacing w:after="100"/>
      </w:pPr>
      <w:r>
        <w:t xml:space="preserve">La proyección apenas necesita inversión neta de la amortización (reinversión acumulada de 574 M, el 4 % del NOPAT, con un capex bruto medio del 2,9 % de las ventas). En un negocio de activos ligeros, el crecimiento medio del 3,3 % tiene que salir de subir precios y de ganar volumen sin capital nuevo, y la prueba es el poder de precios y la cuota (1,2 % del mercado en 2030e, frente al 1,2 %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KOMFYMED y distribuidores a la baja en el 1S26 (venta a plataformas −14,5 %, distribuidores −13,2 %) [3]; precio y mezcla −1,5 % (más promociones en el 618 y el 11.11); +0,5 puntos de productos nuevos (inyectable 753, 1'me).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(KOMFYMED estable, COLLGENE y venta propia en directo); precio plano; +1,5 puntos de inyectables de clase III en clínicas [20, 21, 22].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precio +0,5 % y +1 punto de inyectables.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precio +0,5 % y medio punto de categorías nuevas.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+3,5 % y precio +0,5 %. Ventas de 6.636 M: el 1,2 % del mercado minorista de cosmética de 2030e (≈ 566.100 M RMB, NBS al 4 % anual [13]), la misma cuota que hoy.</w:t>
            </w:r>
          </w:p>
        </w:tc>
      </w:tr>
    </w:tbl>
    <w:p>
      <w:pPr>
        <w:spacing w:after="160" w:before="0"/>
      </w:pPr>
    </w:p>
    <w:p>
      <w:pPr>
        <w:spacing w:after="100"/>
      </w:pPr>
      <w:r>
        <w:t xml:space="preserve">En parte. Las tres pruebas numéricas pasan: crecemos un 3,3 % anual frente al 37,3 % histórico, la reinversión bruta financia un 17,6 % y la cuota de 2030e (1,2 %) es la de hoy. Lo que falla es la calidad que tiene que sostener el crecimiento: el foso es estrecho y se estrecha [3], el poder de precios está en duda (margen bruto del 82,1 % al 79,5 % y gasto comercial del 36 % al 43 % para vender menos) [3] y las ventas llevan dos semestres cayendo (−19,8 % y −6,3 %). Nuestro +6 % de 2027e y 2028e supone una recuperación que la empresa aún no ha enseñado; por eso no decimos «Sí».</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 (base: 34,5 %)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 (WACC: 9,7 %)</w:t>
            </w:r>
          </w:p>
        </w:tc>
      </w:tr>
    </w:tbl>
    <w:p>
      <w:pPr>
        <w:spacing w:after="160" w:before="0"/>
      </w:pPr>
    </w:p>
    <w:p>
      <w:pPr>
        <w:spacing w:after="100"/>
      </w:pPr>
      <w:r>
        <w:t xml:space="preserve">El DCF da 26,97 RMB por acción (31,63 HKD), un 40 % por encima del precio, con el valor terminal en el 58 % del valor. El precio de 19,27 RMB equivale a que las ventas caigan un 5,6 % al año desde 2027 (base +4,1 %) o a un margen EBITDA del 21,9 % para siempre (base 34,5 %); la rentabilidad implícita es del 15,0 % anual frente a un WACC del 9,65 %. La caja neta (≈ 7.580 M, el 37 % de la capitalización) explica buena parte: el negocio sin caja cotiza a 6,9 veces el EBITDA de los últimos doce meses. La tabla de sensibilidad va de 23,80 a 32,14 RMB: incluso con un WACC del 10,6 % y un crecimiento terminal del 0,5 % el valor supera 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KOMFYMED sigue perdiendo cuota frente a Winona, Proya y marcas de Douyin, y la imagen de la polémica de 2025 no se recupera: ventas planas desde 2027 (3 puntos menos de crecimiento), margen EBITDA 4 puntos más bajo (≈ 30 %) y crecimiento terminal del 0,5 %.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−2 % en 2026 y +6 % en 2027-2028 con KOMFYMED estable, COLLGENE y los inyectables de clase III; margen EBITDA del 34-34,5 %; reparto del 60-70 % del beneficio con dividendo extraordinario.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inyectables de colágeno recombinante toman cuota en clínicas y KOMFYMED vuelve a crecer: 2 puntos más de crecimiento y 2 puntos más de margen (36,5 %).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RMB) · precio actual 19,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26,38 RMB (+36,9 %).</w:t>
      </w:r>
    </w:p>
    <w:p>
      <w:pPr>
        <w:spacing w:after="100"/>
      </w:pPr>
      <w:r>
        <w:t xml:space="preserve">En el DCF hasta el bajista (21,13 RMB) queda por encima del precio (+9,7 %) y el alcista llega a 30,45 RMB (+58 %): la asimetría no se puede calcular porque no hay pérdida en el bajista, por la caja neta y porque el precio ya descuenta ventas en caída. A 12 meses, con el PER propio, el bajista sí pierde: −21,5 % (10,5x × 1,44 RMB), y el alcista gana un 70,8 %. La tesis no necesita que la empresa vuelva a crecer al 40 %: necesita que las ventas dejen de caer en 2026-2027.</w:t>
      </w:r>
    </w:p>
    <w:p>
      <w:pPr>
        <w:pStyle w:val="Heading1"/>
      </w:pPr>
      <w:r>
        <w:t xml:space="preserve">22. Suma de partes</w:t>
      </w:r>
    </w:p>
    <w:p>
      <w:pPr>
        <w:pStyle w:val="Confianza"/>
        <w:spacing w:after="100"/>
      </w:pPr>
      <w:r>
        <w:t xml:space="preserve">Confianza: Media</w:t>
      </w:r>
    </w:p>
    <w:p>
      <w:pPr>
        <w:spacing w:after="100"/>
      </w:pPr>
      <w:r>
        <w:t xml:space="preserve">No la hacemos: Giant publica ventas por marca (KOMFYMED 81 %, COLLGENE 17 % en 2025) pero no resultados por marca, y los inyectables aún no tienen ventas separadas [1,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RMB) · precio actual 19,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28,43 RMB (+47,5 % sobre 19,27).</w:t>
      </w:r>
    </w:p>
    <w:p>
      <w:pPr>
        <w:spacing w:after="100"/>
      </w:pPr>
      <w:r>
        <w:t xml:space="preserve">Pesamos el DCF un 50 %, los escenarios un 40 % y los comparables solo un 10 %: el motor aplica a Giant la mediana de PER de sus comparables (22,2x) sobre el BPA del consenso, que creemos atrasado, y además Giant tiene márgenes del doble que la cosmética china (34 % frente al 11-15 % de Proya y Botanee) y un 37 % de su capitalización en caja, así que esa vía da 42,88 RMB y no es fiable. El DCF da 26,97 RMB (+40 %) con un WACC del 9,65 %; los escenarios van de 21,13 (bajista) a 30,45 RMB (alcista). El valor intrínseco ponderado es de 28,43 RMB (33,34 HKD), un 47,5 % por encima del precio. Con la prima implícita del mercado (4,2 %) el DCF sale a 31,71 RMB. Las transacciones (3,8 veces las ventas, ≈ 20 veces el EBITDA en marcas de dermocosmética) no se usan: son marcas occidentales compradas por grupos, no comparables [37, 38].</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(12x) × 1.1 (tope: la mediana de 5 años, 19.5x,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+73,6 %</w:t>
            </w:r>
          </w:p>
        </w:tc>
      </w:tr>
    </w:tbl>
    <w:p>
      <w:pPr>
        <w:spacing w:after="160" w:before="0"/>
      </w:pPr>
    </w:p>
    <w:p>
      <w:pPr>
        <w:spacing w:after="100"/>
      </w:pPr>
      <w:r>
        <w:rPr>
          <w:b/>
          <w:bCs/>
        </w:rPr>
        <w:t xml:space="preserve">Objetivo a 12 meses (ponderado):</w:t>
      </w:r>
      <w:r>
        <w:t xml:space="preserve"> 23,21 RMB (27,22 HKD) · rentabilidad +23,2 % (base +19,0 %) · señal Comprar.</w:t>
      </w:r>
    </w:p>
    <w:p>
      <w:pPr>
        <w:spacing w:after="100"/>
      </w:pPr>
      <w:r>
        <w:t xml:space="preserve">Para comparar, con la regla v2 (historia al cierre, mismo precio): 10,2x / 12,0x / 15,5x, 12,5 % Mantener; con el tope anterior del base (×1,3, 14-oct mediodía): 43,2 %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(1,61 RMB) está un 18 % por debajo del consenso de MarketScreener (1,97 RMB) y el de 2028e (1,71 RMB) un 20 % por debajo (2,14 RMB) [32]. El consenso supone ventas de 6.062 M en 2026e (+9,8 %), 6.829 M en 2027e y 7.638 M en 2028e; nosotros, 5.408 M (−2 %), 5.733 M y 6.077 M. El consenso no ha recortado tras el 1S26 (−6,3 % de ventas, −20,5 % de beneficio) [3, 33]: lo damos por atrasado. Margen EBITDA parecido (34-34,5 % frente al 35-37 %); el resultado financiero baja en nuestro caso porque la caja cae con los dividendos y los tipos chinos están en mínimos.</w:t>
      </w:r>
    </w:p>
    <w:p>
      <w:pPr>
        <w:keepNext/>
        <w:spacing w:after="100"/>
      </w:pPr>
      <w:r>
        <w:rPr>
          <w:b/>
          <w:bCs/>
        </w:rPr>
        <w:t xml:space="preserve">Del valor intrínseco al objetivo a 12 meses.</w:t>
      </w:r>
    </w:p>
    <w:p>
      <w:pPr>
        <w:spacing w:after="100"/>
      </w:pPr>
      <w:r>
        <w:t xml:space="preserve">El objetivo a 12 meses (23,21 RMB, 27,22 HKD, ponderado 25/50/25) da un 23,2 % con dividendo (19,0 % el base), por encima del 15 % que pide la regla v3. El base es un PER de 13,1x sobre un BPA de 2028e de 1,71 RMB, más un 2,8 % de dividendo ordinario (0,539 RMB de 2025; el extraordinario de 0,671 RMB no se cuenta). El PER de hoy (12,0x sobre 2027e) es el más bajo de su historia como cotizada, pero con cuatro años la regla solo deja subir un 10 %. La regla v2 (PER al cierre) da un 12,5 %: Mantener. Nuestro BPA de 2028e es un 20 % menor que el del consenso. El bajista (−21,5 %) es un negocio que no vuelve a crecer y pierde 4 puntos de margen.</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 a 2026-11-11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11.11 de 2026 en Tmall, Douyin y JD (preventa desde mediados de octubre) [23, 42]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si KOMFYMED vuelve a crecer tras un 618 con +25 % de GMV; la empresa no publica cifras hasta marzo, pero los rankings de las plataformas mueven la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(en 2025: 0,539 RMB ordinario + 0,671 extraordinario) [3]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2S26 crece (&gt; 2.490 M) y el margen aguanta, el consenso deja de ser el riesgo; si cae, recortes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los inyectables de colágeno recombinante (753 lanzado en junio de 2026; registros de clase III de oct-2025, ene-2026 y jun-2026) [20, 21, 22]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negocio nuevo de margen alto en clínicas que el mercado aún no paga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con la caja (mandato de la junta de 2026; recompra de 4 M de acciones en enero) [11, 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37 % de la capitalización en caja, una recompra grande sostendría el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Normas de la NMPA sobre declaraciones de eficacia y contenido de colágeno [17]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Unas reglas claras de medida cerrarían la polémica; más exigencias pueden subir costes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KOMFYMED no vuelve a crecer (competencia, polémica de 2025, desgaste del producto estrella)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 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−21,5 % a 12 meses en el bajista (10,5x × 1,44 RMB); DCF de 21,13 RMB con 3 puntos menos de crecimiento y 4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y categorías nuevas (COLLGENE, 1'me, inyectables), caja de ≈ 7.600 M y margen aún del 34 %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2S26 por debajo de 2.400 M o KOMFYMED fuera de los diez primeros del 11.11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Tmall y Douyin y del coste del tráfico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venta online propia es el 62 % de las ventas de 2025 (3.402 M) [2]; cada punto de gasto comercial resta ≈ 60 M de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Directos propios en vez de influencers; farmacias y ≈ 3.000 clínicas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comercial por encima del 45 %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Regulador chino (NMPA): eficacia, contenido declarado y venta online de productos sanitarios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Los apósitos de clase II y los inyectables de clase III dependen de registros; una sanción o una norma de etiquetado más dura costaría ventas y marca (no recogido en el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sanción de la NMPA por la polémica de 2025 [17, 18]; la empresa defendió su contenido con métodos de la Farmacopea y de la norma YY/T 1947-2025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Actuación de la NMPA o de la SAMR sobre KOMFYMED; nuevas normas de publicidad de cosmética «médica»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con rivales y campañas en redes (Bloomage, blogueros)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polémica de mayo-junio de 2025 costó ≈ 20 % de la acción en una semana y un 2S25 con ventas −19,8 % [2, 31]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Análisis de varios laboratorios y retractación del laboratorio del bloguero [16,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acusaciones con análisis que no se retracten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accionista de control y emisiones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Colocaciones en mayo de 2024 y abril de 2025 (a 66,65 HKD); el 59 % del capital libre votó contra el mandato de emisión del 20 % en 2026 [12, 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familia compró 200,2 M HKD en 2025 y tiene el 55 % [30]; caja sobrada, sin necesidad de emitir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 con descuento o venta de la familia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bajo-medio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 0 % a 3-5 años; no se recoge en ningún escenario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físico y sanitario con registro; la IA abarata el contenido y la I+D de moléculas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de compra en Tmall o Douyin que recomienden por ingredientes y precio</w:t>
            </w:r>
          </w:p>
        </w:tc>
      </w:tr>
    </w:tbl>
    <w:p>
      <w:pPr>
        <w:spacing w:after="160" w:before="0"/>
      </w:pPr>
    </w:p>
    <w:p>
      <w:pPr>
        <w:pStyle w:val="Heading2"/>
      </w:pPr>
      <w:r>
        <w:t xml:space="preserve">Pre-mortem</w:t>
      </w:r>
    </w:p>
    <w:p>
      <w:pPr>
        <w:spacing w:after="100"/>
      </w:pPr>
      <w:r>
        <w:t xml:space="preserve">Octubre de 2027: la acción ha perdido otro 30 %. El 11.11 de 2026 fue flojo y el 2S26 cayó un 5 %; los analistas recortaron un 25 % el BPA y la empresa tuvo que subir el gasto comercial al 46 % de las ventas para que KOMFYMED no saliera de los rankings de Douyin. Winona y las marcas de masas copiaron el «colágeno recombinante» con precios más bajos, los inyectables vendieron poco frente a Imeik y la NMPA endureció las normas de declaración de contenido. El mercado pasó a pagar 9-10 veces el beneficio. Las señales: ventas del 2S26 por debajo de 2.400 M, margen EBITDA por debajo del 30 % y ninguna cifra de ventas de los inyectables.</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 0 % a 3-5 años; no se recoge en ningún escenario</w:t>
      </w:r>
    </w:p>
    <w:p>
      <w:pPr>
        <w:spacing w:after="100"/>
      </w:pPr>
      <w:r>
        <w:t xml:space="preserve">La IA no sustituye un apósito de colágeno ni un inyectable, que necesitan registro y fábrica. Cambia cómo se compra: si los asistentes de compra de Tmall, Douyin o JD recomiendan por ingredientes, análisis y precio, una polémica como la de 2025 se propaga más rápido y la marca vale menos frente al «contenido de colágeno» medido; también abarata la entrada de marcas nuevas. A favor, la IA abarata el contenido y los directos, el gran gasto de Giant, y puede acelerar la I+D de proteínas recombinantes. La señal: que el tráfico pase de los buscadores de las plataformas a agentes de compra.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las cifras es la seguridad y la veracidad del producto: un producto sanitario o un inyectable con un problema de calidad, o una declaración de contenido que no se sostiene, destruye la marca (la polémica de 2025 costó un año de crecimiento) [16, 18]. La empresa publicó en 2026 un vídeo de su cadena de suministro («Transparent Factory») y se comprometió en 2025 a publicar parámetros técnicos y de control de calidad [3]. En medio ambiente, la fermentación consume energía y agua, pero el peso en costes es pequeño; obtuvo la calificación de «fábrica verde nacional» en el 1S26 [3, 24].</w:t>
      </w:r>
    </w:p>
    <w:p>
      <w:pPr>
        <w:pStyle w:val="Heading2"/>
      </w:pPr>
      <w:r>
        <w:t xml:space="preserve">Controversias</w:t>
      </w:r>
    </w:p>
    <w:p>
      <w:pPr>
        <w:spacing w:after="100"/>
      </w:pPr>
      <w:r>
        <w:t xml:space="preserve">Mayo-junio de 2025: un bloguero (Hao Yu, «大嘴博士») publicó el 24-may-2025 un análisis según el cual el sérum 胶原棒 de KOMFYMED tenía un 0,0177 % de colágeno recombinante, por debajo del 0,1 % que implica su etiqueta [17]. El laboratorio que hizo el análisis retiró el informe y pidió disculpas el 30-may; Giant publicó análisis de varios laboratorios con más del 0,1 % [16, 17]. Bloomage, rival, reconoció el 1-jun su participación en un fondo ligado al bloguero [16]. No hemos encontrado sanción ni actuación de la NMPA [17, 18]. La empresa admitió en junio que los métodos y normas de medida «tienen limitaciones» [17].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 estrella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vendió el 胶原棒 en 2025 y en el 1S26 frente a 2024, y qué peso tiene en KOMFYMED?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producto de la polémica y no se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venta online es Tmall, Douyin y JD, y cuánto cuesta el tráfico en cada una?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comercial pasó del 36 % al 43 %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Inyectables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clínicas usan ya el 753 y qué ventas esperan de los tres productos de clase III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fuente de crecimiento nueva y no tiene cifras.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recompran más con 7.600 M de caja y la acción a 12 veces el beneficio?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de enero se hizo a 34-36 HKD; hoy está a 22,6.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norma de medida de colágeno aplicará la NMPA y qué contenido declaran hoy en cada producto?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Cerraría o reabriría la polémica de 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motivó cambiar a Ernst &amp; Young por KPMG tras siete años, además de la rotación?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cambio de auditor en una caída siempre se pregunta.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(Eastmoney), foro de 2367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Capitulación tras el mínimo del 16-oct («ya he perdido todos mis ahorros», «los bajistas ganan»), con algunos que compran en 22 HKD y debate sobre la preventa del 11.11 de Tmall y el directo de Li Jiaqi, que algunos ven mejor que en 2025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(Eastmoney), foro de 2367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80 a 24», «la recompra a 35 fue un engaño», ventas para «limpiar la cartera»; algunos citan informes de analistas que siguen viendo valor en la estética médica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(Eastmoney), foro de 2367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los resultados del 1S26: miedo a unas cuentas flojas y a los bajistas; otros piden mirar la temporada alta y la estética médica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Zhitong Finance (prensa con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11.11 y el «超透棒» como prueba de que hay producto más allá del 胶原棒; la acción devolvió en tres meses la subida de julio [23].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Bajistas y ventas en corto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dato oficial de posición corta en las fuentes leídas; la acción está en mínimos de 52 semanas y un 23 % bajo su media de 200 sesiones (nota 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11.11 de 2026 como prueba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de preventa que circulan en el foro no son verificables; la empresa publicará el año en marzo de 2027. El 618 de 2026 dio +25 % de GMV online según la empresa (nota A), pero las ventas del 1S26 cayeron un 6,3 %.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confianza en la dirección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la empresa recompró a 33,7-36,3 HKD en enero de 2026 y la familia compró a 39-48 HKD en 2025 (notas A y C); no ha recomprado desde enero.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Estética médica (inyectables de colágeno)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registros de clase III y el 753 lanzado en junio de 2026 (nota B); todavía sin ventas separadas publicadas.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guerra con Bloomage y la polémica de 2025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sanción del regulador encontrada (nota B); Bloomage también cae (ventas −21,6 %).</w:t>
            </w:r>
          </w:p>
        </w:tc>
      </w:tr>
    </w:tbl>
    <w:p>
      <w:pPr>
        <w:spacing w:after="160" w:before="0"/>
      </w:pPr>
    </w:p>
    <w:p>
      <w:pPr>
        <w:spacing w:after="100"/>
      </w:pPr>
      <w:r>
        <w:t xml:space="preserve">El inversor particular chino está en capitulación: el foro pasa del «espera a la temporada alta» de agosto al «lo he perdido todo» de octubre. Es lo contrario de los analistas, que siguen con 12 de 16 recomendaciones de compra y un objetivo medio de 36,8 HKD (+63 %), pero con estimaciones sin recortar. No aporta un riesgo nuevo: el foro discute bajistas y el 11.11, no el negocio. La capitulación es una señal de que lo malo se ha vendido; no dice que el negocio haya tocado fondo.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25 controles correctos y 4 explicados. Fuentes: 44 (22 primarias); citas distintas en el texto: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1,2 % en 2030e frente al 1,2 %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7,5 % frente a 7,1 % real: genera una variación de circulante de 11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(2026e)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-17,5 % frente al consenso: justifica la diferencia en el DCF. Explicación: Nuestro EBITDA de 2026e (1.839 M, ventas de 5.408 M, −2 %) está un 17,5 % por debajo del consenso (2.229 M sobre 6.062 M de ventas, +9,8 %) [32]. El consenso no se ha movido en 90 días [33] y, tras un 1S26 con ventas de 2.917,7 M (−6,3 %) [3], exigiría un 2S26 de 3.144 M, un 31 % más que el 2S25. Proyectamos un 2S26 de ≈ 2.490 M (+3,5 %): el 618 fue bueno (KOMFYMED +25 % de GMV online) pero JD.com y los distribuidores compran menos y el gasto comercial ya es el 43,4 % de las ventas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(2027e)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-22,6 % frente al consenso: justifica la diferencia en el DCF. Explicación: Nuestro EBITDA de 2027e (1.949 M, 34 % de margen) está un 22,6 % por debajo del consenso (2.517 M). La diferencia es casi toda de ventas: partimos de un 2026e más bajo y crecemos un 6 % en 2027e frente al 12,7 % del consenso, porque KOMFYMED aún no ha vuelto a crecer y los inyectables (753, clase III) acaban de empezar y no publican ventas [3, 22]. Margen EBITDA similar al del consenso (34 % frente a 36,9 %).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(2028e)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-22,0 % frente al consenso: justifica la diferencia en el DCF. Explicación: EBITDA de 2028e de 2.096 M frente a 2.686 M del consenso (−22 %): ventas de 6.077 M frente a 7.638 M. El consenso supone volver a crecer un 12 % anual; nosotros, un 6 %, con la competencia de Winona, Proya y las marcas de masas de Douyin y el daño de imagen de la polémica de 2025 [16, 18]. Explicado también en el objetivo a 12 meses (BPA de 2028e un 20 % por debajo del consenso).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12,5 %: para comprar o ampliar hace falta motivo de negocio propio; para mantener basta la vigente. Explicación: La regla v3 (historia adelantada de cuatro años) da Comprar con un 23,2 % ponderado y un 19,0 % base; la v2 (PER al cierre) da Mantener con un 12,5 %. No buscamos motivo de negocio para saltarnos la v2: con una sostenibilidad «En parte», un foso que se estrecha y un consenso aún sin recortar, no hay motivo para comprar sin que pasen las dos. La acción robusta la da robustez.mjs.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asimetría de n.d. (&lt; 2))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(22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26, 29, 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 y 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Estadística oficial (NBS): solo encontramos el dato de 2025 con su crecimiento [13]; 2) asociación sectorial vía Xinhua: total de 2025 sin serie ni cuotas [14]; 3) informes anuales de la empresa: no publican tamaño de mercado ni cuotas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remuneracion_ceo.ratio_salario_medio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da la plantilla y los gastos de personal pero no el coste medio por empleado comparable [1]; 2) informe ESG 2025; 3) cálculo propio: no es comparable porque la mayor parte de la remuneración del presidente es gasto contable de RSU</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Datos de ventas en corto de HKEX: solo diarios, no posición; 2) Yahoo: sin dato de posición corta para Hong Kong [33]; 3) SFC (posiciones cortas agregadas semanales): no consultado con éxito desde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estados consolidados NIIF de 2025 y 2024 auditados por Ernst &amp; Young, notas, resumen de cinco años, remuneración de consejeros y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https://www1.hkexnews.hk/listedco/listconews/sehk/2026/0429/2026042904378.pdf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Announcement of annual results for the year ended 31 December 2025 (ventas por marca, canal y categoría;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https://www1.hkexnews.hk/listedco/listconews/sehk/2026/0319/2026031901060.pdf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of interim results for the six months ended 30 June 2026 (revisado por KPMG)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https://www1.hkexnews.hk/listedco/listconews/sehk/2026/0818/2026081801176.pdf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2026: estado de flujos del 1S26, participaciones y planes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https://www1.hkexnews.hk/listedco/listconews/sehk/2026/0924/2026092401138.pdf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estados de 2024 y 2023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https://www1.hkexnews.hk/listedco/listconews/sehk/2025/0428/2025042804059.pdf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estados de 2023 y 2022, ventas por marca y resumen de cinco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https://www1.hkexnews.hk/listedco/listconews/sehk/2024/0429/2024042905245.pdf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estados de 2022 y 2021 (reorganización previa a la salida a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https://www1.hkexnews.hk/listedco/listconews/sehk/2023/0426/2023042601787.pdf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of interim results for the six months ended 30 June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https://www1.hkexnews.hk/listedco/listconews/sehk/2025/0827/2025082701277.pdf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of interim results for the six months ended 30 June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https://www1.hkexnews.hk/listedco/listconews/sehk/2024/0819/2024081901270.pdf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Monthly Return of Equity Issuer, septiembre de 2026 (1.061.704.000 acciones emitidas, sin autocartera)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https://www1.hkexnews.hk/listedco/listconews/sehk/2026/1006/2026100600528.pdf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Voluntary announcement: proposed share repurchase under the share repurchase mandate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https://www1.hkexnews.hk/listedco/listconews/sehk/2025/1202/2025120200483.pdf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Placing of existing shares and top-up subscription of new shares (35 M de acciones a 66,65 HKD)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https://www1.hkexnews.hk/listedco/listconews/sehk/2025/0417/2025041700013.pdf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minoristas de bienes de consumo, diciembre de 2025: cosmética (化妆品类) 4.653 億 RMB en 2025, +5,1 % (empresas por encima del umbral)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Oficina Nacional de Estadística de China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https://www.stats.gov.cn/xxgk/sjfb/zxfb2020/202601/t20260119_1962323.html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2025年统计公报单列“化妆品类” (estadística oficial y datos de la asociación sectorial: 1,1 billones de RMB en todos los canales, +2,83 %)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Xinhua / Diario del Consumo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https://www.news.cn/fashion/20260318/1f5f317360924b328fd9c3a74cbf7fb6/c.html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corta: higiene personal y cosmética de gran consumo (mercado mundial de belleza ≈ 300.000 M EUR en 2025, L'Oréal)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(sectores/higiene-cosmetica-2026-10-14.md)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sectores/higiene-cosmetica-2026-10-14.md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Chinese skincare company refutes false advertising claims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Caixin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https://www.caixinglobal.com/2025-06-06/chinese-skincare-company-refutes-false-advertising-claims-102327916.html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Polémica del 胶原棒 de 可复美: 0,0177 % según el bloguero frente a ≥ 0,1 %; la empresa con métodos de la Farmacopea y YY/T 1947-2025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Yicai (第一财经)</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https://www.yicai.com/news/102644396.html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Crónica de la polémica, el 618 de 2025 y la caída de la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Lanjinger (蓝鲸财经)</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https://www.lanjinger.com/d/1750679835578910876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cotizadas (quoteSummary): ventas, EBITDA, márgenes, caja y estimaciones de los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https://finance.yahoo.com/quote/2367.HK/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Voluntary announcement: registro NMPA de la fibra liofilizada de colágeno recombinante tipo I α1 (primer inyectable de colágeno recombinante tipo I de secuencia nativa en China)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https://www1.hkexnews.hk/listedco/listconews/sehk/2025/1023/2025102300175.pdf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Voluntary announcement: registro NMPA de la solución compuesta de colágeno recombinante y hialuronato sódico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https://www1.hkexnews.hk/listedco/listconews/sehk/2026/0115/2026011500458.pdf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Voluntary announcement: registro NMPA del implante reticulado de colágeno recombinante tipo III (arrugas del cuello)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https://www1.hkexnews.hk/listedco/listconews/sehk/2026/0617/2026061700544.pdf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三个月内回吐前期全部涨幅，“双十一”能否打响巨子生物股价翻身仗？</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Zhitong Finance (vía Investing.com China)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https://cn.investing.com/news/stock-market-news/article-3607451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Environmental, Social and Governance (ESG)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https://www1.hkexnews.hk/listedco/listconews/sehk/2026/0429/2026042904452.pdf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Poll results of the annual general meeting held on 28 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https://www1.hkexnews.hk/listedco/listconews/sehk/2026/0528/2026052802039.pdf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Circular de la junta de 2026 (reelecciones, cambio de auditor, mandatos)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https://www1.hkexnews.hk/listedco/listconews/sehk/2026/0506/2026050602622.pdf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Proposed change of auditors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https://www1.hkexnews.hk/listedco/listconews/sehk/2026/0430/2026043003344.pdf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Supplemental announcement in relation to the proposed change of auditors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https://www1.hkexnews.hk/listedco/listconews/sehk/2026/0528/2026052802051.pdf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Voluntary announcement: proposed increase in shareholding by controlling shareholder (≥ 200 M HKD)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https://www1.hkexnews.hk/listedco/listconews/sehk/2025/0609/2025060900217.pdf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Voluntary announcement: increase in shareholding by controlling shareholder (4.226.600 acciones, 200,2 M HKD; 54,66 %)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https://www1.hkexnews.hk/listedco/listconews/sehk/2025/1027/2025102700994.pdf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2367.HK, 2800.HK y 2828.HK (herramientas/bolsa.mjs): precio, rango, betas, rentabilidades y cierres de ejercicio; sin sesión el 19-oct-2026 (festivo)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https://finance.yahoo.com/quote/2367.HK/history/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Biogene: estimaciones y valoración (ventas, EBITDA, EBIT, beneficio, BPA y DPA en HKD 2026e-2028e; 16 analistas; objetivo medio 36,82 HKD)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https://www.marketscreener.com/quote/stock/GIANT-BIOGENE-HOLDING-CO--145968491/finances/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quoteSummary de 2367.HK y comparables: recomendaciones, objetivos, tendencia de estimaciones, múltiplos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https://finance.yahoo.com/quote/2367.HK/analysis/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la deuda pública china (中债国债收益率曲线), 10 años a 16-oct-2026: 1,648 %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ChinaBond (中央国债登记结算)</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https://yield.chinabond.com.cn/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HKD/CNY, JPY/CNY, EUR/CNY y USD/CNY (15-oct-2026 y cierres de 2022-2025)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https://finance.yahoo.com/quote/HKDCNY=X/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rhode adquirida por e.l.f. Beauty: 800 M USD al cierre + 200 M de pago variable; ventas de 212 M USD (12 meses a 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FundComb (de la nota de e.l.f. Beauty)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https://fundcomb.com/comps/transactions/rhode-e-l-f-beauty-2025-05-28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 Skincare comprada por Bridgepoint (≈ 462 M EUR, EBITDA ≈ 23 M estimado)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FundComb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https://fundcomb.com/comps/transactions/roc-skincare-bridgepoint-2024-01-23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Galderma compra ZO Skin Health por 1.500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(Keystone-SDA)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https://www.bluewin.ch/en/news/galderma-acquires-u.s.-skincare-brand-for-1.5-billion-li.3634987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compra el 50 % restante de ISDIN por 1.200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Care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https://www.personalcareinsights.com/news/puig-isdin-dermocosmetics-deal.html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巨子生物：经济通 (ETNet) — caída de casi el 11 % el 24-sep-2025, tercera sesión de bajadas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cnyes (經濟通)</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https://news.cnyes.com/news/id/6166309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巨子生物 (hk02367), páginas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Guba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https://guba.eastmoney.com/list,hk02367.html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巨子生物 (hk02367), páginas de mediados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Guba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https://guba.eastmoney.com/list,hk02367_6.html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巨子生物 (hk02367), páginas de mediados de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Guba (Eastmoney)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https://guba.eastmoney.com/list,hk02367_15.html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90,5 %</w:t>
      </w:r>
      <w:r>
        <w:t xml:space="preserve"> · Secciones con menos del 60 % de campos cubiertos: </w:t>
      </w:r>
      <w:r>
        <w:rPr>
          <w:b/>
          <w:bCs/>
        </w:rPr>
        <w:t xml:space="preserve">ninguna</w:t>
      </w:r>
      <w:r>
        <w:t xml:space="preserve"> · Generado el 19 oct 2026.</w:t>
      </w:r>
    </w:p>
    <w:p>
      <w:pPr>
        <w:pStyle w:val="Nota"/>
        <w:spacing w:after="100"/>
      </w:pPr>
      <w:r>
        <w:t xml:space="preserve">Cuentas consolidadas NIIF en millones de RMB; la acción cotiza en HKD. Fuente primaria: HKEXnews (informes anuales de 2022-2025, anuncio de resultados de 2025 e informe y anuncio del 1S26, más los hechos relevantes) [1, 2, 3, 4, 5, 6, 7, 8, 9, 10, 11, 12]. Hong Kong no tiene XBRL en herramientas/cuentas.mjs. Las cuentas de 2025 las auditó Ernst &amp; Young; el 1S26 lo revisó KPMG, el auditor nuevo [3, 27]. La empresa publica semestres, no trimestres. No publica ventas por plataforma (Tmall, Douyin, JD) ni el peso del sérum 胶原棒: solo canales (venta online propia, plataformas y distribuidores) y marcas [2, 3]. Precio: Hong Kong no abrió el 19-oct-2026 (día siguiente al Chung Yeung); se usa el último cierre, 22,60 HKD del 16-oct-2026, × 0,8528 RMB por HKD = 19,27 RMB [31, 36]. El ISIN (KYG3887G1091) sale de listados de datos de mercado y se ha comprobado su dígito de control, no de un documento de la empresa. El consenso de MarketScreener está en HKD y se convierte a RMB al 0,8528.</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Giant Biogene Holding Co., Ltd (2367.HK)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(RMB) · precio actual 19,27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(19,10 – 37,45)</c:v>
                </c:pt>
                <c:pt idx="1">
                  <c:v>Precio objetivo de los analistas (21,32 – 39,23)</c:v>
                </c:pt>
                <c:pt idx="2">
                  <c:v>Comparables: EV/EBITDA NTM (31,27 – 53,29)</c:v>
                </c:pt>
                <c:pt idx="3">
                  <c:v>Comparables: PER NTM (28,60 – 52,13)</c:v>
                </c:pt>
                <c:pt idx="4">
                  <c:v>DCF (WACC y g ± 0,5) (25,22 – 29,20)</c:v>
                </c:pt>
                <c:pt idx="5">
                  <c:v>Escenarios (bajista – alcista) (21,13 – 30,45)</c:v>
                </c:pt>
                <c:pt idx="6">
                  <c:v>DCF con la prima implícita del mercado (4,2 %)</c:v>
                </c:pt>
                <c:pt idx="7">
                  <c:v>Precio actual (19,27)</c:v>
                </c:pt>
              </c:strCache>
            </c:strRef>
          </c:cat>
          <c:val>
            <c:numRef>
              <c:f>Hoja1!$B$2:$B$9</c:f>
              <c:numCache>
                <c:formatCode>#,##0.0</c:formatCode>
                <c:ptCount val="8"/>
                <c:pt idx="0">
                  <c:v>19.1</c:v>
                </c:pt>
                <c:pt idx="1">
                  <c:v>21.32</c:v>
                </c:pt>
                <c:pt idx="2">
                  <c:v>31.27</c:v>
                </c:pt>
                <c:pt idx="3">
                  <c:v>28.6</c:v>
                </c:pt>
                <c:pt idx="4">
                  <c:v>25.22</c:v>
                </c:pt>
                <c:pt idx="5">
                  <c:v>21.13</c:v>
                </c:pt>
                <c:pt idx="6">
                  <c:v>29.11</c:v>
                </c:pt>
                <c:pt idx="7">
                  <c:v>19.17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(19,10 – 37,45)</c:v>
                </c:pt>
                <c:pt idx="1">
                  <c:v>Precio objetivo de los analistas (21,32 – 39,23)</c:v>
                </c:pt>
                <c:pt idx="2">
                  <c:v>Comparables: EV/EBITDA NTM (31,27 – 53,29)</c:v>
                </c:pt>
                <c:pt idx="3">
                  <c:v>Comparables: PER NTM (28,60 – 52,13)</c:v>
                </c:pt>
                <c:pt idx="4">
                  <c:v>DCF (WACC y g ± 0,5) (25,22 – 29,20)</c:v>
                </c:pt>
                <c:pt idx="5">
                  <c:v>Escenarios (bajista – alcista) (21,13 – 30,45)</c:v>
                </c:pt>
                <c:pt idx="6">
                  <c:v>DCF con la prima implícita del mercado (4,2 %)</c:v>
                </c:pt>
                <c:pt idx="7">
                  <c:v>Precio actual (19,27)</c:v>
                </c:pt>
              </c:strCache>
            </c:strRef>
          </c:cat>
          <c:val>
            <c:numRef>
              <c:f>Hoja1!$C$2:$C$9</c:f>
              <c:numCache>
                <c:formatCode>#,##0.0</c:formatCode>
                <c:ptCount val="8"/>
                <c:pt idx="0">
                  <c:v>18.35</c:v>
                </c:pt>
                <c:pt idx="1">
                  <c:v>17.909999999999997</c:v>
                </c:pt>
                <c:pt idx="2">
                  <c:v>22.02</c:v>
                </c:pt>
                <c:pt idx="3">
                  <c:v>23.53</c:v>
                </c:pt>
                <c:pt idx="4">
                  <c:v>3.9800000000000004</c:v>
                </c:pt>
                <c:pt idx="5">
                  <c:v>9.32</c:v>
                </c:pt>
                <c:pt idx="6">
                  <c:v>3.4399999999999977</c:v>
                </c:pt>
                <c:pt idx="7">
                  <c:v>0.1999999999999993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(RMB, millones)</a:t>
            </a:r>
          </a:p>
        </c:rich>
      </c:tx>
      <c:overlay val="0"/>
    </c:title>
    <c:autoTitleDeleted val="0"/>
    <c:plotArea>
      <c:layout/>
      <c:barChart>
        <c:barDir val="col"/>
        <c:grouping val="stacked"/>
        <c:varyColors val="0"/>
        <c:ser>
          <c:idx val="0"/>
          <c:order val="0"/>
          <c:tx>
            <c:strRef>
              <c:f>Hoja1!$B$1</c:f>
              <c:strCache>
                <c:ptCount val="1"/>
                <c:pt idx="0">
                  <c:v>KOMFYMED (可复美)</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897.7</c:v>
                </c:pt>
                <c:pt idx="1">
                  <c:v>1613</c:v>
                </c:pt>
                <c:pt idx="2">
                  <c:v>2788.3</c:v>
                </c:pt>
                <c:pt idx="3">
                  <c:v>4541.8</c:v>
                </c:pt>
                <c:pt idx="4">
                  <c:v>4470</c:v>
                </c:pt>
              </c:numCache>
            </c:numRef>
          </c:val>
        </c:ser>
        <c:ser>
          <c:idx val="1"/>
          <c:order val="1"/>
          <c:tx>
            <c:strRef>
              <c:f>Hoja1!$C$1</c:f>
              <c:strCache>
                <c:ptCount val="1"/>
                <c:pt idx="0">
                  <c:v>COLLGENE (可丽金)</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525.9</c:v>
                </c:pt>
                <c:pt idx="1">
                  <c:v>618.4</c:v>
                </c:pt>
                <c:pt idx="2">
                  <c:v>616.6</c:v>
                </c:pt>
                <c:pt idx="3">
                  <c:v>840.5</c:v>
                </c:pt>
                <c:pt idx="4">
                  <c:v>917.9</c:v>
                </c:pt>
              </c:numCache>
            </c:numRef>
          </c:val>
        </c:ser>
        <c:ser>
          <c:idx val="2"/>
          <c:order val="2"/>
          <c:tx>
            <c:strRef>
              <c:f>Hoja1!$D$1</c:f>
              <c:strCache>
                <c:ptCount val="1"/>
                <c:pt idx="0">
                  <c:v>Otras marcas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79.5</c:v>
                </c:pt>
                <c:pt idx="1">
                  <c:v>90.3</c:v>
                </c:pt>
                <c:pt idx="2">
                  <c:v>103.2</c:v>
                </c:pt>
                <c:pt idx="3">
                  <c:v>138.1</c:v>
                </c:pt>
                <c:pt idx="4">
                  <c:v>108.9</c:v>
                </c:pt>
              </c:numCache>
            </c:numRef>
          </c:val>
        </c:ser>
        <c:ser>
          <c:idx val="3"/>
          <c:order val="3"/>
          <c:tx>
            <c:strRef>
              <c:f>Hoja1!$E$1</c:f>
              <c:strCache>
                <c:ptCount val="1"/>
                <c:pt idx="0">
                  <c:v>Alimentos funcionales y otros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49.4</c:v>
                </c:pt>
                <c:pt idx="1">
                  <c:v>42.7</c:v>
                </c:pt>
                <c:pt idx="2">
                  <c:v>16</c:v>
                </c:pt>
                <c:pt idx="3">
                  <c:v>18.4</c:v>
                </c:pt>
                <c:pt idx="4">
                  <c:v>21.7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KOMFYMED (可复美)</c:v>
                </c:pt>
                <c:pt idx="1">
                  <c:v>COLLGENE (可丽金)</c:v>
                </c:pt>
                <c:pt idx="2">
                  <c:v>Otras marcas</c:v>
                </c:pt>
                <c:pt idx="3">
                  <c:v>Alimentos funcionales y otros</c:v>
                </c:pt>
              </c:strCache>
            </c:strRef>
          </c:cat>
          <c:val>
            <c:numRef>
              <c:f>Hoja1!$B$2:$B$5</c:f>
              <c:numCache>
                <c:formatCode>General</c:formatCode>
                <c:ptCount val="4"/>
                <c:pt idx="0">
                  <c:v>81</c:v>
                </c:pt>
                <c:pt idx="1">
                  <c:v>16.6</c:v>
                </c:pt>
                <c:pt idx="2">
                  <c:v>2</c:v>
                </c:pt>
                <c:pt idx="3">
                  <c:v>0.4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China continental</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RMB (ventas minoristas de cosmética, empresas por encima del umbral))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465300</c:v>
                </c:pt>
                <c:pt idx="1">
                  <c:v>483900</c:v>
                </c:pt>
                <c:pt idx="2">
                  <c:v>503300</c:v>
                </c:pt>
                <c:pt idx="3">
                  <c:v>523400</c:v>
                </c:pt>
                <c:pt idx="4">
                  <c:v>544300</c:v>
                </c:pt>
                <c:pt idx="5">
                  <c:v>566100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5</c:v>
                </c:pt>
                <c:pt idx="1">
                  <c:v>3</c:v>
                </c:pt>
                <c:pt idx="2">
                  <c:v>1</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Giant Biogene</c:v>
                </c:pt>
                <c:pt idx="1">
                  <c:v>Proya Cosmetics</c:v>
                </c:pt>
                <c:pt idx="2">
                  <c:v>Mao Geping Cosmetics</c:v>
                </c:pt>
                <c:pt idx="3">
                  <c:v>Yunnan Botanee (Winona)</c:v>
                </c:pt>
                <c:pt idx="4">
                  <c:v>Bloomage Biotech</c:v>
                </c:pt>
                <c:pt idx="5">
                  <c:v>Imeik Technology</c:v>
                </c:pt>
                <c:pt idx="6">
                  <c:v>Shanghai Chicmax</c:v>
                </c:pt>
                <c:pt idx="7">
                  <c:v>Shanghai Jahwa</c:v>
                </c:pt>
                <c:pt idx="8">
                  <c:v>L'Oréal (China)</c:v>
                </c:pt>
              </c:strCache>
            </c:strRef>
          </c:cat>
          <c:val>
            <c:numRef>
              <c:f>Hoja1!$B$2:$B$10</c:f>
              <c:numCache>
                <c:formatCode>0.0"%"</c:formatCode>
                <c:ptCount val="9"/>
                <c:pt idx="0">
                  <c:v>38.8</c:v>
                </c:pt>
                <c:pt idx="1">
                  <c:v>11.1</c:v>
                </c:pt>
                <c:pt idx="2">
                  <c:v>31.5</c:v>
                </c:pt>
                <c:pt idx="3">
                  <c:v>15</c:v>
                </c:pt>
                <c:pt idx="4">
                  <c:v>3</c:v>
                </c:pt>
                <c:pt idx="5">
                  <c:v>49.3</c:v>
                </c:pt>
                <c:pt idx="6">
                  <c:v>1.6</c:v>
                </c:pt>
                <c:pt idx="7">
                  <c:v>4.8</c:v>
                </c:pt>
                <c:pt idx="8">
                  <c:v>21.3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4</c:v>
                </c:pt>
                <c:pt idx="3">
                  <c:v>3</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(RMB,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1552.5</c:v>
                </c:pt>
                <c:pt idx="1">
                  <c:v>2364.4</c:v>
                </c:pt>
                <c:pt idx="2">
                  <c:v>3524.1</c:v>
                </c:pt>
                <c:pt idx="3">
                  <c:v>5538.8</c:v>
                </c:pt>
                <c:pt idx="4">
                  <c:v>5518.5</c:v>
                </c:pt>
                <c:pt idx="5">
                  <c:v>5408</c:v>
                </c:pt>
                <c:pt idx="6">
                  <c:v>5733</c:v>
                </c:pt>
                <c:pt idx="7">
                  <c:v>6077</c:v>
                </c:pt>
                <c:pt idx="8">
                  <c:v>6380</c:v>
                </c:pt>
                <c:pt idx="9">
                  <c:v>6636</c:v>
                </c:pt>
                <c:pt idx="10">
                  <c:v>6835</c:v>
                </c:pt>
                <c:pt idx="11">
                  <c:v>7006</c:v>
                </c:pt>
                <c:pt idx="12">
                  <c:v>7146</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951.6</c:v>
                </c:pt>
                <c:pt idx="1">
                  <c:v>1215</c:v>
                </c:pt>
                <c:pt idx="2">
                  <c:v>1701.5</c:v>
                </c:pt>
                <c:pt idx="3">
                  <c:v>2359.4</c:v>
                </c:pt>
                <c:pt idx="4">
                  <c:v>2220.7</c:v>
                </c:pt>
                <c:pt idx="5">
                  <c:v>1839</c:v>
                </c:pt>
                <c:pt idx="6">
                  <c:v>1949</c:v>
                </c:pt>
                <c:pt idx="7">
                  <c:v>2096</c:v>
                </c:pt>
                <c:pt idx="8">
                  <c:v>2201</c:v>
                </c:pt>
                <c:pt idx="9">
                  <c:v>2289</c:v>
                </c:pt>
                <c:pt idx="10">
                  <c:v>2358</c:v>
                </c:pt>
                <c:pt idx="11">
                  <c:v>2417</c:v>
                </c:pt>
                <c:pt idx="12">
                  <c:v>2465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87.2</c:v>
                </c:pt>
                <c:pt idx="1">
                  <c:v>84.4</c:v>
                </c:pt>
                <c:pt idx="2">
                  <c:v>83.6</c:v>
                </c:pt>
                <c:pt idx="3">
                  <c:v>82.1</c:v>
                </c:pt>
                <c:pt idx="4">
                  <c:v>80.3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61.3</c:v>
                </c:pt>
                <c:pt idx="1">
                  <c:v>51.4</c:v>
                </c:pt>
                <c:pt idx="2">
                  <c:v>48.3</c:v>
                </c:pt>
                <c:pt idx="3">
                  <c:v>42.6</c:v>
                </c:pt>
                <c:pt idx="4">
                  <c:v>40.2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59.7</c:v>
                </c:pt>
                <c:pt idx="1">
                  <c:v>50.2</c:v>
                </c:pt>
                <c:pt idx="2">
                  <c:v>47.3</c:v>
                </c:pt>
                <c:pt idx="3">
                  <c:v>41.7</c:v>
                </c:pt>
                <c:pt idx="4">
                  <c:v>38.8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53.3</c:v>
                </c:pt>
                <c:pt idx="1">
                  <c:v>42.4</c:v>
                </c:pt>
                <c:pt idx="2">
                  <c:v>41.2</c:v>
                </c:pt>
                <c:pt idx="3">
                  <c:v>37.2</c:v>
                </c:pt>
                <c:pt idx="4">
                  <c:v>34.7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58.2</c:v>
                </c:pt>
                <c:pt idx="1">
                  <c:v>56.3</c:v>
                </c:pt>
                <c:pt idx="2">
                  <c:v>22.5</c:v>
                </c:pt>
                <c:pt idx="3">
                  <c:v>-19.8</c:v>
                </c:pt>
                <c:pt idx="4">
                  <c:v>-6.3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0">
                  <c:v>58.2</c:v>
                </c:pt>
                <c:pt idx="1">
                  <c:v>56.3</c:v>
                </c:pt>
                <c:pt idx="2">
                  <c:v>22.5</c:v>
                </c:pt>
                <c:pt idx="3">
                  <c:v>-19.8</c:v>
                </c:pt>
                <c:pt idx="4">
                  <c:v>-6.3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c:v>
                </c:pt>
                <c:pt idx="1">
                  <c:v>11</c:v>
                </c:pt>
                <c:pt idx="2">
                  <c:v>11</c:v>
                </c:pt>
                <c:pt idx="3">
                  <c:v>9</c:v>
                </c:pt>
                <c:pt idx="4">
                  <c:v>13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165</c:v>
                </c:pt>
                <c:pt idx="1">
                  <c:v>182</c:v>
                </c:pt>
                <c:pt idx="2">
                  <c:v>127</c:v>
                </c:pt>
                <c:pt idx="3">
                  <c:v>114</c:v>
                </c:pt>
                <c:pt idx="4">
                  <c:v>132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43</c:v>
                </c:pt>
                <c:pt idx="1">
                  <c:v>54</c:v>
                </c:pt>
                <c:pt idx="2">
                  <c:v>84</c:v>
                </c:pt>
                <c:pt idx="3">
                  <c:v>106</c:v>
                </c:pt>
                <c:pt idx="4">
                  <c:v>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(RMB,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581.1999999999999</c:v>
                </c:pt>
                <c:pt idx="1">
                  <c:v>778.2</c:v>
                </c:pt>
                <c:pt idx="2">
                  <c:v>1418</c:v>
                </c:pt>
                <c:pt idx="3">
                  <c:v>1790.2</c:v>
                </c:pt>
                <c:pt idx="4">
                  <c:v>1344.5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828.1</c:v>
                </c:pt>
                <c:pt idx="1">
                  <c:v>1002</c:v>
                </c:pt>
                <c:pt idx="2">
                  <c:v>1451.8</c:v>
                </c:pt>
                <c:pt idx="3">
                  <c:v>2062.3</c:v>
                </c:pt>
                <c:pt idx="4">
                  <c:v>1914.8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223.6</c:v>
                </c:pt>
                <c:pt idx="3">
                  <c:v>272.5</c:v>
                </c:pt>
                <c:pt idx="4">
                  <c:v>152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9.6</c:v>
                </c:pt>
                <c:pt idx="1">
                  <c:v>9.6</c:v>
                </c:pt>
                <c:pt idx="2">
                  <c:v>9.6</c:v>
                </c:pt>
                <c:pt idx="3">
                  <c:v>9.6</c:v>
                </c:pt>
                <c:pt idx="4">
                  <c:v>9.6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81.4</c:v>
                </c:pt>
                <c:pt idx="1">
                  <c:v>52</c:v>
                </c:pt>
                <c:pt idx="2">
                  <c:v>40.4</c:v>
                </c:pt>
                <c:pt idx="3">
                  <c:v>36</c:v>
                </c:pt>
                <c:pt idx="4">
                  <c:v>22.5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-7.63</c:v>
                </c:pt>
                <c:pt idx="1">
                  <c:v>-1.81</c:v>
                </c:pt>
                <c:pt idx="2">
                  <c:v>-2.22</c:v>
                </c:pt>
                <c:pt idx="3">
                  <c:v>-2.67</c:v>
                </c:pt>
                <c:pt idx="4">
                  <c:v>-3.81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(RMB,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16</c:v>
                </c:pt>
                <c:pt idx="4">
                  <c:v>220.7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2550</c:v>
                </c:pt>
                <c:pt idx="1">
                  <c:v>367.5</c:v>
                </c:pt>
                <c:pt idx="2">
                  <c:v>0</c:v>
                </c:pt>
                <c:pt idx="3">
                  <c:v>908.4</c:v>
                </c:pt>
                <c:pt idx="4">
                  <c:v>1278.9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6235.8</c:v>
                </c:pt>
                <c:pt idx="2">
                  <c:v>0</c:v>
                </c:pt>
                <c:pt idx="3">
                  <c:v>0</c:v>
                </c:pt>
                <c:pt idx="4">
                  <c:v>166.1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5</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Juzi Holding (fideicomiso familiar de Fan Daidi) + Healing Holding</c:v>
                </c:pt>
                <c:pt idx="1">
                  <c:v>Yan Jianya (RSU en fideicomiso)</c:v>
                </c:pt>
                <c:pt idx="2">
                  <c:v>Capital libre (flotante)</c:v>
                </c:pt>
              </c:strCache>
            </c:strRef>
          </c:cat>
          <c:val>
            <c:numRef>
              <c:f>Hoja1!$B$2:$B$4</c:f>
              <c:numCache>
                <c:formatCode>0.0"%"</c:formatCode>
                <c:ptCount val="3"/>
                <c:pt idx="0">
                  <c:v>55.21</c:v>
                </c:pt>
                <c:pt idx="1">
                  <c:v>0.69</c:v>
                </c:pt>
                <c:pt idx="2">
                  <c:v>44.1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6</c:v>
                </c:pt>
                <c:pt idx="1">
                  <c:v>43.9</c:v>
                </c:pt>
                <c:pt idx="2">
                  <c:v>-32.5</c:v>
                </c:pt>
              </c:numCache>
            </c:numRef>
          </c:val>
        </c:ser>
        <c:ser>
          <c:idx val="1"/>
          <c:order val="1"/>
          <c:tx>
            <c:strRef>
              <c:f>Hoja1!$C$1</c:f>
              <c:strCache>
                <c:ptCount val="1"/>
                <c:pt idx="0">
                  <c:v>Índice</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-10.6</c:v>
                </c:pt>
                <c:pt idx="1">
                  <c:v>22.3</c:v>
                </c:pt>
                <c:pt idx="2">
                  <c:v>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1">
                  <c:v>23.4</c:v>
                </c:pt>
                <c:pt idx="2">
                  <c:v>16.4</c:v>
                </c:pt>
                <c:pt idx="3">
                  <c:v>17.4</c:v>
                </c:pt>
                <c:pt idx="4">
                  <c:v>10.4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16.9</c:v>
                </c:pt>
                <c:pt idx="1">
                  <c:v>16.9</c:v>
                </c:pt>
                <c:pt idx="2">
                  <c:v>16.9</c:v>
                </c:pt>
                <c:pt idx="3">
                  <c:v>16.9</c:v>
                </c:pt>
                <c:pt idx="4">
                  <c:v>16.9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Giant Biogene</c:v>
                </c:pt>
                <c:pt idx="1">
                  <c:v>Proya Cosmetics</c:v>
                </c:pt>
                <c:pt idx="2">
                  <c:v>Yunnan Botanee</c:v>
                </c:pt>
                <c:pt idx="3">
                  <c:v>Bloomage Biotech</c:v>
                </c:pt>
                <c:pt idx="4">
                  <c:v>Imeik Technology</c:v>
                </c:pt>
                <c:pt idx="5">
                  <c:v>Shanghai Jahwa</c:v>
                </c:pt>
                <c:pt idx="6">
                  <c:v>Mao Geping</c:v>
                </c:pt>
                <c:pt idx="7">
                  <c:v>Shanghai Chicmax</c:v>
                </c:pt>
                <c:pt idx="8">
                  <c:v>Shiseido</c:v>
                </c:pt>
                <c:pt idx="9">
                  <c:v>L'Oréal</c:v>
                </c:pt>
                <c:pt idx="10">
                  <c:v>Estée Lauder</c:v>
                </c:pt>
              </c:strCache>
            </c:strRef>
          </c:cat>
          <c:val>
            <c:numRef>
              <c:f>Hoja1!$B$2:$B$12</c:f>
              <c:numCache>
                <c:formatCode>0.0"x"</c:formatCode>
                <c:ptCount val="11"/>
                <c:pt idx="0">
                  <c:v>5.1</c:v>
                </c:pt>
                <c:pt idx="1">
                  <c:v>8.9</c:v>
                </c:pt>
                <c:pt idx="2">
                  <c:v>14.3</c:v>
                </c:pt>
                <c:pt idx="3">
                  <c:v>34.3</c:v>
                </c:pt>
                <c:pt idx="4">
                  <c:v>18.2</c:v>
                </c:pt>
                <c:pt idx="5">
                  <c:v>22.1</c:v>
                </c:pt>
                <c:pt idx="6">
                  <c:v>6.5</c:v>
                </c:pt>
                <c:pt idx="7">
                  <c:v>7.3</c:v>
                </c:pt>
                <c:pt idx="8">
                  <c:v>15.7</c:v>
                </c:pt>
                <c:pt idx="9">
                  <c:v>20.2</c:v>
                </c:pt>
                <c:pt idx="10">
                  <c:v>16.5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Giant Biogene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19</c:v>
                </c:pt>
              </c:numCache>
            </c:numRef>
          </c:xVal>
          <c:yVal>
            <c:numRef>
              <c:f>Hoja1!$C$2</c:f>
              <c:numCache>
                <c:formatCode>0.0"x"</c:formatCode>
                <c:ptCount val="1"/>
                <c:pt idx="0">
                  <c:v>5.1</c:v>
                </c:pt>
              </c:numCache>
            </c:numRef>
          </c:yVal>
          <c:smooth val="0"/>
        </c:ser>
        <c:ser>
          <c:idx val="1"/>
          <c:order val="1"/>
          <c:tx>
            <c:strRef>
              <c:f>Hoja1!$A$3</c:f>
              <c:strCache>
                <c:ptCount val="1"/>
                <c:pt idx="0">
                  <c:v>Proya Cosmetics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25.5</c:v>
                </c:pt>
              </c:numCache>
            </c:numRef>
          </c:xVal>
          <c:yVal>
            <c:numRef>
              <c:f>Hoja1!$C$3</c:f>
              <c:numCache>
                <c:formatCode>0.0"x"</c:formatCode>
                <c:ptCount val="1"/>
                <c:pt idx="0">
                  <c:v>8.9</c:v>
                </c:pt>
              </c:numCache>
            </c:numRef>
          </c:yVal>
          <c:smooth val="0"/>
        </c:ser>
        <c:ser>
          <c:idx val="2"/>
          <c:order val="2"/>
          <c:tx>
            <c:strRef>
              <c:f>Hoja1!$A$4</c:f>
              <c:strCache>
                <c:ptCount val="1"/>
                <c:pt idx="0">
                  <c:v>Yunnan Botanee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14.4</c:v>
                </c:pt>
              </c:numCache>
            </c:numRef>
          </c:xVal>
          <c:yVal>
            <c:numRef>
              <c:f>Hoja1!$C$4</c:f>
              <c:numCache>
                <c:formatCode>0.0"x"</c:formatCode>
                <c:ptCount val="1"/>
                <c:pt idx="0">
                  <c:v>14.3</c:v>
                </c:pt>
              </c:numCache>
            </c:numRef>
          </c:yVal>
          <c:smooth val="0"/>
        </c:ser>
        <c:ser>
          <c:idx val="3"/>
          <c:order val="3"/>
          <c:tx>
            <c:strRef>
              <c:f>Hoja1!$A$5</c:f>
              <c:strCache>
                <c:ptCount val="1"/>
                <c:pt idx="0">
                  <c:v>Bloomage Biotech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8.3</c:v>
                </c:pt>
              </c:numCache>
            </c:numRef>
          </c:xVal>
          <c:yVal>
            <c:numRef>
              <c:f>Hoja1!$C$5</c:f>
              <c:numCache>
                <c:formatCode>0.0"x"</c:formatCode>
                <c:ptCount val="1"/>
                <c:pt idx="0">
                  <c:v>34.3</c:v>
                </c:pt>
              </c:numCache>
            </c:numRef>
          </c:yVal>
          <c:smooth val="0"/>
        </c:ser>
        <c:ser>
          <c:idx val="4"/>
          <c:order val="4"/>
          <c:tx>
            <c:strRef>
              <c:f>Hoja1!$A$6</c:f>
              <c:strCache>
                <c:ptCount val="1"/>
                <c:pt idx="0">
                  <c:v>Imeik Technology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17.5</c:v>
                </c:pt>
              </c:numCache>
            </c:numRef>
          </c:xVal>
          <c:yVal>
            <c:numRef>
              <c:f>Hoja1!$C$6</c:f>
              <c:numCache>
                <c:formatCode>0.0"x"</c:formatCode>
                <c:ptCount val="1"/>
                <c:pt idx="0">
                  <c:v>18.2</c:v>
                </c:pt>
              </c:numCache>
            </c:numRef>
          </c:yVal>
          <c:smooth val="0"/>
        </c:ser>
        <c:ser>
          <c:idx val="5"/>
          <c:order val="5"/>
          <c:tx>
            <c:strRef>
              <c:f>Hoja1!$A$7</c:f>
              <c:strCache>
                <c:ptCount val="1"/>
                <c:pt idx="0">
                  <c:v>Shanghai Jahwa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14.6</c:v>
                </c:pt>
              </c:numCache>
            </c:numRef>
          </c:xVal>
          <c:yVal>
            <c:numRef>
              <c:f>Hoja1!$C$7</c:f>
              <c:numCache>
                <c:formatCode>0.0"x"</c:formatCode>
                <c:ptCount val="1"/>
                <c:pt idx="0">
                  <c:v>22.1</c:v>
                </c:pt>
              </c:numCache>
            </c:numRef>
          </c:yVal>
          <c:smooth val="0"/>
        </c:ser>
        <c:ser>
          <c:idx val="6"/>
          <c:order val="6"/>
          <c:tx>
            <c:strRef>
              <c:f>Hoja1!$A$8</c:f>
              <c:strCache>
                <c:ptCount val="1"/>
                <c:pt idx="0">
                  <c:v>Mao Geping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31.2</c:v>
                </c:pt>
              </c:numCache>
            </c:numRef>
          </c:xVal>
          <c:yVal>
            <c:numRef>
              <c:f>Hoja1!$C$8</c:f>
              <c:numCache>
                <c:formatCode>0.0"x"</c:formatCode>
                <c:ptCount val="1"/>
                <c:pt idx="0">
                  <c:v>6.5</c:v>
                </c:pt>
              </c:numCache>
            </c:numRef>
          </c:yVal>
          <c:smooth val="0"/>
        </c:ser>
        <c:ser>
          <c:idx val="7"/>
          <c:order val="7"/>
          <c:tx>
            <c:strRef>
              <c:f>Hoja1!$A$9</c:f>
              <c:strCache>
                <c:ptCount val="1"/>
                <c:pt idx="0">
                  <c:v>Shanghai Chicmax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17.9</c:v>
                </c:pt>
              </c:numCache>
            </c:numRef>
          </c:xVal>
          <c:yVal>
            <c:numRef>
              <c:f>Hoja1!$C$9</c:f>
              <c:numCache>
                <c:formatCode>0.0"x"</c:formatCode>
                <c:ptCount val="1"/>
                <c:pt idx="0">
                  <c:v>7.3</c:v>
                </c:pt>
              </c:numCache>
            </c:numRef>
          </c:yVal>
          <c:smooth val="0"/>
        </c:ser>
        <c:ser>
          <c:idx val="8"/>
          <c:order val="8"/>
          <c:tx>
            <c:strRef>
              <c:f>Hoja1!$A$10</c:f>
              <c:strCache>
                <c:ptCount val="1"/>
                <c:pt idx="0">
                  <c:v>Shiseido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4</c:v>
                </c:pt>
              </c:numCache>
            </c:numRef>
          </c:xVal>
          <c:yVal>
            <c:numRef>
              <c:f>Hoja1!$C$10</c:f>
              <c:numCache>
                <c:formatCode>0.0"x"</c:formatCode>
                <c:ptCount val="1"/>
                <c:pt idx="0">
                  <c:v>15.7</c:v>
                </c:pt>
              </c:numCache>
            </c:numRef>
          </c:yVal>
          <c:smooth val="0"/>
        </c:ser>
        <c:ser>
          <c:idx val="9"/>
          <c:order val="9"/>
          <c:tx>
            <c:strRef>
              <c:f>Hoja1!$A$11</c:f>
              <c:strCache>
                <c:ptCount val="1"/>
                <c:pt idx="0">
                  <c:v>L'Oréal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8.9</c:v>
                </c:pt>
              </c:numCache>
            </c:numRef>
          </c:xVal>
          <c:yVal>
            <c:numRef>
              <c:f>Hoja1!$C$11</c:f>
              <c:numCache>
                <c:formatCode>0.0"x"</c:formatCode>
                <c:ptCount val="1"/>
                <c:pt idx="0">
                  <c:v>20.2</c:v>
                </c:pt>
              </c:numCache>
            </c:numRef>
          </c:yVal>
          <c:smooth val="0"/>
        </c:ser>
        <c:ser>
          <c:idx val="10"/>
          <c:order val="10"/>
          <c:tx>
            <c:strRef>
              <c:f>Hoja1!$A$12</c:f>
              <c:strCache>
                <c:ptCount val="1"/>
                <c:pt idx="0">
                  <c:v>Estée Lauder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Hoja1!$B$12</c:f>
              <c:numCache>
                <c:formatCode>0"%"</c:formatCode>
                <c:ptCount val="1"/>
                <c:pt idx="0">
                  <c:v>8.1</c:v>
                </c:pt>
              </c:numCache>
            </c:numRef>
          </c:xVal>
          <c:yVal>
            <c:numRef>
              <c:f>Hoja1!$C$12</c:f>
              <c:numCache>
                <c:formatCode>0.0"x"</c:formatCode>
                <c:ptCount val="1"/>
                <c:pt idx="0">
                  <c:v>16.5</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rhode (cuidado de la piel, EE. UU.)</c:v>
                </c:pt>
                <c:pt idx="1">
                  <c:v>RoC Skincare (dermocosmética, EE. UU.)</c:v>
                </c:pt>
                <c:pt idx="2">
                  <c:v>ZO Skin Health (dermocosmética médica, EE. UU.)</c:v>
                </c:pt>
                <c:pt idx="3">
                  <c:v>ISDIN (dermocosmética, España), 50 %</c:v>
                </c:pt>
              </c:strCache>
            </c:strRef>
          </c:cat>
          <c:val>
            <c:numRef>
              <c:f>Hoja1!$B$2:$B$5</c:f>
              <c:numCache>
                <c:formatCode>0.0"x"</c:formatCode>
                <c:ptCount val="4"/>
                <c:pt idx="1">
                  <c:v>20.1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(RMB,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1288</c:v>
                </c:pt>
                <c:pt idx="1">
                  <c:v>1364</c:v>
                </c:pt>
                <c:pt idx="2">
                  <c:v>1533</c:v>
                </c:pt>
                <c:pt idx="3">
                  <c:v>1646</c:v>
                </c:pt>
                <c:pt idx="4">
                  <c:v>1716</c:v>
                </c:pt>
                <c:pt idx="5">
                  <c:v>1793</c:v>
                </c:pt>
                <c:pt idx="6">
                  <c:v>1840</c:v>
                </c:pt>
                <c:pt idx="7">
                  <c:v>1880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(RMB,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8610</c:v>
                </c:pt>
                <c:pt idx="1">
                  <c:v>12062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(RMB) · precio actual 19,27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21.13</c:v>
                </c:pt>
                <c:pt idx="1">
                  <c:v>26.97</c:v>
                </c:pt>
                <c:pt idx="2">
                  <c:v>30.45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(RMB) · precio actual 19,27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(19,10 – 37,45)</c:v>
                </c:pt>
                <c:pt idx="1">
                  <c:v>Precio objetivo de los analistas (21,32 – 39,23)</c:v>
                </c:pt>
                <c:pt idx="2">
                  <c:v>Comparables: EV/EBITDA NTM (31,27 – 53,29)</c:v>
                </c:pt>
                <c:pt idx="3">
                  <c:v>Comparables: PER NTM (28,60 – 52,13)</c:v>
                </c:pt>
                <c:pt idx="4">
                  <c:v>DCF (WACC y g ± 0,5) (25,22 – 29,20)</c:v>
                </c:pt>
                <c:pt idx="5">
                  <c:v>Escenarios (bajista – alcista) (21,13 – 30,45)</c:v>
                </c:pt>
                <c:pt idx="6">
                  <c:v>DCF con la prima implícita del mercado (4,2 %)</c:v>
                </c:pt>
                <c:pt idx="7">
                  <c:v>Precio actual (19,27)</c:v>
                </c:pt>
              </c:strCache>
            </c:strRef>
          </c:cat>
          <c:val>
            <c:numRef>
              <c:f>Hoja1!$B$2:$B$9</c:f>
              <c:numCache>
                <c:formatCode>#,##0.0</c:formatCode>
                <c:ptCount val="8"/>
                <c:pt idx="0">
                  <c:v>19.1</c:v>
                </c:pt>
                <c:pt idx="1">
                  <c:v>21.32</c:v>
                </c:pt>
                <c:pt idx="2">
                  <c:v>31.27</c:v>
                </c:pt>
                <c:pt idx="3">
                  <c:v>28.6</c:v>
                </c:pt>
                <c:pt idx="4">
                  <c:v>25.22</c:v>
                </c:pt>
                <c:pt idx="5">
                  <c:v>21.13</c:v>
                </c:pt>
                <c:pt idx="6">
                  <c:v>29.11</c:v>
                </c:pt>
                <c:pt idx="7">
                  <c:v>19.17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(19,10 – 37,45)</c:v>
                </c:pt>
                <c:pt idx="1">
                  <c:v>Precio objetivo de los analistas (21,32 – 39,23)</c:v>
                </c:pt>
                <c:pt idx="2">
                  <c:v>Comparables: EV/EBITDA NTM (31,27 – 53,29)</c:v>
                </c:pt>
                <c:pt idx="3">
                  <c:v>Comparables: PER NTM (28,60 – 52,13)</c:v>
                </c:pt>
                <c:pt idx="4">
                  <c:v>DCF (WACC y g ± 0,5) (25,22 – 29,20)</c:v>
                </c:pt>
                <c:pt idx="5">
                  <c:v>Escenarios (bajista – alcista) (21,13 – 30,45)</c:v>
                </c:pt>
                <c:pt idx="6">
                  <c:v>DCF con la prima implícita del mercado (4,2 %)</c:v>
                </c:pt>
                <c:pt idx="7">
                  <c:v>Precio actual (19,27)</c:v>
                </c:pt>
              </c:strCache>
            </c:strRef>
          </c:cat>
          <c:val>
            <c:numRef>
              <c:f>Hoja1!$C$2:$C$9</c:f>
              <c:numCache>
                <c:formatCode>#,##0.0</c:formatCode>
                <c:ptCount val="8"/>
                <c:pt idx="0">
                  <c:v>18.35</c:v>
                </c:pt>
                <c:pt idx="1">
                  <c:v>17.909999999999997</c:v>
                </c:pt>
                <c:pt idx="2">
                  <c:v>22.02</c:v>
                </c:pt>
                <c:pt idx="3">
                  <c:v>23.53</c:v>
                </c:pt>
                <c:pt idx="4">
                  <c:v>3.9800000000000004</c:v>
                </c:pt>
                <c:pt idx="5">
                  <c:v>9.32</c:v>
                </c:pt>
                <c:pt idx="6">
                  <c:v>3.4399999999999977</c:v>
                </c:pt>
                <c:pt idx="7">
                  <c:v>0.1999999999999993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