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Rexel S.A.</w:t>
      </w:r>
    </w:p>
    <w:p>
      <w:pPr>
        <w:spacing w:after="60"/>
        <w:rPr>
          <w:color w:val="52514E"/>
          <w:sz w:val="22"/>
          <w:szCs w:val="22"/>
        </w:rPr>
      </w:pPr>
      <w:r>
        <w:rPr>
          <w:color w:val="52514E"/>
          <w:sz w:val="22"/>
          <w:szCs w:val="22"/>
        </w:rPr>
        <w:t xml:space="preserve">RXL · Euronext París (compartimento A) · ISIN FR0010451203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26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32,63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31,88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+1,4 % (base +3,0 %)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38,78 EUR · mercado 52,12</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10.079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8,3x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3,7x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Rexel 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RXL / FR0010451203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París (compartimento 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STOXX Europe 600 (también CAC Next 20 y SBF 120)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Distribuidores de comercio (material eléctrico)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París · 1967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26.306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www.rexel.com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32,63 (23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28,83 – 39,80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308,9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76,2 %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10.079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16.046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23,2 M EUR/día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feb 2027</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31,88 EUR</w:t>
      </w:r>
      <w:r>
        <w:t xml:space="preserve"> frente a 32,63 · Rentabilidad a 12 meses </w:t>
      </w:r>
      <w:r>
        <w:rPr>
          <w:b/>
          <w:bCs/>
        </w:rPr>
        <w:t xml:space="preserve">+1,4 % (base +3,0 %)</w:t>
      </w:r>
      <w:r>
        <w:t xml:space="preserve"> · Valor intrínseco 38,78 EUR · con la prima implícita del mercado: 52,12 (+59,7 %) · Alcista / bajista +38,5 % / -16,1 %</w:t>
      </w:r>
    </w:p>
    <w:p>
      <w:pPr>
        <w:spacing w:after="100"/>
      </w:pPr>
      <w:r>
        <w:rPr>
          <w:b/>
        </w:rPr>
        <w:t xml:space="preserve">La recomendación y por qué.</w:t>
      </w:r>
      <w:r>
        <w:t xml:space="preserve"> Mantener, con convicción media. El objetivo a 12 meses es de 31,88 € (nuestro BPA de 2028e × el PER de la regla común, ponderado 25/50/25) y el valor real de 38,78 € (DCF 60 %, escenarios 40 %), un 18,8 % sobre el precio de 32,63 € del 23-oct. La rentabilidad a 12 meses con dividendo es del 1,4 % ponderada y del 3,0 % en el base, lejos del 15 % y el 12 % de una compra; la del valor real es del 22,5 % con una asimetría de 2,39 veces. El objetivo medio de los analistas (41,86 €) queda un 23 % sobre nuestro base: usan el BPA ajustado y PER de comparables. Convicción media: las dos reglas coinciden lejos de los umbrales; subiría por debajo de 28,76 €. Las pruebas de robustez dan SÓLIDA y «No mantener» (con la v2 de control, −10,6 %); el límite de compra robusto es 25,38 €.</w:t>
      </w:r>
    </w:p>
    <w:p>
      <w:pPr>
        <w:spacing w:after="100"/>
      </w:pPr>
      <w:r>
        <w:rPr>
          <w:b/>
        </w:rPr>
        <w:t xml:space="preserve">Qué ha cambiado desde el 20-oct.</w:t>
      </w:r>
      <w:r>
        <w:t xml:space="preserve"> Las ventas del 3T26 (+11,4 % a días constantes frente al +6,6 % esperado) y la segunda subida de la guía (ventas c. +7 %, margen EBITA ≥ 6,4 %) suben nuestro BPA de 2028e de 2,90 € a 3,00 € y el DCF de 35,53 € a 39,41 € [15, 44]. El objetivo a 12 meses apenas se mueve (de 32,65 € a 31,88 €): la regla parte del PER de hoy y el precio ha bajado un 1,3 %. Corregimos un dato: Cevian tiene ≈ 19 %, no 22 %, tras vender en mayo [31].</w:t>
      </w:r>
    </w:p>
    <w:p>
      <w:pPr>
        <w:spacing w:after="100"/>
      </w:pPr>
      <w:r>
        <w:rPr>
          <w:b/>
        </w:rPr>
        <w:t xml:space="preserve">El negocio.</w:t>
      </w:r>
      <w:r>
        <w:t xml:space="preserve"> Segundo distribuidor eléctrico del mundo (19.415 M de ventas en 2025; Norteamérica, el 51 % en el 3T26), con un foso estrecho de escala y logística [1, 15]. El ROIC (8,3 %) es igual al WACC (8,29 %): ROIC − WACC de 0,0 puntos, y el ROIC incremental de 2021-2025 fue del 2,1 % con 2.031 M en compras. Sostenibilidad del crecimiento: </w:t>
      </w:r>
      <w:r>
        <w:rPr>
          <w:b/>
        </w:rPr>
        <w:t xml:space="preserve">en parte</w:t>
      </w:r>
      <w:r>
        <w:t xml:space="preserve">; es financiable sin apenas capital, pero lo comprado aún no rinde más que su coste.</w:t>
      </w:r>
    </w:p>
    <w:p>
      <w:pPr>
        <w:spacing w:after="100"/>
      </w:pPr>
      <w:r>
        <w:rPr>
          <w:b/>
        </w:rPr>
        <w:t xml:space="preserve">Finanzas.</w:t>
      </w:r>
      <w:r>
        <w:t xml:space="preserve"> El margen EBITDA bajó del 9,0 % (2022) al 8,0 % (2025) y sube en 2026 (8,5 % proyectado) por Norteamérica, el cobre y los centros de datos (c. 13 % de las ventas de EE. UU.) [16]. Con GCG, la deuda neta ajustada es de 5.953 M, 3,7 veces el EBITDA.</w:t>
      </w:r>
    </w:p>
    <w:p>
      <w:pPr>
        <w:spacing w:after="100"/>
      </w:pPr>
      <w:r>
        <w:rPr>
          <w:b/>
        </w:rPr>
        <w:t xml:space="preserve">Valoración.</w:t>
      </w:r>
      <w:r>
        <w:t xml:space="preserve"> El DCF da 39,41 € y el DCF inverso dice que el precio descuenta un crecimiento del 0,0 % anual en 2027-2032 (base 5,0 %), con una rentabilidad implícita del 9,1 % frente a un WACC del 8,29 %: un precio conservador. Pero la regla a 12 meses lleva el PER actual (11,8x) hacia su mediana adelantada (9,8x), sesgada por el BPA de pico de 2022-2023: el objetivo queda un 18 % bajo el valor real y la tesis es a más de un año. Frente a los comparables (17,6x) cotiza con un descuento del 36 %. </w:t>
      </w:r>
      <w:r>
        <w:rPr>
          <w:b/>
        </w:rPr>
        <w:t xml:space="preserve">Riesgo país</w:t>
      </w:r>
      <w:r>
        <w:t xml:space="preserve">: con la OAT (≈ 5,1 %) en lugar del Bund (3,39 %) el valor real bajaría un 19 %, a 31,29 € [27].</w:t>
      </w:r>
    </w:p>
    <w:p>
      <w:pPr>
        <w:spacing w:after="100"/>
      </w:pPr>
      <w:r>
        <w:rPr>
          <w:b/>
        </w:rPr>
        <w:t xml:space="preserve">Riesgos y catalizadores.</w:t>
      </w:r>
      <w:r>
        <w:t xml:space="preserve"> El ciclo de la construcción europea (−16 % en el bajista del DCF), un frenazo de los centros de datos en EE. UU. tras el pico de 2026 y la deuda. Cevian vende (≈ 19 %) sin colocación anunciada y Moody's no rebajó a Francia [27, 31]. Regla 13: no cambia; resultados el 10-feb-2027, con la primera guía con GCG [15].</w:t>
      </w:r>
    </w:p>
    <w:p>
      <w:pPr>
        <w:spacing w:after="100"/>
      </w:pPr>
      <w:r>
        <w:rPr>
          <w:b/>
        </w:rPr>
        <w:t xml:space="preserve">Qué cambiaría la decisión.</w:t>
      </w:r>
      <w:r>
        <w:t xml:space="preserve"> Compraríamos por debajo de 28,76 € y venderíamos por encima de 36,75 €. Pasaríamos a Comprar si el BPA de 2028e llegara a ≈ 3,40 € (margen EBITDA del 9,6 % con GCG); revisaríamos a la baja si la cartera de Norteamérica bajara de 2.500 M USD o si las ventas de Europa a días constantes volvieran a negativo dos trimestres.</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(la tesis de valor, a más de un año) · Objetivo a 12 meses: </w:t>
      </w:r>
      <w:r>
        <w:rPr>
          <w:b/>
          <w:bCs/>
        </w:rPr>
        <w:t xml:space="preserve">31,88 EUR</w:t>
      </w:r>
      <w:r>
        <w:t xml:space="preserve"> (rentabilidad +1,4 % (base +3,0 %)) · Valor intrínseco: 38,78 EUR (+18,8 % sobre 32,63) · con la prima implícita del mercado: 52,12 (+59,7 %)</w:t>
      </w:r>
    </w:p>
    <w:p>
      <w:pPr>
        <w:spacing w:after="100"/>
      </w:pPr>
      <w:r>
        <w:t xml:space="preserve">Rexel distribuye material eléctrico a instaladores, industria y grandes obras en 17 países, con 19.415 M de ventas y un margen EBITDA del 8,0 % en 2025 [1]. Su valor está en la escala (segundo del mundo tras Sonepar), la logística y el crédito al instalador, y en una Norteamérica que crece al 17 % con los centros de datos y la automatización; la compra de GCG (1.400 M USD) refuerza esa apuesta [7, 15].</w:t>
      </w:r>
    </w:p>
    <w:p>
      <w:pPr>
        <w:spacing w:after="100"/>
      </w:pPr>
      <w:r>
        <w:t xml:space="preserve">El precio de 32,63 € descuenta un crecimiento nulo desde 2027 y un margen EBITDA del 8,3 %, con una rentabilidad implícita del 9,1 %, por encima del WACC (8,29 %). Cotiza a 11,3 veces el BPA de consenso de los próximos 12 meses, por debajo de los distribuidores americanos (17,6x) y por encima de su propia historia adelantada (9,8x).</w:t>
      </w:r>
    </w:p>
    <w:p>
      <w:pPr>
        <w:spacing w:after="100"/>
      </w:pPr>
      <w:r>
        <w:t xml:space="preserve">El mercado es prudente con razón en una cosa: Rexel gana su coste de capital y poco más (ROIC del 8,3 %) y compra a precios que no suben el ROIC. Pero descuenta menos crecimiento del que ya está comprado y guiado. Para invertir a 12 meses habría que creer que el mercado pagará más que su historia por la nueva mezcla americana; nosotros proyectamos un BPA de 3,00 € en 2028e y un PER de 10,8 veces.</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31,88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 × 2,42 = 14,28 · 10,8x × 3,00 = 32,40 · 14,5x × 3,34 = 48,43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 / 3,0 %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41,86 (nuestro base -22,6 %)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38,78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38,5 % / -16,1 %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 frente a 8,3 % y 7,2 %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7,2 %)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52,12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(5,4 %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28,76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28,76 y 36,75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36,75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28,76 €: pasaría a Comprar con la regla a 12 meses.</w:t>
      </w:r>
    </w:p>
    <w:p>
      <w:pPr>
        <w:pStyle w:val="ListParagraph"/>
        <w:numPr>
          <w:ilvl w:val="0"/>
          <w:numId w:val="2"/>
        </w:numPr>
        <w:spacing w:after="60"/>
      </w:pPr>
      <w:r>
        <w:t xml:space="preserve">BPA de 2028e de ≈ 3,40 € (margen EBITDA del 9,6 % con GCG): Comprar.</w:t>
      </w:r>
    </w:p>
    <w:p>
      <w:pPr>
        <w:pStyle w:val="ListParagraph"/>
        <w:numPr>
          <w:ilvl w:val="0"/>
          <w:numId w:val="2"/>
        </w:numPr>
        <w:spacing w:after="60"/>
      </w:pPr>
      <w:r>
        <w:t xml:space="preserve">Cartera de Norteamérica por debajo de 2.500 M USD o centros de datos en negativo: revisar el base a la baja.</w:t>
      </w:r>
    </w:p>
    <w:p>
      <w:pPr>
        <w:pStyle w:val="ListParagraph"/>
        <w:numPr>
          <w:ilvl w:val="0"/>
          <w:numId w:val="2"/>
        </w:numPr>
        <w:spacing w:after="60"/>
      </w:pPr>
      <w:r>
        <w:t xml:space="preserve">Rebaja de Moody's a Francia con diferencial OAT-Bund &gt; 2 puntos: revisar la prima adicional del WACC.</w:t>
      </w:r>
    </w:p>
    <w:p>
      <w:pPr>
        <w:pStyle w:val="ListParagraph"/>
        <w:numPr>
          <w:ilvl w:val="0"/>
          <w:numId w:val="2"/>
        </w:numPr>
        <w:spacing w:after="60"/>
      </w:pPr>
      <w:r>
        <w:t xml:space="preserve">Precio por encima de 36,75 €: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Crecimiento nulo desde 2027 con un margen EBITDA del 8,3 %, una prima frente a la historia de Rexel por la mezcla americana y un descuento del 36 % frente a los comparables por el peso europeo y el ROIC. Los analistas son más optimistas (10 de 13 compran, objetivo de 41,86 €).</w:t>
      </w:r>
    </w:p>
    <w:p>
      <w:pPr>
        <w:keepNext/>
        <w:spacing w:after="100"/>
      </w:pPr>
      <w:r>
        <w:rPr>
          <w:b/>
          <w:bCs/>
        </w:rPr>
        <w:t xml:space="preserve">Lo que creemos nosotros.</w:t>
      </w:r>
    </w:p>
    <w:p>
      <w:pPr>
        <w:spacing w:after="100"/>
      </w:pPr>
      <w:r>
        <w:t xml:space="preserve">A largo plazo el precio es bajo: GCG y la guía de 2026 ya dan crecimiento y el DCF vale 39,41 €. A 12 meses, no: el BPA publicado es un 6-8 % menor que el ajustado del consenso porque la reestructuración se repite, y la historia del PER no justifica pagar más de 11 veces.</w:t>
      </w:r>
    </w:p>
    <w:p>
      <w:pPr>
        <w:keepNext/>
        <w:spacing w:after="100"/>
      </w:pPr>
      <w:r>
        <w:rPr>
          <w:b/>
          <w:bCs/>
        </w:rPr>
        <w:t xml:space="preserve">Por qué podemos tener razón.</w:t>
      </w:r>
    </w:p>
    <w:p>
      <w:pPr>
        <w:spacing w:after="100"/>
      </w:pPr>
      <w:r>
        <w:t xml:space="preserve">El ROIC incremental del 2,1 % en cinco años y los 45-60 M anuales de otros gastos dicen que el BPA ajustado sobrestima lo que gana el accionista; y el mercado no ha pagado nunca a Rexel el múltiplo de WESCO o Ferguson. La distancia entre valor y precio necesita un catalizador: los resultados de 2026 con GCG.</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32,6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Norteamérica acelera</w:t>
      </w:r>
      <w:r>
        <w:t xml:space="preserve">: +17,4 % a días constantes en el 3T26, centros de datos a tres cifras y cartera de 3.053 M USD (+42 % en el año) [15, 16].</w:t>
      </w:r>
    </w:p>
    <w:p>
      <w:pPr>
        <w:pStyle w:val="ListParagraph"/>
        <w:numPr>
          <w:ilvl w:val="0"/>
          <w:numId w:val="2"/>
        </w:numPr>
        <w:spacing w:after="60"/>
      </w:pPr>
      <w:r>
        <w:rPr>
          <w:b/>
        </w:rPr>
        <w:t xml:space="preserve">Guía de 2026 elevada dos veces</w:t>
      </w:r>
      <w:r>
        <w:t xml:space="preserve">: ventas c. +7 % y margen EBITA ≥ 6,4 % [15].</w:t>
      </w:r>
    </w:p>
    <w:p>
      <w:pPr>
        <w:pStyle w:val="ListParagraph"/>
        <w:numPr>
          <w:ilvl w:val="0"/>
          <w:numId w:val="2"/>
        </w:numPr>
        <w:spacing w:after="60"/>
      </w:pPr>
      <w:r>
        <w:rPr>
          <w:b/>
        </w:rPr>
        <w:t xml:space="preserve">El precio descuenta crecimiento nulo</w:t>
      </w:r>
      <w:r>
        <w:t xml:space="preserve"> desde 2027 (DCF inverso) con GCG ya comprado; valor real de 38,78 €.</w:t>
      </w:r>
    </w:p>
    <w:p>
      <w:pPr>
        <w:pStyle w:val="ListParagraph"/>
        <w:numPr>
          <w:ilvl w:val="0"/>
          <w:numId w:val="2"/>
        </w:numPr>
        <w:spacing w:after="60"/>
      </w:pPr>
      <w:r>
        <w:rPr>
          <w:b/>
        </w:rPr>
        <w:t xml:space="preserve">Dividendo del 3,7 %</w:t>
      </w:r>
      <w:r>
        <w:t xml:space="preserve"> (1,20 € estable desde 2022) [1].</w:t>
      </w:r>
    </w:p>
    <w:p>
      <w:pPr>
        <w:pStyle w:val="ListParagraph"/>
        <w:numPr>
          <w:ilvl w:val="0"/>
          <w:numId w:val="2"/>
        </w:numPr>
        <w:spacing w:after="60"/>
      </w:pPr>
      <w:r>
        <w:rPr>
          <w:b/>
        </w:rPr>
        <w:t xml:space="preserve">Asimetría de 2,39 veces</w:t>
      </w:r>
      <w:r>
        <w:t xml:space="preserve"> en el DCF (alcista +38,5 %, bajista −16,1 %).</w:t>
      </w:r>
    </w:p>
    <w:p>
      <w:pPr>
        <w:pStyle w:val="Heading2"/>
      </w:pPr>
      <w:r>
        <w:t xml:space="preserve">En contra</w:t>
      </w:r>
    </w:p>
    <w:p>
      <w:pPr>
        <w:pStyle w:val="ListParagraph"/>
        <w:numPr>
          <w:ilvl w:val="0"/>
          <w:numId w:val="2"/>
        </w:numPr>
        <w:spacing w:after="60"/>
      </w:pPr>
      <w:r>
        <w:rPr>
          <w:b/>
        </w:rPr>
        <w:t xml:space="preserve">ROIC − WACC de 0,0 puntos</w:t>
      </w:r>
      <w:r>
        <w:t xml:space="preserve"> y ROIC incremental del 2,1 % en 2021-2025.</w:t>
      </w:r>
    </w:p>
    <w:p>
      <w:pPr>
        <w:pStyle w:val="ListParagraph"/>
        <w:numPr>
          <w:ilvl w:val="0"/>
          <w:numId w:val="2"/>
        </w:numPr>
        <w:spacing w:after="60"/>
      </w:pPr>
      <w:r>
        <w:rPr>
          <w:b/>
        </w:rPr>
        <w:t xml:space="preserve">Deuda neta ajustada de 3,7 veces el EBITDA</w:t>
      </w:r>
      <w:r>
        <w:t xml:space="preserve"> con GCG [5].</w:t>
      </w:r>
    </w:p>
    <w:p>
      <w:pPr>
        <w:pStyle w:val="ListParagraph"/>
        <w:numPr>
          <w:ilvl w:val="0"/>
          <w:numId w:val="2"/>
        </w:numPr>
        <w:spacing w:after="60"/>
      </w:pPr>
      <w:r>
        <w:rPr>
          <w:b/>
        </w:rPr>
        <w:t xml:space="preserve">Rentabilidad a 12 meses del 1,4 %</w:t>
      </w:r>
      <w:r>
        <w:t xml:space="preserve"> (base 3,0 %): la regla no da margen.</w:t>
      </w:r>
    </w:p>
    <w:p>
      <w:pPr>
        <w:pStyle w:val="ListParagraph"/>
        <w:numPr>
          <w:ilvl w:val="0"/>
          <w:numId w:val="2"/>
        </w:numPr>
        <w:spacing w:after="60"/>
      </w:pPr>
      <w:r>
        <w:rPr>
          <w:b/>
        </w:rPr>
        <w:t xml:space="preserve">Centros de datos en máximos</w:t>
      </w:r>
      <w:r>
        <w:t xml:space="preserve">: c. 13 % de las ventas de EE. UU.; un frenazo en 2027 quitaría el motor del crecimiento [16].</w:t>
      </w:r>
    </w:p>
    <w:p>
      <w:pPr>
        <w:pStyle w:val="ListParagraph"/>
        <w:numPr>
          <w:ilvl w:val="0"/>
          <w:numId w:val="2"/>
        </w:numPr>
        <w:spacing w:after="60"/>
      </w:pPr>
      <w:r>
        <w:rPr>
          <w:b/>
        </w:rPr>
        <w:t xml:space="preserve">Valor real −19 % con la OAT</w:t>
      </w:r>
      <w:r>
        <w:t xml:space="preserve"> en lugar del Bund, y Cevian vendiendo (≈ 19 % del capital) [31].</w:t>
      </w:r>
    </w:p>
    <w:p>
      <w:pPr>
        <w:pStyle w:val="Heading2"/>
      </w:pPr>
      <w:r>
        <w:t xml:space="preserve">Qué tiene que pasar para que la tesis funcione</w:t>
      </w:r>
    </w:p>
    <w:p>
      <w:pPr>
        <w:spacing w:after="100"/>
      </w:pPr>
      <w:r>
        <w:t xml:space="preserve">La tesis depende de que Norteamérica y GCG sostengan el crecimiento en 2027 cuando pase el pico de centros de datos, y de que Europa no empeore. La señal de que no se cumple: cartera de Norteamérica por debajo de 2.500 M USD, margen EBITA de 2026 por debajo del 6,4 % guiado, ventas de Europa a días constantes negativas o un margen de Norteamérica por debajo del 7 % en 2027. En Francia, una rebaja de Moody's o un diferencial OAT-Bund por encima de 2 puntos.</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a días constantes del grupo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 (3T26); +7,3 % (9M26)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+4 % en el 4T26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2026 pide c. +7 % [15].</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EBITA corriente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6,4 %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guía y la base de nuestro BPA [15].</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 de Norteamérica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3.053 M USD (sep-26)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2.500 M USD</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Visibilidad de 2027 y de los centros de datos [16].</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Diferencial OAT-Bund a 10 años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1,7 puntos (22-23 oct)</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2 puntos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de capital y demanda francesa [24, 27].</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Participación de Cevian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 19 % (59,18 M de acciones)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Aviso de bajada del 15 % o colocación</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Presión vendedora [31].</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9,9x / 8,3x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14,4x / 11,3x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13,5x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3,0x · 3,7x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 (2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Rexel nace en 1967 como Compagnie de Distribution de Matériel Électrique (CDME) y toma su nombre actual en 1997. Fue filial de Pinault-Printemps-Redoute hasta 2004, cuando la compraron Clayton, Dubilier &amp; Rice, Eurazeo y Merrill Lynch; volvió a bolsa en París en abril de 2007. Creció por compras (Hagemeyer en 2008, con Sonepar), salió de mercados sin escala (Oriente Medio, Nueva Zelanda y Finlandia en 2025) y desde 2021, con Guillaume Texier, se ha orientado a Norteamérica y a segmentos de crecimiento: 21 compras con 2.800 M de ventas desde 2021 [1]. En septiembre de 2024 el consejo rechazó una propuesta no vinculante de QXO a 28,00-28,40 EUR por acción con el apoyo de Cevian [21]. En 2026 anunció la mayor compra de su historia reciente, GCG, por 1.400 M USD [20].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1967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como CDME en Francia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Vuelta a bolsa en Euronext París tras la compra apalancada de CD&amp;R, Eurazeo y Merrill Lynch (2004)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Hagemeyer junto con Sonepar: entrada fuerte en el norte de Europa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Cevian Capital propone su primer consejero (mayo de 2017); hoy es el primer accionista (23,3 % a dic-25)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Guillaume Texier, consejero delegado; plan Power Up 2025 y giro a Norteamérica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Rechazo de la propuesta de QXO a 28,00-28,40 EUR por acción (sep-24) [21]; multa de 124 M de la Autoridad de la Competencia francesa (oct-24)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Axelerate 2028; ventas de Oriente Medio, Nueva Zelanda y Finlandia [1,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OCEANE de 400 M, compras de TC 360, Revere y DEE, y acuerdo para comprar GCG por 1.400 M USD con ampliación de 500 M [4, 10, 20]</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Rexel distribuye material eléctrico profesional (cable, aparellaje, iluminación, climatización, solar, recarga, automatización, datos y seguridad) a instaladores, contratistas, industria y grandes cuentas, desde 1.876 sucursales en 17 países con 26.306 empleados [4]. En 2025 vendió 19.415 M: Europa 48 %, Norteamérica 46 % y Asia-Pacífico 6 % [1]. El 81 % fueron ventas desde almacén y el 19 % directas (sobre todo en Norteamérica, 37 % de sus ventas) [1]. Las ventas digitales son el 35 % del total en el 1S26 (44 % en Europa) [4]. Clientes por mercado final: residencial, no residencial e industrial, con los segmentos de transición energética (22 % de las ventas europeas) y centros de datos (9 % de EE. UU.) como motores recientes [4].</w:t>
      </w:r>
    </w:p>
    <w:p>
      <w:pPr>
        <w:pStyle w:val="Heading2"/>
      </w:pPr>
      <w:r>
        <w:t xml:space="preserve">Cómo gana dinero</w:t>
      </w:r>
    </w:p>
    <w:p>
      <w:pPr>
        <w:spacing w:after="100"/>
      </w:pPr>
      <w:r>
        <w:t xml:space="preserve">Compra a fabricantes (Schneider, Legrand, ABB, Siemens, Eaton, Prysmian…) y revende con un margen bruto del 25,1 % de las ventas en 2025 [1]. El beneficio depende del volumen (apalancamiento operativo: el +4,8 % de ventas del 1S26 subió el margen EBITA ajustado 28 puntos básicos) y del precio: el cable (16 % de las ventas en 2025, con un 60 % de cobre en su composición) traslada el precio del metal, con efecto no recurrente que la empresa aísla en su EBITA ajustado [1, 4]. Los gastos de personal y logística son casi fijos a corto plazo; la productividad (ventas por empleado +4 % en el 1S26) y la digitalización sostienen el margen [4]. Estacionalidad baja; el circulante comercial ronda el 15-16 % de las ventas y la caja se concentra en el cuarto trimestre [1, 13].</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Europa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9.403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Norteamérica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Asia-Pacífico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9"/>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Europa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9.619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9.551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9.403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Norteamérica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8.462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Asia-Pacífico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Base muy atomizada: cientos de miles de instaladores y pymes (855.000 cuentas activas en digital) más grandes cuentas industriales y de proyectos [1]. Ningún cliente es significativo en las cuentas. No hay contratos plurianuales salvo en proyectos y servicios; la fidelidad se gana con disponibilidad, crédito comercial y servicio. Poder de precios demostrado en 2021-2023 (orgánico de dos dígitos en 2022 con la inflación) y de nuevo en 2026: precios +3,3 % frente a una inflación de costes del 2,5 % en el 1S26 [13]. En 2024-2025, con la construcción residencial europea en mínimos, los precios no cable cayeron más de dos años y el margen bajó del 6,8 % al 5,9 % [1, 13]. En Francia, el residencial es el 38 % de las ventas, el industrial el 17 % y el resto no residencial (oficinas, comercio, sanidad, obra pública)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a días constantes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 (2025); +7,3 % (9M26)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puntos frente a 2024</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3T26 +11,4 % (consenso previo +6,6 %), la mayor subida trimestral desde 2022: volumen +6,3 puntos, precio del cable +2,9 y del resto +2,2 [15, 17]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EBITA corriente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 (2025); 6,2 %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y +0,4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elevada dos veces: c. 6,2 % en febrero, ≥ 6,2 % en julio y ≥ 6,4 % el 22-oct; objetivo a medio plazo por encima del 7 % [1, 4, 15]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digitales sobre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 (2025); 36 %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3T26: Europa 44 %, Norteamérica 31 % (+6 puntos en un año), Asia-Pacífico 23 % [15]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Centros de datos sobre ventas en EE. UU.</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 13 % (3T26), crecen a tres cifras</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9 % en el 2T26; c. 25 % de la cartera de EE. UU.; cartera de Norteamérica de 3.053 M USD a sep-26 (+42 % sobre dic-25, 3,4 meses de ventas) [4, 16]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Conversión de caja (FCF antes de intereses e impuestos / EBITDAaL)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 incluye la multa de 124 M de la Autoridad de la Competencia; guía 2026 &gt; 65 %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Ratio de deuda (DN / EBITDAaL, contrato bancario)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2,03x (dic-25)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 Revere y TC 360 y dividendo; objetivo c. 2x desde 2027 tras GCG [4,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Cartera de pedidos de Norteamérica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2.150 M USD (dic-25)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3.053 M USD (sep-26)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3,4 meses de ventas totales u 8,3 meses de la actividad de proyectos; 3.001 M USD en jun-26 [16]</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Distribución profesional de material eléctrico y segmentos adyacentes (solar, recarga, climatización, automatización, datos y seguridad) en los 17 países donde opera Rexel. Se usa la estimación de la propia empresa (mercado direccionable de ≈ 320.000 M, de ellos ≈ 220.000 M de distribución eléctrica básica de crecimiento bajo-medio y ≈ 100.000 M de adyacentes de más crecimiento) [1]. No hay una segunda fuente independiente gratuita del mismo perímetro: como contraste, Sonepar, el líder, vendió 33.600 M en 2025 [22] y Graybar 12.876 M USD [23], de modo que los cinco primeros suman algo más de 85.000 M, alrededor de una cuarta parte del mercado estimado.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320.000 M EUR de mercado direccionable en 2025 (estimación de Rexel)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Recuperación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Electrificación y transición energética (solar, bombas de calor, recarga)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Climatización, solar y recarga +c. 13 % en Europa en el 3T26 y más del 20 % de las ventas de la región (+15 % y 22 % en el 2T26) [13, 15]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Centros de datos e infraestructura eléctrica en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 13 % de las ventas de EE. UU. en el 3T26 (9 % en el 2T26), crecen a tres cifras; cartera de Norteamérica de 3.053 M USD a sep-26, +42 % sobre dic-25, un 25 % de centros de datos [15, 16]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Construcción residencial y no residencial en Europa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Europa −2,4 % orgánico en 2024, +3,2 % en 9M26 y +4,5 % en el 3T26; Reino Unido e Irlanda planos (−0,1 %) y Francia +3,6 % en el 3T26 [1, 15]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del cobre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Cobre a 12.201 EUR/t en el 3T26 (+45 % interanual); precio del cable +2,9 puntos de contribución al crecimiento del 3T26 (+2,2 en el 2T26). El cable es c. 16 % de las ventas [13, 15]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Digitalización e IA en la venta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digitales del 36 % en el 3T26 (35 % en el 1S26); en Norteamérica 31 %, +6 puntos en un año [13, 15]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Tipos de interés y prima de riesgo (Francia)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OAT a 10 años por encima del 5 % la semana del 19-23 oct (5,14 % el 22-oct) frente al Bund al 3,39 % el 23-oct: diferencial de ≈ 1,6-1,75 puntos; Moody's mantuvo Francia en Aa3 negativa el 23-oct [24, 27]</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Sonepar (33.600 M) dobla a Rexel; en EE. UU. compiten WESCO, Graybar, CED y cientos de independientes; márgenes EBIT del 4-7 % [22, 23, 26]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atomizados (855.000 cuentas digitales) que valoran disponibilidad y crédito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Fabricantes concentrados (Schneider, Legrand, ABB, Siemens) con marcas que el instalador exige; rappels y acuerdos anuales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 de sucursales, logística y escala de compra difíciles de replicar; Amazon Business no ha cambiado la cuota en material técnico</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 directa del fabricante limitada a grandes proyectos; la venta digital la captura el propio distribuidor (35 % de las ventas) [13]</w:t>
            </w:r>
          </w:p>
        </w:tc>
      </w:tr>
    </w:tbl>
    <w:p>
      <w:pPr>
        <w:spacing w:after="160" w:before="0"/>
      </w:pPr>
    </w:p>
    <w:p>
      <w:pPr>
        <w:pStyle w:val="Heading2"/>
      </w:pPr>
      <w:r>
        <w:t xml:space="preserve">Ciclo</w:t>
      </w:r>
    </w:p>
    <w:p>
      <w:pPr>
        <w:spacing w:after="100"/>
      </w:pPr>
      <w:r>
        <w:t xml:space="preserve">Volumen positivo en las tres regiones desde el 2T26 y acelerando en el 3T26 (+6,3 puntos de contribución, con precios de cable y no cable al alza en las tres regiones) [13, 15]: Norteamérica ya está en expansión (+17,4 % en el 3T26) y Europa en recuperación (+4,5 %). Rexel cayó un 2,4 % orgánico en 2024 con la construcción residencial europea en mínimos [1]; en 2020 vendió 12.593 M (−8 %) y perdió dinero por deterioros, y en 2022 creció más del 20 % con la inflación del cobre [3]. Riesgo: que la OAT por encima del 5 % y la incertidumbre presupuestaria frenen la reforma residencial y la obra pública en Francia [27].</w:t>
      </w:r>
    </w:p>
    <w:p>
      <w:pPr>
        <w:pStyle w:val="Heading2"/>
      </w:pPr>
      <w:r>
        <w:t xml:space="preserve">Regulación</w:t>
      </w:r>
    </w:p>
    <w:p>
      <w:pPr>
        <w:spacing w:after="100"/>
      </w:pPr>
      <w:r>
        <w:t xml:space="preserve">La transición energética europea (Directiva de eficiencia energética de edificios, ayudas a bombas de calor y solar) sostiene la demanda; en Francia, MaPrimeRénov' y los certificados de ahorro energético dependen del presupuesto anual [1]. Derecho de la competencia: la Autoridad francesa multó a Rexel con 124 M en octubre de 2024 por prácticas en la fijación de precios con fabricantes (pagado en abril de 2025) y hay demandas civiles derivadas [1]. Fiscal: contribución excepcional sobre el beneficio de grandes empresas en Francia (23,5 M en 2025 y 14,4 M en el 1S26) [1, 13].</w:t>
      </w:r>
    </w:p>
    <w:p>
      <w:pPr>
        <w:pStyle w:val="Heading2"/>
      </w:pPr>
      <w:r>
        <w:t xml:space="preserve">Tendencias y disrupción</w:t>
      </w:r>
    </w:p>
    <w:p>
      <w:pPr>
        <w:spacing w:after="100"/>
      </w:pPr>
      <w:r>
        <w:t xml:space="preserve">Gana con la electrificación (solar, recarga, climatización), con la automatización industrial y con los centros de datos en Norteamérica, donde Rexel ha comprado capacidades de servicio avanzado (Talley, Revere, TC 360, DEE, GCG) [13, 20]. La digitalización (35 % de ventas) y la IA aplicada a ofertas y surtido mejoran productividad [13]. Riesgo de desintermediación limitado: el instalador necesita stock local y crédito.</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2.º distribuidor de material eléctrico del mundo por ventas tras Sonepar; ≈ 6 % del mercado direccionable estimado por la empresa (≈ 9 % de la distribución eléctrica básica) [1, 22]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Sonepar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mundial, familiar y no cotizada; récord de ventas en 2025 y fuerte crecimiento en América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WESCO International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WCC</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20.945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en EE. UU. tras comprar Anixter (2020); muy expuesto a centros de datos [26]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Graybar Electric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11.471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Propiedad de sus empleados; presenta 10-K en la SEC (12.876 M USD de ventas en 2025)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Solar A/S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Dinamarca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SOLAR-B.CO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Distribuidor nórdico cotizado; margen muy bajo en 2025 [26]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6" name="Gráfico 6"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7" name="Gráfico 7"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proveedores y clientes en la plataforma digital mejoran el surtido, pero no hay efecto de red fuerte</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Integración EDI/ERP con grandes cuentas y crédito comercial; el instalador cambia de sucursal con facilidad</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Acuerdos de distribución autorizada (Rockwell en Revere) [3]; la marca pesa poco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de compra y logística: margen EBITA ajustado del 6,0-7,3 % en 2022-2025 frente al 4,5-5,3 % EBIT de Graybar y WESCO [1, 9, 12]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Densidad de sucursales en Francia, Benelux, Suecia y regiones de EE. UU. donde es 1.º o 2.º [1]</w:t>
            </w:r>
          </w:p>
        </w:tc>
      </w:tr>
    </w:tbl>
    <w:p>
      <w:pPr>
        <w:spacing w:after="160" w:before="0"/>
      </w:pPr>
    </w:p>
    <w:p>
      <w:pPr>
        <w:pStyle w:val="Heading2"/>
      </w:pPr>
      <w:r>
        <w:t xml:space="preserve">Amenazas</w:t>
      </w:r>
    </w:p>
    <w:p>
      <w:pPr>
        <w:spacing w:after="100"/>
      </w:pPr>
      <w:r>
        <w:t xml:space="preserve">Sonepar (33.600 M, familiar) gana cuota en América y Europa con más escala [22]; WESCO y Graybar compiten en centros de datos en EE. UU. [23, 26]; los fabricantes (Schneider, ABB, Legrand) venden directo a los grandes instaladores y a los centros de datos; y las plataformas digitales y Amazon Business presionan los precios de los productos estándar. La competencia de material chino barato afecta sobre todo a los fabricantes; al distribuidor, si deflacta los precios, lo que hoy no se ve (precios no cable +2,2 puntos en el 3T26) [15].</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14.690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18.702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19.285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19.415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t xml:space="preserve">Crecimiento anual compuesto 2021-2025: ingresos </w:t>
      </w:r>
      <w:r>
        <w:rPr>
          <w:b/>
          <w:bCs/>
        </w:rPr>
        <w:t xml:space="preserve">7,2 %</w:t>
      </w:r>
      <w:r>
        <w:t xml:space="preserve">, EBITDA </w:t>
      </w:r>
      <w:r>
        <w:rPr>
          <w:b/>
          <w:bCs/>
        </w:rPr>
        <w:t xml:space="preserve">5,1 %</w:t>
      </w:r>
      <w:r>
        <w:t xml:space="preserve">, BPA </w:t>
      </w:r>
      <w:r>
        <w:rPr>
          <w:b/>
          <w:bCs/>
        </w:rPr>
        <w:t xml:space="preserve">0,4 %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Las ventas pasaron de 14.690 M en 2021 a 19.415 M en 2025 (TCAC del 7,2 %, con +27 % en 2022 por la inflación del cobre y las compras; +0,7 % en 2024 y 2025) [1, 3]. El margen EBITDA de la empresa bajó del 9,0 % de 2022 al 8,0 % de 2025 (−100 pb): menos inflación de precios, volúmenes débiles en Europa y costes de personal [1]. Las compras (≈ 2.000 M en cinco años) añadieron cerca de 2 puntos al año de crecimiento [1, 14]. El BPA publicado cayó de 3,04 € (2022) a 1,13 € (2024, con la multa de 124 M) y volvió a 1,99 € en 2025; en los últimos 12 meses a junio de 2026, 2,26 €, con el EBITDA a 1.601 M (8,2 %) [4, 5]. 2026 acelera: 9M26 +6,2 % publicado y +7,3 % a días constantes, con el 3T a +11,4 % (Norteamérica +17,4 %, Europa +4,5 %) [15]. La mejora del margen viene de Norteamérica (margen EBITA del 7,4 % en el 1S26) y no de Europa (5,7 %) [4].</w:t>
      </w:r>
    </w:p>
    <w:p>
      <w:pPr>
        <w:pStyle w:val="Heading2"/>
      </w:pPr>
      <w:r>
        <w:t xml:space="preserve">Ajustes y partidas no recurrentes</w:t>
      </w:r>
    </w:p>
    <w:p>
      <w:pPr>
        <w:spacing w:after="100"/>
      </w:pPr>
      <w:r>
        <w:t xml:space="preserve">Usamos cifras publicadas. El EBITDA de la empresa excluye los otros ingresos y gastos (reestructuración, deterioros, multa de 2024, plusvalías), que en la cuenta van como no recurrentes dentro del EBITDA. La empresa publica además un EBITA corriente ajustado (sin efecto cobre ni amortización de intangibles de compras): 1.163 M en 2025 (6,0 %) [1]; el consenso de EBIT es ese EBITA y su BPA, el recurrente ajustado.</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14"/>
        <w:gridCol w:w="1220"/>
        <w:gridCol w:w="1220"/>
        <w:gridCol w:w="1220"/>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5.453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Lo que dijo la dirección en las últimas presentaciones</w:t>
      </w:r>
    </w:p>
    <w:p>
      <w:pPr>
        <w:spacing w:after="100"/>
      </w:pPr>
      <w:r>
        <w:t xml:space="preserve">En el 3T26 (22-oct, tras el cierre) la dirección elevó la guía por segunda vez: ventas a días constantes c. +7 % (antes c. +5 %; 3-5 % en febrero) y margen EBITA corriente ajustado de al menos el 6,4 % (antes ≥ 6,2 %), con la conversión de FCF &gt; 65 % sin cambios [15, 16]. Las ventas (+11,4 %) batieron el +6,6 % del consenso previo [17]: centros de datos a tres cifras (c. 13 % de las ventas de EE. UU.), automatización +20 % y cartera de Norteamérica de 3.053 M USD (+42 % sobre dic-25) [16]. El consejero delegado dijo a Reuters que hay «un contraste real entre el nerviosismo de los mercados y unos resultados sin signos de debilidad» y que la ampliación deja margen para más compras [19]. Frente al 1S26 (27-jul), cuando avisó de que el margen del 2S no mejoraría como de costumbre por la mezcla y los costes de explotación [4, 18], el tono es más firme y el margen guiado sube. Lo que no se ha publicado: el margen del 2S en cifras y el EBITDA de GCG sin sinergias; la transcripción del 3T es de pago y no la hemos leído (hueco) [7].</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11.554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12.910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13.650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14.408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14.367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2.875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3.625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5.394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(2021: Compras en Norteamérica y Europa en 2021-2023 (entre ellas Mayer, Buckles-Smith y Wasco): el crecimiento de 2022 lleva perímetro y la inflación del cobre; 2025: Venta de Oriente Medio (ene-25), Nueva Zelanda (feb-25) y Finlandia (sep-25, plusvalía de 39 M); compras de Warshauer, Schwing, Jacmar y Tecno Bi (c. 247 M de ventas anuales)).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La deuda neta con arrendamientos subió de 2.718 M (2021) a 4.076 M (2025) por las compras y las recompras, y a 4.892 M a 30-jun-2026; con GCG (1.251 M) y menos la ampliación (≈ 490 M netos), la deuda neta ajustada es de 5.953 M, 3,7 veces el EBITDA de los últimos 12 meses (3,0 sin pensiones ni otros ajustes) [1, 5]. Es mucha deuda para un distribuidor cíclico: la empresa apunta a ≈ 2 veces sin arrendamientos y la cobertura de intereses ha bajado de 26x (2022) a 8,3x (2025). El circulante se mantiene en el 14-15 % de las ventas. Liquidez holgada: 1.034 M de caja y 900 M de línea sindicada sin disponer [5].</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Acumulado 2021-2025: FCF </w:t>
      </w:r>
      <w:r>
        <w:rPr>
          <w:b/>
          <w:bCs/>
        </w:rPr>
        <w:t xml:space="preserve">2.376</w:t>
      </w:r>
      <w:r>
        <w:t xml:space="preserve">, conversión </w:t>
      </w:r>
      <w:r>
        <w:rPr>
          <w:b/>
          <w:bCs/>
        </w:rPr>
        <w:t xml:space="preserve">74 %</w:t>
      </w:r>
      <w:r>
        <w:t xml:space="preserve"> del beneficio neto; adquisiciones 2.031, dividendos 1.444, recompras 396.</w:t>
      </w:r>
    </w:p>
    <w:p>
      <w:pPr>
        <w:spacing w:after="100"/>
      </w:pPr>
      <w:r>
        <w:t xml:space="preserve">El FCF (flujo operativo − capex − pagos de arrendamientos) sumó 2.376 M en 2021-2025, con una conversión media del 74 % del beneficio [1]. 2024 (147 %) está inflado porque el beneficio bajó por la multa sin salida de caja; 2022 (54 %) refleja la subida del circulante con la inflación. El capex en inmovilizado es bajo (0,7-0,8 % de las ventas, sobre todo sistemas digitales y almacenes) y casi todo es de mantenimiento; los arrendamientos (≈ 250 M al año) son el coste real de la red. La caja se fue a compras (2.031 M), dividendos (1.444 M) y recompras (396 M): más de lo generado, por eso subió la deuda [1]. En 2026 la subida de ventas y del cobre consumirá circulante: la guía de conversión (&gt; 65 %) no se elevó [15].</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Audit y KPMG (cocomisarios)</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en 2025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Auditan PwC y KPMG, con opinión sin salvedades [1]. Las señales son buenas: Beneish de −2,57 (sin manipulación aparente), Piotroski de 8 sobre 9 y Altman en zona gris (2,86), propia de un distribuidor apalancado. Los otros gastos se repiten todos los años (45-258 M en 2021-2025: reestructuración, deterioros en Asia y la multa de 2024), así que el BPA ajustado que usa el consenso es optimista; nosotros usamos el publicado. El fondo de comercio (3.908 M) es el 41 % del capital invertido; la UGE Francia lleva 1.363 M con un WACC del 8,7 % en la prueba de deterioro [1]. La titulización sin recurso (194 M) reduce la deuda contable. No vemos capitalización agresiva de gastos ni cambios de criterio.</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Otros gastos recurrentes (reestructuración y deterioros todos los años)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45-258 M al año en 2021-2025: el BPA ajustado del consenso los excluye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Titulización de clientes sin recurso fuera de balance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193,6 M a junio de 2026, sumados a la deuda en el puente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Fondo de comercio alto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3.908 M, el 41 % del capital invertido; la UGE Francia (1.363 M) es sensible al WACC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 impositivo de 2024 (46,6 %)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Multa no deducible de 124 M; puntual [1].</w:t>
            </w:r>
          </w:p>
        </w:tc>
      </w:tr>
    </w:tbl>
    <w:p>
      <w:pPr>
        <w:spacing w:after="160" w:before="0"/>
      </w:pPr>
    </w:p>
    <w:p>
      <w:pPr>
        <w:pStyle w:val="Heading1"/>
      </w:pPr>
      <w:r>
        <w:t xml:space="preserve">10. Rentabilidad sobre 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8.370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9.115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9.455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pStyle w:val="Heading2"/>
      </w:pPr>
      <w:r>
        <w:t xml:space="preserve">Fondo de comercio y compras</w:t>
      </w:r>
    </w:p>
    <w:p>
      <w:pPr>
        <w:spacing w:after="100"/>
      </w:pPr>
      <w:r>
        <w:t xml:space="preserve">Fondo de comercio: 3.908 M en 2025 (el 42 % del capital invertido medio); ha subido más de un 5 % en 2 de 4 años: compras pequeñas. ROIC publicado 8,3 %; sin fondo de comercio, 14,2 %. El ROIC sin fondo de comercio mide el rendimiento del negocio operativo; decide el publicado (§4.1) y la cifra sin fondo de comercio es dato para una excepción razonada.</w:t>
      </w:r>
    </w:p>
    <w:p>
      <w:pPr>
        <w:spacing w:after="100"/>
      </w:pPr>
      <w:r>
        <w:rPr>
          <w:b/>
          <w:bCs/>
        </w:rPr>
        <w:t xml:space="preserve">ROIC incremental</w:t>
      </w:r>
      <w:r>
        <w:t xml:space="preserve"> (variación del NOPAT sobre variación del capital invertido en el periodo): 2,1 % · </w:t>
      </w:r>
      <w:r>
        <w:rPr>
          <w:b/>
          <w:bCs/>
        </w:rPr>
        <w:t xml:space="preserve">WACC</w:t>
      </w:r>
      <w:r>
        <w:t xml:space="preserve">: 8,3 %.</w:t>
      </w:r>
    </w:p>
    <w:p>
      <w:pPr>
        <w:spacing w:after="100"/>
      </w:pPr>
      <w:r>
        <w:t xml:space="preserve">El ROIC (con fondo de comercio) fue del 10-13 % en 2021-2023, con los precios de pico, y bajó al 7,3 % en 2024 y al 8,3 % en 2025, igual que el WACC (8,29 %): hoy Rexel apenas cubre su coste de capital sobre todo el capital, aunque sin el fondo de comercio el ROIC es del 14,2 %. Lo mueve el margen (EBITA del 5,8-7,1 %) más que la rotación (1,35 veces). El ROIC incremental de 2021-2025 fue del 2,1 %: las compras han añadido capital más deprisa que beneficio. Los distribuidores americanos (Grainger, Watsco, Ferguson) tienen ROIC del 20-30 % y WESCO de ≈ 9 % [41]. </w:t>
      </w:r>
      <w:r>
        <w:rPr>
          <w:b/>
        </w:rPr>
        <w:t xml:space="preserve">ROIC − WACC: 0,0 puntos</w:t>
      </w:r>
      <w:r>
        <w:t xml:space="preserve">. Con el margen guiado de 2026 (≥ 6,4 % de EBITA ajustado) el ROIC subiría hacia el 9 %.</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4.892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1.061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5.953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1.034 M a 30-jun-26; la línea sindicada (900 M a 31-dic-25) estaba sin disponer [1, 5]; ampliación de capital de 500 M cobrada el 1-oct-26 [8]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Moody's Ba1, perspectiva estable (31-ago-26); S&amp;P BB+, perspectiva estable (3-ago-26) [11, 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Titulización de clientes sin recurso fuera de balance (193,6 M; programa francés de 420 M), que sumamos a la deuda en el puente; pagos aplazados de compras (41,1 M) [1, 5]. DEE Electronics (≈ 50 M USD de ventas) se cerró el 10-jul, después del balance del puente; su precio no se ha publicado y no se resta [16].</w:t>
      </w:r>
    </w:p>
    <w:p>
      <w:pPr>
        <w:pStyle w:val="Heading1"/>
      </w:pPr>
      <w:r>
        <w:t xml:space="preserve">12. Asignación de capital</w:t>
      </w:r>
    </w:p>
    <w:p>
      <w:pPr>
        <w:pStyle w:val="Confianza"/>
        <w:spacing w:after="100"/>
      </w:pPr>
      <w:r>
        <w:t xml:space="preserve">Confianza: Media</w:t>
      </w:r>
    </w:p>
    <w:p>
      <w:pPr>
        <w:spacing w:after="100"/>
      </w:pPr>
      <w:r>
        <w:t xml:space="preserve">Dividendo de al menos el 40 % del beneficio neto recurrente: 1,20 EUR por acción con cargo a 2022, 2023, 2024 y 2025 (pagado el 13-may-26) [1]. Recompras de 96,6 M en 2025 y 102,0 M en 2024, con amortización de acciones (14,7 M de nominal en 2025) [1]. Prioridades de Axelerate 2028: compras selectivas autofinanciadas (2-3 puntos de crecimiento al año) y ratio de deuda en torno a 2x [7, 14]. En 2026: OCEANE de 400 M al 1 % con conversión a 50,30 EUR (mayo) [10] y ampliación de 500 M a 34,75 EUR (septiembre) para GCG [8].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GCG (cable especial y conectividad, EE. UU.; c. 1.100 M USD de ventas, margen EBITA c. 11 %)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1.247</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c. 800 M de deuda y ampliación de 500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Pendiente de cierre (previsto a final de 2026); &lt; 8x EBITDAaL 2026e con sinergias según la empresa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Revere Electrical Supply (automatización, Illinois; c. 330 M USD de ventas), TC 360 (Canadá, 85 M CAD) y DEE Electronics (50 M USD)</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Inversión financiera de 398 M en el 1S26 (Revere y TC 360); precios no publicados por separado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Warshauer, Schwing (EE. UU.), Jacmar (Canadá), Tecno Bi (Italia)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Contraprestación de 252,3 M, c. 247 M de ventas anuales; &lt; 1,5 % del EBITA en el año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Talley (inalámbrico, EE. UU.), Itesa (seguridad, Francia), Electrical Supplier (Florida)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Pago aplazado de Talley de 102,8 M en 2025; sin deterioros de esos fondos de comercio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Wasco (Países Bajos), Buckles-Smith (EE. UU.) y otras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687</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Salida de caja de 686,6 M en compras en 2023 [3]</w:t>
            </w:r>
          </w:p>
        </w:tc>
      </w:tr>
    </w:tbl>
    <w:p>
      <w:pPr>
        <w:spacing w:after="160" w:before="0"/>
      </w:pPr>
    </w:p>
    <w:p>
      <w:pPr>
        <w:spacing w:after="100"/>
      </w:pPr>
      <w:r>
        <w:t xml:space="preserve">La dirección reparte bien (dividendo de 1,20 € estable y recompras de ≈ 100 M al año) pero compra caro para lo que rinde: 2.031 M en compras en cinco años con un ROIC incremental del 2,1 % [1]. GCG (≈ 1.251 M, &lt; 8 veces el EBITDAaL con sinergias) es la mayor compra en más de 15 años y la primera financiada en parte con una ampliación (500 M a 34,75 €, por encima del precio de hoy) [7, 8]: protege el rating, pero diluye un 4,8 % y contradice la política de compras autofinanciadas de Axelerate 2028 [14]. Son cuatro compras en Norteamérica en 2026 [15]. La OCEANE de 400 M al 1 % (conversión a 50,30 €) abarata la deuda [10]. Veredicto: correcta pero sin crear valor demostrado; el examen es el margen de GCG en 2027.</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Guillaume Texier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en Saint-Gobain desde 2005, donde llegó a director financiero del grupo [1]. En Rexel desde sep-2021: margen EBITA ajustado entre el 5,9 % y el 7,3 % en 2022-2025, rotación hacia Norteamérica (46 % de las ventas en 2025) y 21 compras desde 2021 con 2.800 M de ventas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Agnès Touraine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no ejecutiva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desde febrero de 2017 y presidenta desde el 1-sep-2023; fundadora y consejera delegada de Act III Consultants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François Auque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y presidente de la comisión de auditoría y riesgos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Antiguo director financiero de Aerospatiale Matra; consejero de Rexel desde mayo de 2019 y presidente de la comisión de auditoría y riesgos, reelegido en abril de 2026 [1, 28].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Robert Schuchna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dominical (Cevian)</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Socio de Cevian Capital desde 2011; cooptado el 15-oct-2025 en sustitución de otro consejero de Cevian, ratificado en la junta de 2026 [1, 28]. Compró 15.000 acciones a 32,44 EUR el 3-dic-2025 [29].</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inicial de febrero de 2024, rebajada durante el año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−2,4 % a días constantes; margen EBITA ajustado del 5,9 %; conversión de caja del 76 %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estables a ligeramente positivas, margen EBITA ajustado c. 6 %, conversión c. 65 % (sin la multa); elevada en oct-25 a «ligeramente positivas» y &gt; 65 %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+2,5 %, margen 6,0 %, conversión 76 % sin la multa</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+3-5 %, margen c. 6,2 %, conversión &gt; 65 % (feb-26); elevada el 27-jul a c. +5 % y al menos 6,2 %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1S26: +5,1 % a días constantes y margen del 6,2 %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2025-2028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Axelerate 2028: crecimiento del 5-8 % con 2-3 puntos de compras, margen EBITA ajustado &gt; 7 %, conversión media del 65 %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Vigente; reiterado el 27-jul-26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Guillaume Texier, consejero delegado desde 2021, ha cumplido o elevado la guía en 2024-2026 salvo el margen de 2024; en 2026 la ha elevado dos veces (julio y octubre) [4, 15]. El equipo es estable. La venta de Texier el 17-jun-2026 (11.500 acciones a 38,00 €) es pequeña frente a su participación y la compra de Robert Schuchna (Cevian) en diciembre de 2025 (15.000 a 32,44 €) va en sentido contrario [29]; no hay más operaciones de directivos en la BDIF hasta el 26-oct [29]. No hay plan de sucesión público.</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 (2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Agnès Touraine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o más comisiones (detalle en el URD)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François Auque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Steven Borges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o más comisiones (detalle en el URD)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Brigitte Cantaloube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Barbara Dalibard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gobierno y RSC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Eric Labaye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o más comisiones (detalle en el URD)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Catherine Vandenborre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o más comisiones (detalle en el URD)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Robert Schuchna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o más comisiones (detalle en el URD)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Guillaume Texier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Antoine Hermelin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en representación de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o más comisiones (detalle en el URD)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Toni Killebrew</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en representación de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Una o más comisiones (detalle en el URD)</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64 %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en 2025</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0,49 / ventas 0,44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Cevian Capital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activista (dominical)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Vendió en mercado y bajó del 20 % el 21-may-2026: 59,18 M de acciones (19,93 % del capital de entonces), desde 69,1 M a dic-25 (23,3 %); ≈ 19,0 % tras la ampliación del 1-oct-26 si no acudió [1, 9, 31]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Principal Global Investors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Supera el 5 % el 3-feb-2026 con 15,01 M de acciones; ≈ 4,8 % sobre el capital de oct-26 si no ha cambiado [9, 33]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Cruza el 5 % cuatro veces en enero de 2026 (último aviso: 14,83 M de acciones el 30-ene); ≈ 4,8 % sobre el capital de oct-26 [9, 34]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Norges Bank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soberano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del 5 % desde ago-25 (4,83 % a dic-25)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Pzena Investment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 del 5 % el 18-mar-2026 (14,76 M de acciones, 4,98 %) [32]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Empleados y FCPE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Empleados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2,94 M de acciones a 1-oct-26 [9]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17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Guillaume Texier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Robert Schuchna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0,49</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1,86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Fijo de 820.227 EUR en 2025 y variable anual objetivo del 130 % del fijo desde 2026 (120 % en 2025), con criterios mayoritariamente financieros (EBITA, ventas, caja) y una parte ESG [1]. El variable a largo plazo son acciones de rendimiento valoradas en 1,86 M en 2025, sujetas a condiciones medidas en al menos tres años; el 78 % del paquete depende de resultados [1]. Total devengado de 4,02 M en 2025 frente a 3,16 M en 2024; la relación con la retribución media de la plantilla subió de 18 veces en 2021 a 51 en 2025 [1]. Indemnización por cese condicionada al EBITA y sin pacto de no competencia [1]. La junta del 22-abr-2026 aprobó todas las resoluciones de retribución; el porcentaje de voto no se ha comprobado [28].</w:t>
      </w:r>
    </w:p>
    <w:p>
      <w:pPr>
        <w:pStyle w:val="Heading2"/>
      </w:pPr>
      <w:r>
        <w:t xml:space="preserve">Operaciones vinculadas, estructura de control y defensas</w:t>
      </w:r>
    </w:p>
    <w:p>
      <w:pPr>
        <w:spacing w:after="100"/>
      </w:pPr>
      <w:r>
        <w:t xml:space="preserve">Sin accionista de control: Cevian, con ≈ 19 % tras sus ventas de mayo de 2026 y la ampliación de octubre, tiene un consejero de once y apoyó al consejo cuando rechazó la propuesta de QXO a 28,00-28,40 EUR en septiembre de 2024 [1, 21, 31]. Una acción, un voto (los estatutos no dan voto doble, aunque la ley francesa lo permitiría) [1]. Siete de los nueve consejeros no laborales son independientes, presidencia y dirección separadas. No hay operaciones vinculadas relevantes en el URD [1]. El riesgo para el minoritario es de liquidez y de precio, no de control: Cevian ya vendió ≈ 10 M de acciones en mercado hasta el 21-may-2026 y le quedan 59,2 M (≈ 1.930 M EUR a 32,63 EUR) [31]; la ampliación lleva un compromiso de no emitir de la empresa de 90 días, hasta finales de diciembre de 2026 [8].</w:t>
      </w:r>
    </w:p>
    <w:p>
      <w:pPr>
        <w:pStyle w:val="Heading2"/>
      </w:pPr>
      <w:r>
        <w:t xml:space="preserve">Señales de alerta</w:t>
      </w:r>
    </w:p>
    <w:p>
      <w:pPr>
        <w:pStyle w:val="ListParagraph"/>
        <w:numPr>
          <w:ilvl w:val="0"/>
          <w:numId w:val="2"/>
        </w:numPr>
        <w:spacing w:after="60"/>
      </w:pPr>
      <w:r>
        <w:t xml:space="preserve">Multa de 124 M de la Autoridad de la Competencia francesa (29-oct-2024) por prácticas en precios con proveedores, recurrida, y demandas civiles derivadas [1].</w:t>
      </w:r>
    </w:p>
    <w:p>
      <w:pPr>
        <w:pStyle w:val="ListParagraph"/>
        <w:numPr>
          <w:ilvl w:val="0"/>
          <w:numId w:val="2"/>
        </w:numPr>
        <w:spacing w:after="60"/>
      </w:pPr>
      <w:r>
        <w:t xml:space="preserve">Venta del consejero delegado: 11.500 acciones a 38,00 EUR el 17-jun-2026 (0,44 M), tras recibir 85.542 acciones gratuitas el 21-abr-2026 [29]. Sin más operaciones de directivos en la BDIF hasta el 26-oct [29].</w:t>
      </w:r>
    </w:p>
    <w:p>
      <w:pPr>
        <w:pStyle w:val="ListParagraph"/>
        <w:numPr>
          <w:ilvl w:val="0"/>
          <w:numId w:val="2"/>
        </w:numPr>
        <w:spacing w:after="60"/>
      </w:pPr>
      <w:r>
        <w:t xml:space="preserve">Cevian está vendiendo: bajó de 69,1 M a 59,18 M de acciones (del 23,3 % al 19,9 %) con ventas en mercado hasta el 21-may-2026; con ≈ 19 % del capital y siete años en el accionariado, el riesgo de nuevas ventas o de una colocación acelerada es real [31].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2026 elevada por segunda vez el 22-oct: crecimiento de las ventas a días constantes de c. +7 % (c. +5 % en julio, 3-5 % en febrero), margen EBITA corriente ajustado ≥ 6,4 % (≥ 6,2 % en julio, c. 6,2 % en febrero) y conversión de FCF &gt; 65 % [15, 16]. Axelerate 2028: crecimiento del 5-8 % al año (2-3 puntos con compras), margen EBITA &gt; 7 % y conversión media del 65 % [14, 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20.578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Consenso recogido por Rexel del 5 al 13-oct-26, media de 13 analistas (BPA ajustado; EBIT = EBITA corriente) [17] Tras el 3T26, Yahoo (S&amp;P Global) da BPA 2026e 2,60 € (8 analistas) y 2027e 3,01 € (11) [43].</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22.855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Mismo consenso, con GCG (4 analistas) [17]</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23.906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Mismo consenso, con GCG (4 analistas) [17]</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20.871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20.578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22.958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22.855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24.106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23.906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 2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41,86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30,00 – 46,00</w:t>
            </w:r>
          </w:p>
        </w:tc>
      </w:tr>
    </w:tbl>
    <w:p>
      <w:pPr>
        <w:spacing w:after="160" w:before="0"/>
      </w:pPr>
    </w:p>
    <w:p>
      <w:pPr>
        <w:pStyle w:val="Heading2"/>
      </w:pPr>
      <w:r>
        <w:t xml:space="preserve">Revisiones de estimaciones</w:t>
      </w:r>
    </w:p>
    <w:p>
      <w:pPr>
        <w:spacing w:after="100"/>
      </w:pPr>
      <w:r>
        <w:t xml:space="preserve">Consenso recogido por la empresa del 5 al 13-oct (13 analistas): BPA ajustado de 2,45 € en 2026e y 2,97 € en 2027e con GCG; ventas del 3T esperadas en 5.205 M (+6,6 %) [17]. Tras el 3T (5.453 M), Yahoo (S&amp;P Global) sube el BPA de 2026e de 2,49 € a 2,60 € en una semana y el de 2027e de 2,97 € a 3,01 €; el objetivo medio pasa a 41,86 € (30-46) con 10 de 13 analistas en comprar [43]. Jefferies y AlphaValue anuncian subidas del 7-9 % de sus estimaciones [44]. Las estimaciones completas (EBITDA, EBIT) son las de la empresa, previas al 3T.</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-32,8 %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Rexel ha ganado al mercado a 3, 5 y 10 años (rentabilidad total del 17,0 % anual a 5 años frente al 8,9 % del STOXX 600) por la recuperación de 2021-2023 y la subida de 2025 (+43 %), con la oferta de QXO de 2024 como suelo [21, 40]. En 2026 se ha quedado atrás (+0,3 % frente al +9,9 %): la caída desde el máximo de 39,80 € (15-jul) viene de los resultados del 1S (−4,5 % el 28-jul) por la prudencia sobre los márgenes, de la compra de GCG y la ampliación a 34,75 €, y de la caída en octubre de los distribuidores americanos ligados a centros de datos (WESCO −10,6 % del 22-sep al 22-oct) [4, 8, 41]. Las ventas del 3T, un 5 % por encima del consenso, solo dieron un +2,6 % el 23-oct [44]. Beta de 1,41 y volatilidad del 30,5 %.</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-7,8 % / -4,2 % / -6,4 % / +11,7 %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-14,8 % / +14,7 %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bajista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2027-02-10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sep-oct-2026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caída de un mes en 6 meses (del 22-sep al 22-oct, −14,9 % en cierres): compra de GCG (25-sep) y ampliación de 14,4 M de acciones a 34,75 € (29-sep), que dejó papel nuevo por encima del precio; caída de los distribuidores ligados a centros de datos en EE. UU. (WESCO −10,6 %) y miedo a una burbuja de la IA; el CAC 40 cayó un 4,2 % y el STOXX 600 un 0,6 % en ese mes. La caída se cortó con las ventas del 3T (+2,6 % el 23-oct, con el CAC −0,4 %) [7, 8, 40, 41, 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abr-may-2026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Mayor subida de un mes en 6 meses (hasta el 6-may): mejora de Jefferies a positivo (9-abr), ventas del 1T con guía confirmada y OCEANE de 400 M al 1 % [6, 10, 55].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del 3T26 de 5.453 M (+11,4 % a días constantes frente al +6,6 % del consenso) y guía elevada por segunda vez (ventas c. +7 %, margen EBITA ≥ 6,4 %) [15, 44]. Ya publicadas y recogidas en la proyección.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Jefferies reitera comprar y espera subidas de estimaciones; AlphaValue subirá las suyas un 7-9 % y avisa de un 4T más lento (c. +6,5 %) [44]. Consenso de Yahoo: BPA 2026e de 2,49 € a 2,60 € en una semana; objetivo medio 41,86 € (13 analistas, 10 comprar) [43].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país: Moody's mantuvo a Francia en Aa3 con perspectiva negativa el viernes 23-oct, contra lo que esperaba la mayoría; la OAT a 10 años había superado el 5 % (5,14 % el 22-oct) y el CAC subía un 0,85 % el lunes [27]. Francia es el 19 % de las ventas; la sensibilidad está en el DCF (−19 % con la OAT). El hecho pendiente de la iteración anterior queda resuelto sin daño.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2026-05-21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Cevian bajó del 20 % con ventas en mercado: 59,18 M de acciones (19,93 %), desde 69,1 M a dic-25; hoy ≈ 19 % tras la ampliación [31]. No hay colocación anunciada; el riesgo de nuevas ventas existe pero no tiene fecha ni fuente, y las de mayo se hicieron sin bloque.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2026-09-29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ampliación o convertible</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Ampliación de 14.388.490 acciones a 34,75 € (500 M brutos, ≈ 4,6 % del capital), liquidada el 1-oct, con compromiso de no emitir durante 90 días [8]. Ya hecha: no queda colocación pendiente.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2026-09-25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GCG (cable especial y conectividad en EE. UU.) por ≈ 1.400 M USD, cierre previsto a final de 2026 con autorizaciones de competencia; financiación ya ejecutada [7, 16]. Recogida en la proyección y en el puente.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2026-07-27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 de Armando Martínez (ex consejero delegado de Iberdrola) como censor, futuro consejero [30].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2026-06-17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del consejero delegado de 11.500 acciones a 38,00 € (≈ 0,44 M); pequeña y aislada; sin más operaciones en la BDIF hasta el 26-oct [29].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2026-05-06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ampliación o convertible</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OCEANE de 400 M al 1 % con vencimiento en 2031 y conversión a 50,30 € (fuera de dinero) [10].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2027-02-10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Próximos resultados: ventas del 4T y resultados de 2026, tras el cierre [15]. A más de tres meses: no aplazan.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caída del 15 % entre el 22-sep y el 22-oct tiene causas propias y sectoriales: la compra de GCG con una ampliación a 34,75 € y la caída de los distribuidores americanos ligados a centros de datos (WESCO −10,6 %). El riesgo país explica poco: desde el 31-jul Rexel cae un 9,0 %, como el CAC 40 (−8,5 %) y mucho menos que BNP (−23,8 %) o Saint-Gobain (−17,7 %), frente al −2,7 % del STOXX 600 [40]. Los dos hechos pendientes del 20-oct se han resuelto bien: ventas por encima del consenso y Moody's sin rebaja. La tendencia sigue bajista (precio bajo la media de 200 sesiones), pero los próximos resultados están a más de tres meses. Sin avisos P1-P5. Veredicto: no cambia.</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Rexel cotiza a 9,9 veces el EBITDA y 14,4 veces el BPA de los últimos 12 meses, un 52-54 % por encima de la media de sus cierres de 2021-2025 (6,5x y 9,4x). La prima se explica por la subida de 2025 (+43 %) y por la nueva mezcla, con Norteamérica (51 % de las ventas del 3T26) y centros de datos; pero la historia está sesgada a la baja por el BPA de pico de 2022-2023. Excluimos 2024 (BPA con la multa). En PER adelantado (11,8x nuestro BPA de 2027e) la prima frente a la mediana (9,8x) es del 21 %. Sin cambio estructural demostrado: el ROIC no ha subido.</w:t>
      </w:r>
    </w:p>
    <w:p>
      <w:pPr>
        <w:pStyle w:val="Heading1"/>
      </w:pPr>
      <w:r>
        <w:t xml:space="preserve">18. Comparables cotizados</w:t>
      </w:r>
    </w:p>
    <w:p>
      <w:pPr>
        <w:pStyle w:val="Confianza"/>
        <w:spacing w:after="100"/>
      </w:pPr>
      <w:r>
        <w:t xml:space="preserve">Confianza: Media</w:t>
      </w:r>
    </w:p>
    <w:p>
      <w:pPr>
        <w:spacing w:after="100"/>
      </w:pPr>
      <w:r>
        <w:t xml:space="preserve">Distribuidores profesionales con red de sucursales: los de material eléctrico (WESCO, Solar), los de fontanería, climatización y técnicos (Ferguson, Watsco, Beijer Ref), y los de suministros industriales y consumibles (Grainger, RS Group, Bunzl). Fuera Sonepar, Graybar y CED (no cotizan) y Diploma y Fastenal (nichos con márgenes del 22-25 % y múltiplos de 28-37 veces, otro negocio). Cifras de Yahoo Finance al cierre del 23-oct-26 (las europeas, con el cierre previo de la ficha del 26-oct) convertidas con los tipos del BCE del 23-oct [41, 42]. PER de los próximos 12 meses = precio ÷ (2/12 del BPA de consenso de 2026e + 10/12 del de 2027e; RS Group, con ejercicio a marzo, 5/12 y 7/12); crecimiento = ventas de consenso de los próximos 12 meses sobre las de los últimos 12 publicados, aproximado (el desfase entre el último trimestre publicado y los próximos 12 meses es de 12-15 meses según la empresa). ROIC del 20-oct (Stock Analysis), sin balances nuevos desde entonces. Solar A/S tiene el EBITDA de los últimos 12 meses hundido (margen 1,8 %, DN/EBITDA 10,2x) y un BPA de 2027e que se multiplica por 12: se mantiene por ser el único distribuidor eléctrico europeo cotizado, con su PER en la mediana solo como contraste. Los estadounidenses (US GAAP) dejan los alquileres dentro del EBITDA y Rexel no (NIIF 16): su EV/EBITDA no es comparable y la referencia es el PER.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Rexel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10.079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WESCO International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13.846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Ferguson Enterprises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39.209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W.W. Grainger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56.805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Watsco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11.904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Beijer Ref</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RS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Bunzl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10.568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Solar A/S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DK</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36"/>
        <w:gridCol w:w="1056"/>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 / 16,7x / 19,1x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68,69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 / 17,6x / 23,7x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19.628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 / 1,5x / 1,9x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38,67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74,09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101,89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Los ocho comparables cotizan a 12-27 veces el beneficio de los próximos 12 meses (mediana 17,6x) [41]. Rexel, a 11,3x el BPA de consenso de los próximos 12 meses y 9,9x el EBITDA de los últimos 12, cotiza con un descuento del 36 % en PER. Parte está justificada: su ROIC (8,3 %) está por debajo del de Ferguson, Grainger y Watsco (20-30 %) y un 43 % de sus ventas son europeas, con construcción floja. Pero con el 3T26 su crecimiento esperado (10,7 % con GCG) ya es como el de WESCO (10,3 %) o Ferguson (11,7 %). WESCO, el más parecido (distribución eléctrica y de datos en EE. UU., margen y ROIC similares), está a 16,3x; Solar, el europeo puro, a 11,9x con el beneficio hundido. Usaríamos 12-14 veces, no la mediana: por eso los comparables no pesan en el valor real.</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GCG (cable especial, conectividad y soluciones de ingeniería,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Rexel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1.251</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1.400 M USD (1.251 M EUR al tipo del BCE del 23-oct); &lt; 8x EBITDAaL 2026e con sinergias a régimen (sin ellas, más) sobre c. 1.100 M USD de ventas; cierre previsto a final de 2026 [7, 16]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FloWorks (válvulas y control de fluidos industrial)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Ferguson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1.600 M USD; ≈ 10 veces el EBITDA ajustado con sinergias [35]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Foundation Building Materials (materiales de interior)</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Lowe's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8.800 M USD; 6.500 M USD de ventas y 635 M USD de EBITDA ajustado 2024 [36]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SRS Distribution (tejados, piscinas, paisajismo)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Home Depot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16.258</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18.250 M USD; ≈ 1.100 M USD de EBITDA ajustado 2023 [37]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2024-09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Rexel (propuesta no vinculante, rechazada)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QXO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0,65x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28,00-28,40 EUR por acción; valor empresa estimado (precio × ≈ 298 M de acciones + deuda neta y arrendamientos de fin de 2023) sobre el EBITDA de 2023; no hubo operación [21]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11,7x (9,5x – 14,1x)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42,34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30,75 – 54,86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2" name="Gráfico 22"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Las cuatro operaciones válidas en distribución profesional se pagaron a 9,5-14,1 veces el EBITDA (mediana 11,7x), con prima de control [35, 36, 37]. GCG se paga a &lt; 8 veces el EBITDAaL con sinergias [7]. La única oferta por Rexel, la de QXO de 2024 a 28 €, se rechazó por baja [21]. Con Cevian en ≈ 19 % y vendiendo, y sin accionista de control, Rexel podría volver a ser objetivo, pero no hay oferta ni rumor con fuente.</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Las ventas crecieron un 7,2 % anual en 2021-2025, sobre todo en 2022 por la inflación del cobre (+27 %); en 2023-2025, apenas un 0,7-2,4 % [1]. Para 2026e tomamos un 7,5 %: 9M26 +6,2 % publicado y un 4T con c. +6,5 % a días constantes, +2,0 % de perímetro, +2,1 % de divisa y +1,0 % de calendario (anexo 2 del comunicado), dentro de la guía de c. +7 % a días constantes [15]; Yahoo da 20.836 M tras el 3T (+7,3 %) [43]. 2027e suma GCG (≈ 983 M EUR, ≈ 4,7 puntos) [7] y el arrastre de Revere, TC 360 y DEE (≈ 0,8) a un 4,5 % orgánico: 10,0 %, frente al +11,1 % del consenso con GCG [17]. Después, 5 % bajando al 3 % en 2032e: precios del 2 % y volumen del 2-2,5 %, dentro del 5-8 % a medio plazo de la empresa (con compras) [14].</w:t>
      </w:r>
    </w:p>
    <w:p>
      <w:pPr>
        <w:keepNext/>
        <w:spacing w:after="100"/>
      </w:pPr>
      <w:r>
        <w:rPr>
          <w:b/>
          <w:bCs/>
        </w:rPr>
        <w:t xml:space="preserve">Márgenes.</w:t>
      </w:r>
    </w:p>
    <w:p>
      <w:pPr>
        <w:spacing w:after="100"/>
      </w:pPr>
      <w:r>
        <w:t xml:space="preserve">El margen EBITDA de la empresa fue del 8,7-9,0 % en 2021-2022 (precios de pico) y del 7,9-8,5 % en 2023-2025 [1]. Proyectamos el 8,5 % en 2026e: margen EBITA corriente ajustado de al menos el 6,4 % (guía del 22-oct, desde ≥ 6,2 %), más un efecto cobre no recurrente positivo (cobre +45 % en euros en el 3T) y la amortización de inmovilizado (≈ 2,0 % de las ventas) [1, 15]. El 8,8 % en 2027e por GCG (margen EBITA c. 11 %), y el 9,0 % desde 2029e, en línea con la ambición de margen EBITA &gt; 7 % de Axelerate 2028 [14] y por debajo de la mediana de los comparables (9,5 %). El consenso pre-3T con GCG daba el 8,7 % en 2027e y el 8,9 % en 2028e [17].</w:t>
      </w:r>
    </w:p>
    <w:p>
      <w:pPr>
        <w:keepNext/>
        <w:spacing w:after="100"/>
      </w:pPr>
      <w:r>
        <w:rPr>
          <w:b/>
          <w:bCs/>
        </w:rPr>
        <w:t xml:space="preserve">Inversión y circulante.</w:t>
      </w:r>
    </w:p>
    <w:p>
      <w:pPr>
        <w:spacing w:after="100"/>
      </w:pPr>
      <w:r>
        <w:t xml:space="preserve">Capex del 2,1-2,25 % de las ventas: inversión en inmovilizado (0,7-0,8 % histórico) más altas de derechos de uso (≈ 1,3-1,4 %, sucursales y almacenes), porque los arrendamientos van en el puente como deuda [1]. La amortización (2,25-2,35 %) incluye la de derechos de uso y la de intangibles de compras; en el último año el capex la iguala. Circulante del 15 % de las ventas, su nivel real (14,8 % en 2025; 13,5-15,3 % en 2021-2025): crecer consume caja y no se proyecta ninguna liberación.</w:t>
      </w:r>
    </w:p>
    <w:p>
      <w:pPr>
        <w:keepNext/>
        <w:spacing w:after="100"/>
      </w:pPr>
      <w:r>
        <w:rPr>
          <w:b/>
          <w:bCs/>
        </w:rPr>
        <w:t xml:space="preserve">Coste del capital.</w:t>
      </w:r>
    </w:p>
    <w:p>
      <w:pPr>
        <w:spacing w:after="100"/>
      </w:pPr>
      <w:r>
        <w:t xml:space="preserve">Tasa libre: Bund a 10 años del 23-oct-2026, 3,39 % [24], porque los flujos son en euros (regla del repo). Beta reapalancada de 1,37: la ajustada de 5 años (mensual, frente al STOXX 600) es 1,27 [40]; desapalancada con la deuda media del periodo (D/E ≈ 0,45 con arrendamientos) da 0,95, y reapalancada con la de hoy (deuda neta ajustada con GCG de 5.953 M sobre 10.079 M de capitalización, D/E 0,59) da 1,37. Prima de mercado del 5,5 %. Prima adicional de 0,3 puntos por la parte francesa del negocio: el 19 % de las ventas por un diferencial OAT-Bund de ≈ 1,7 puntos [24, 27]. Coste de la deuda del 4,5 % antes de impuestos (bonos de 2028 al 2,125 % y de 2030 al 5,25 %, OCEANE al 1 %, Ba1/BB+) [10, 11, 12] y peso de la deuda del 37 % a mercado. WACC del 8,29 % (8,49 % el 20-oct, con la deuda al 30 % y la beta sin reapalancar). Con la OAT (≈ 5,1 %) en lugar del Bund y sin la prima adicional duplicada, el WACC sube al 9,18 %.</w:t>
      </w:r>
    </w:p>
    <w:p>
      <w:pPr>
        <w:keepNext/>
        <w:spacing w:after="100"/>
      </w:pPr>
      <w:r>
        <w:rPr>
          <w:b/>
          <w:bCs/>
        </w:rPr>
        <w:t xml:space="preserve">Valor terminal.</w:t>
      </w:r>
    </w:p>
    <w:p>
      <w:pPr>
        <w:spacing w:after="100"/>
      </w:pPr>
      <w:r>
        <w:t xml:space="preserve">Gordon con el 2,25 %: crecimiento real del 0,25-0,5 % más la inflación esperada del euro (≈ 2 %), por debajo de la tasa libre menos medio punto (2,89 %). El múltiplo de salida de referencia (9x EBITDA) está por debajo de la mediana de los comparables y cerca de la historia de Rexel (5-9x al cierre de cada año).</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7,17 %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798</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21.241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22.622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12.984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18.139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12.173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39,41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1,3 %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1,8 %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2,3 %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2,8 %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3,3 %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37,01</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60,77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62,86</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1.148 M (14 %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 (reinvierte el 61 %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 (histórico: 2,1 %)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 frente al 5,4 %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2032e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 (hoy: 6,1 %)</w:t>
            </w:r>
          </w:p>
        </w:tc>
      </w:tr>
    </w:tbl>
    <w:p>
      <w:pPr>
        <w:spacing w:after="160" w:before="0"/>
      </w:pPr>
    </w:p>
    <w:p>
      <w:pPr>
        <w:spacing w:after="100"/>
      </w:pPr>
      <w:r>
        <w:t xml:space="preserve">La proyección apenas necesita inversión neta de la amortización (reinversión acumulada de 1.148 M, el 14 % del NOPAT, con un capex bruto medio del 2,2 % de las ventas). En un negocio de activos ligeros, el crecimiento medio del 5,4 % tiene que salir de subir precios y de ganar volumen sin capital nuevo, y la prueba es el poder de precios y la cuota (6,9 % del mercado en 2032e, frente al 6,1 %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+3,2 % (contribución de +3,4 puntos en 9M26 y +6,3 en el 3T), precios +3,7 % (cable +2,3 y resto +1,6 puntos en 9M26, con el cobre +45 % en el 3T) y +0,6 de perímetro, divisa y calendario netos (+0,9, −0,5 y +0,2 según el anexo 2) [15].</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GCG aporta ≈ 4,7 puntos (≈ 983 M EUR de ventas en un año completo) y el arrastre de Revere, TC 360 y DEE ≈ 0,8; orgánico del 4,5 % (volumen 2,5 %, precios 2 %) con la cartera de Norteamérica en 3.053 M USD [7, 16].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2,5 % con la construcción europea estabilizada y centros de datos en EE. UU.; precios del 2 %; 0,5 de compras pequeñas.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y precios del 2 %, compras pequeñas 0,5 puntos (la política es 2-3 puntos al año con compras) [14].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del 2 % y precios del 2 %; sin compras en la proyección.</w:t>
            </w:r>
          </w:p>
        </w:tc>
      </w:tr>
    </w:tbl>
    <w:p>
      <w:pPr>
        <w:spacing w:after="160" w:before="0"/>
      </w:pPr>
    </w:p>
    <w:p>
      <w:pPr>
        <w:spacing w:after="100"/>
      </w:pPr>
      <w:r>
        <w:t xml:space="preserve">En parte. La reinversión neta es solo el 14 % del NOPAT, así que el motor no aplica su prueba y la hacemos a mano: con la reinversión bruta (61 % del NOPAT) el ROIC actual financia un 5,1 % de crecimiento, y el proyectado es del 5,4 % de media, pero 5,5 puntos de 2027e son compras (GCG y las del 1S26) pagadas en el puente (1.251 M) y no con la reinversión; sin ellas, el orgánico medio es ≈ 4,6 %, dentro de lo financiable. La cuota pasa del 6,1 % al 6,9 % del mercado direccionable en 2032e, menos de 1,5 veces. Lo que no pasa es la calidad: el rendimiento que la proyección supone para la reinversión (11,6 %) está muy por encima del ROIC incremental de 2021-2025 (2,1 %, con 2.031 M en compras); el foso es estrecho (escala, logística y proveedores) y el ROIC (8,3 %) es igual al WACC (8,29 %). Crecer es financiable; que cree valor, solo en parte.</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(2027e-2032e)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 (base: 5,0 %)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 (base: 9,0 %)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9,1 % (WACC: 8,3 %)</w:t>
            </w:r>
          </w:p>
        </w:tc>
      </w:tr>
    </w:tbl>
    <w:p>
      <w:pPr>
        <w:spacing w:after="160" w:before="0"/>
      </w:pPr>
    </w:p>
    <w:p>
      <w:pPr>
        <w:spacing w:after="100"/>
      </w:pPr>
      <w:r>
        <w:t xml:space="preserve">El DCF da 39,41 € por acción, un 20,8 % sobre el precio, con el valor terminal en el 72 % del valor. El DCF inverso dice que el precio de 32,63 € equivale a un crecimiento del 0,0 % anual en 2027-2032 (base: 5,0 %, con GCG en 2027) o a un margen EBITDA del 8,3 % (base: 9,0 %), con una rentabilidad implícita del 9,1 %, por encima del WACC (8,29 %). Es un precio conservador: descuenta que Rexel no crezca más allá de 2026 aunque ya ha comprado GCG y la guía de 2026 se ha elevado dos veces. </w:t>
      </w:r>
      <w:r>
        <w:rPr>
          <w:b/>
        </w:rPr>
        <w:t xml:space="preserve">Riesgo país, sensibilidad a la OAT</w:t>
      </w:r>
      <w:r>
        <w:t xml:space="preserve">: con la OAT a 10 años (≈ 5,1 % la semana del 19-23 oct [27]) en lugar del Bund (3,39 %) y sin la prima adicional, el WACC pasa del 8,29 % al 9,18 % y el DCF baja de 39,41 € a 31,80 € (−19 %); el valor real (60 % DCF, 40 % escenarios) baja de 38,78 € a 31,29 € (−19 %), un 4 % por debajo del precio. Sin la prima adicional francesa de 0,3 puntos, el valor real sería 40,66 €. Usamos el Bund porque el 81 % de las ventas está fuera de Francia y la deuda se financia a su propio diferencial (Ba1/BB+), no al del Estado.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Repite 2023-2024: ventas planas o a la baja en Europa (Europa −0,7 % en 2024 y −1,5 % en 2025), cobre a la baja y un frenazo de los centros de datos en EE. UU. tras el pico de 2026 que deja a GCG por debajo del plan. Es lo que pasó a WESCO en 2023-2024 y a Rexel en 2019-2020.</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2026 elevada cumplida, GCG integrado desde 2027 y márgenes que suben despacio hacia el 9 % de EBITDA con la mezcla de EE. UU. y los servicios.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45,18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centros de datos y la automatización en EE. UU. siguen al ritmo del 3T26 (cartera +42 % en 2026), la construcción europea se recupera desde 2027 con la electrificación (bombas de calor, recarga, solar) y GCG da sinergias por encima del plan.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Valor por acción por escenario (EUR) · precio actual 32,6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spacing w:after="100"/>
      </w:pPr>
      <w:r>
        <w:rPr>
          <w:b/>
          <w:bCs/>
        </w:rPr>
        <w:t xml:space="preserve">Valor ponderado por probabilidad:</w:t>
      </w:r>
      <w:r>
        <w:t xml:space="preserve"> 37,84 EUR (+16,0 %).</w:t>
      </w:r>
    </w:p>
    <w:p>
      <w:pPr>
        <w:spacing w:after="100"/>
      </w:pPr>
      <w:r>
        <w:t xml:space="preserve">En el DCF el alcista gana un 38,5 % y el bajista pierde un 16,1 %: asimetría de 2,39 veces, favorable. A 12 meses, con la regla de múltiplos, el bajista pierde un 56 % (5,9x × 2,42 €) y el alcista gana un 48 % (14,5x × 3,34 €). El bajista a 12 meses es extremo porque el mínimo del PER adelantado (2021) se mide sobre un BPA de pico; el del DCF (−16 %) es verosímil: la acción cayó un 36 % en 2018 y un 32,8 % desde máximos en los últimos cinco años [40]. A largo plazo compensa; a 12 meses, la regla no da margen.</w:t>
      </w:r>
    </w:p>
    <w:p>
      <w:pPr>
        <w:pStyle w:val="Heading1"/>
      </w:pPr>
      <w:r>
        <w:t xml:space="preserve">22. Suma de partes</w:t>
      </w:r>
    </w:p>
    <w:p>
      <w:pPr>
        <w:pStyle w:val="Confianza"/>
        <w:spacing w:after="100"/>
      </w:pPr>
      <w:r>
        <w:t xml:space="preserve">Confianza: Media</w:t>
      </w:r>
    </w:p>
    <w:p>
      <w:pPr>
        <w:spacing w:after="100"/>
      </w:pPr>
      <w:r>
        <w:t xml:space="preserve">No aplica: los tres segmentos (Europa, Norteamérica, Asia-Pacífico) son el mismo negocio de distribución con márgenes del 1-7 %. Una suma de partes con Norteamérica a múltiplos de WESCO daría más, pero ningún comprador pagaría por separado la red europea a ese múltiplo.</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6" name="Gráfico 26" descr="Valor por acción según cada método (EUR) · precio actual 32,6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32,63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38,78 EUR (+18,8 % sobre 32,63).</w:t>
      </w:r>
    </w:p>
    <w:p>
      <w:pPr>
        <w:spacing w:after="100"/>
      </w:pPr>
      <w:r>
        <w:t xml:space="preserve">Pesamos el DCF un 60 % y los escenarios un 40 %, como en la iteración anterior, y dejamos a cero comparables y transacciones. El DCF (39,41 € con un WACC del 8,29 %) es el método más fiable para un distribuidor de márgenes estables y poca inversión; los escenarios (27,37-45,18 €) recogen el ciclo de la construcción y de los centros de datos. Los comparables darían mucho más (PER de los próximos 12 meses: 45,59-68,16 € por acción) porque los distribuidores americanos (Grainger, Watsco, Ferguson) cotizan a 18-27 veces con ROIC mayores; Rexel nunca ha cotizado así. Las transacciones (mediana 11,7x EV/EBITDA, 42,34 €) llevan prima de control, y la única oferta reciente por Rexel (QXO, 2024) fue a 28 € y se rechazó [21]. El valor real es de 38,78 €, un 18,8 % sobre el precio; sube frente a los 34,96 € del 20-oct por la guía más alta de 2026 (que eleva la base de toda la proyección), un Bund 10 pb más bajo y una deuda pesada a mercado (37 %) que baja el WACC pese a la beta reapalancada.</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(11.8x) ÷ 1.1 (tope: la mediana de 5 años, 9.8x,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48,43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+52,1 %</w:t>
            </w:r>
          </w:p>
        </w:tc>
      </w:tr>
    </w:tbl>
    <w:p>
      <w:pPr>
        <w:spacing w:after="160" w:before="0"/>
      </w:pPr>
    </w:p>
    <w:p>
      <w:pPr>
        <w:spacing w:after="100"/>
      </w:pPr>
      <w:r>
        <w:rPr>
          <w:b/>
          <w:bCs/>
        </w:rPr>
        <w:t xml:space="preserve">Objetivo a 12 meses (ponderado):</w:t>
      </w:r>
      <w:r>
        <w:t xml:space="preserve"> 31,88 EUR · rentabilidad +1,4 % (base +3,0 %) · señal Mantener.</w:t>
      </w:r>
    </w:p>
    <w:p>
      <w:pPr>
        <w:spacing w:after="100"/>
      </w:pPr>
      <w:r>
        <w:t xml:space="preserve">Para comparar, con la regla v2 (historia al cierre, mismo precio): 6,1x / 9,4x / 12,2x, -10,6 % Vender.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2026e (2,45 €) queda un 6 % por debajo del consenso de Yahoo tras el 3T26 (2,60 €), el de 2027e (2,76 €) un 8 % por debajo (3,01 €) y el de 2028e (3,00 €) un 8 % por debajo del consenso pre-3T de la empresa (3,27 €) [17, 43]. En ventas y EBITDA de 2028e estamos un 1 % por encima del consenso de la empresa (24.106 M frente a 23.906 M); la diferencia es de base: el consenso es BPA recurrente ajustado, sin otros gastos (≈ 50 M al año de reestructuración) ni la amortización de intangibles de compras, y nosotros usamos el publicado, el mismo de la historia del PER. Nuestro objetivo base a 12 meses (32,40 €) queda un 23 % por debajo del objetivo medio de los analistas (41,86 €; rango 30-46), y nuestro bajista (14,28 €) muy por debajo de su mínimo.</w:t>
      </w:r>
    </w:p>
    <w:p>
      <w:pPr>
        <w:keepNext/>
        <w:spacing w:after="100"/>
      </w:pPr>
      <w:r>
        <w:rPr>
          <w:b/>
          <w:bCs/>
        </w:rPr>
        <w:t xml:space="preserve">Del valor intrínseco al objetivo a 12 meses.</w:t>
      </w:r>
    </w:p>
    <w:p>
      <w:pPr>
        <w:spacing w:after="100"/>
      </w:pPr>
      <w:r>
        <w:t xml:space="preserve">El objetivo a 12 meses (31,88 €, ponderado) queda un 18 % por debajo del valor intrínseco (38,78 €): la tesis de valor es a más de un año. La regla v3 lleva el PER actual (11,8x) hacia la mediana adelantada de cuatro años (9,8x), con el tope de ÷1,1 (10,8x): Rexel cotiza por encima de su historia porque la de 2021-2022 es la de un BPA de pico por la inflación del cobre. Para cerrar la distancia haría falta que el mercado aceptase un PER más alto por la nueva mezcla (Norteamérica 51 % de las ventas, centros de datos) o que el BPA de 2027-2028 superase claramente el previsto: los resultados de 2026 y la primera guía con GCG (10-feb-2027) son la prueba. El bajista es muy duro (5,9x, el mínimo de 2021) y pesa en la ponderada; sin doble castigo (bajista a 0,8 veces el PER base) la ponderada sería del 6,5 %.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oct-dic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Presupuesto francés de 2027: prórroga o no de la contribución excepcional sobre los beneficios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23,5 M en 2025 y 14,4 M en el 1S26 [1, 13]: su fin sumaría ≈ 0,08 € al BPA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 de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compra de GCG [7, 16]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983 M EUR de ventas con margen EBITA c. 11 % desde 2027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2026-12-28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del compromiso de no emitir acciones (90 días desde el 29-sep) [8]</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efecto directo; la empresa no ha anunciado más emisiones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2027-02-10</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 [15]</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guía con GCG; margen EBITA de 2026 frente al ≥ 6,4 % y conversión de caja con el cobre alto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2027-04</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del 1T27 y junta con dividendo (≈ 1,22-1,30 €)</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Rentabilidad por dividendo del 3,7 %; primer trimestre con GCG</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Nuevas ventas de Cevian (≈ 19 % del capital) [31]</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Presión sobre el precio si coloca un bloque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 la construcción europea y francesa (Europa es el 43 % de las ventas del 3T26; Francia el 17 %, con un 38 % residencial)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 / ciclo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−16 % en el bajista del DCF; −56 % a 12 meses en el bajista de la regla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Norteamérica y servicios crecen; costes flexibles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Francia y Europa a días constantes negativas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Frenazo de los centros de datos en EE. UU. tras el pico de 2026 (c. 13 % de las ventas de EE. UU. y 25 % de su cartera)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Sectorial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 −8 % si Norteamérica vuelve a crecer al 4 % desde 2027 (estimación propia, entre el base y el bajista del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3.053 M USD (3,4 meses de ventas); automatización y no residencial también crecen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Norteamérica por debajo de 2.500 M USD o centros de datos en negativo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Riesgo país Francia: OAT por encima del 5 %, diferencial con el Bund de ≈ 1,7 puntos, presupuesto de 2027</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País / macro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−19 % del valor real si se descuenta con la OAT en lugar del Bund; ≈ −3 % del BPA por la contribución excepcional</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81 % de las ventas fuera de Francia; deuda propia Ba1/BB+ a tipo fijo y OCEANE al 1 %; Moody's no rebajó el 23-oct</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Rebaja de Francia por Moody's, diferencial &gt; 2 puntos o prórroga del recargo en el presupuesto de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Ejecución de GCG</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 −1,5 € por acción si GCG no pasa del margen de Rexel</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&lt; 8x EBITDAaL con sinergias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Norteamérica por debajo del 7 % en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Cevian (≈ 19 % del capital, vendiendo desde mayo)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Accionarial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Descuento de colocación del 3-6 % en el día; sin efecto en el valor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Liquidez de 23 M EUR al día; demanda de fondos que entran (Principal &gt; 5 %)</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Aviso de la AMF de bajada del 15 % o colocación acelerada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3,7 veces el EBITDA (ajustada) tras GCG</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Rebaja de rating y +0,5 puntos de coste de la deuda ≈ −3 %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Ampliación de 500 M y conversión del 65 % del EBITDA en caja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Perspectiva negativa de Moody's o S&amp;P</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del cobre (≈ 16 % de las ventas en cable; +45 % en euros en el 3T26)</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Materias primas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 de ventas y ±0,3 puntos de margen por cada ±10 % del cobre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Traslado a precio con desfase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Cobre −15 % en un trimestre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caras con ROIC incremental bajo (2,1 % en 2021-2025)</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Cada 1.000 M al 6 % de ROIC resta ≈ 2 € por acción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Cevian en el consejo vigila la disciplina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Otra compra grande antes de bajar la deuda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9</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Riesgo de IA: mixto, más oportunidad que amenaza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Tecnológico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 +3 % a 3-5 años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digitales del 36 % y herramientas propias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bruto y gastos de personal sobre ventas</w:t>
            </w:r>
          </w:p>
        </w:tc>
      </w:tr>
    </w:tbl>
    <w:p>
      <w:pPr>
        <w:spacing w:after="160" w:before="0"/>
      </w:pPr>
    </w:p>
    <w:p>
      <w:pPr>
        <w:pStyle w:val="Heading2"/>
      </w:pPr>
      <w:r>
        <w:t xml:space="preserve">Pre-mortem</w:t>
      </w:r>
    </w:p>
    <w:p>
      <w:pPr>
        <w:spacing w:after="100"/>
      </w:pPr>
      <w:r>
        <w:t xml:space="preserve">Octubre de 2029: la acción ha perdido un 40 %. La inversión en centros de datos de IA se frenó en 2027 tras el exceso de capacidad: las ventas de EE. UU., que crecían al 18 % en el 3T26, cayeron un 5 % en 2027-2028 y GCG, comprado en lo alto del ciclo, perdió un tercio de sus ventas. A la vez, la construcción europea no se recuperó: Francia vivió tres años de presupuestos de ajuste, la OAT siguió por encima del 5 % y se recortaron las ayudas a la renovación; las ventas de Rexel en Francia cayeron un 8 % acumulado y el margen de Europa bajó del 5 %. Con la deuda en 3,7 veces el EBITDA, Moody's rebajó a Ba2 y Rexel recortó el dividendo para no ampliar otra vez; Cevian vendió su resto con descuento. El BPA volvió a 2 € y el mercado le dio el PER de 2021 (6-7 veces). Las señales: la cartera de Norteamérica bajando de 2.500 M USD, las ventas de Francia a días constantes negativas, el margen de Norteamérica por debajo del 7 % y una perspectiva negativa en el rating de Rexel.</w:t>
      </w:r>
    </w:p>
    <w:p>
      <w:pPr>
        <w:pStyle w:val="Heading2"/>
      </w:pPr>
      <w:r>
        <w:t xml:space="preserve">Riesgo de inteligencia artificial</w:t>
      </w:r>
    </w:p>
    <w:p>
      <w:pPr>
        <w:spacing w:after="100"/>
      </w:pPr>
      <w:r>
        <w:rPr>
          <w:b/>
          <w:bCs/>
        </w:rPr>
        <w:t xml:space="preserve">Exposición:</w:t>
      </w:r>
      <w:r>
        <w:t xml:space="preserve"> Media · </w:t>
      </w:r>
      <w:r>
        <w:rPr>
          <w:b/>
          <w:bCs/>
        </w:rPr>
        <w:t xml:space="preserve">Sentido:</w:t>
      </w:r>
      <w:r>
        <w:t xml:space="preserve"> Mixto · </w:t>
      </w:r>
      <w:r>
        <w:rPr>
          <w:b/>
          <w:bCs/>
        </w:rPr>
        <w:t xml:space="preserve">Efecto en valor (3-5 años):</w:t>
      </w:r>
      <w:r>
        <w:t xml:space="preserve"> ≈ +3 % a 3-5 años (en el escenario alcista); sin efecto en el base</w:t>
      </w:r>
    </w:p>
    <w:p>
      <w:pPr>
        <w:spacing w:after="100"/>
      </w:pPr>
      <w:r>
        <w:t xml:space="preserve">La IA toca a Rexel por dos lados. Por la demanda, es una oportunidad: los centros de datos para IA crecen a tres cifras, son c. 13 % de las ventas de EE. UU. y el 25 % de su cartera, y la razón de comprar GCG [7, 16]; si la inversión se frena, es también el principal riesgo de la tesis americana. Por los costes, la empresa usa IA en ofertas, surtido y precios, con un 36 % de las ventas digitales y un salto de 6 puntos en Norteamérica en un año [15]; puede ahorrar parte de los gastos generales (19,3 % de las ventas en 2025), pero los competidores harán lo mismo. La amenaza de desintermediación por agentes de compra de IA es baja: el valor está en la logística, el crédito al instalador y la disponibilidad en la sucursal. Señal: margen bruto y gastos de personal sobre ventas.</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EcoVadis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Medalla de oro (top 5 %)</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2026-04</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Índices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FTSE4Good, DJSI Europe, Euronext Sustainable Europe 120</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2026-07</w:t>
            </w:r>
          </w:p>
        </w:tc>
      </w:tr>
    </w:tbl>
    <w:p>
      <w:pPr>
        <w:spacing w:after="160" w:before="0"/>
      </w:pPr>
    </w:p>
    <w:p>
      <w:pPr>
        <w:pStyle w:val="Heading2"/>
      </w:pPr>
      <w:r>
        <w:t xml:space="preserve">Asuntos materiales</w:t>
      </w:r>
    </w:p>
    <w:p>
      <w:pPr>
        <w:spacing w:after="100"/>
      </w:pPr>
      <w:r>
        <w:t xml:space="preserve">El asunto que más mueve cifras es la parte de ventas ligada a la transición energética (22 % en Europa, +15 % en el 2T26) [13] y las emisiones de alcance 3 por uso de los productos vendidos, ligadas a sus bonos sostenibles: el cupón de los bonos de 2021 subiría 25 puntos básicos si no cumple los objetivos (los cumplió a dic-23) [1]. La seguridad laboral (frecuencia de accidentes −19 % en 2025) y la ética de la competencia (multa de 2024) son los otros dos [1].</w:t>
      </w:r>
    </w:p>
    <w:p>
      <w:pPr>
        <w:pStyle w:val="Heading2"/>
      </w:pPr>
      <w:r>
        <w:t xml:space="preserve">Controversias</w:t>
      </w:r>
    </w:p>
    <w:p>
      <w:pPr>
        <w:spacing w:after="100"/>
      </w:pPr>
      <w:r>
        <w:t xml:space="preserve">Multa de 124 M de la Autoridad de la Competencia francesa (29-oct-2024) por prácticas en la fijación de precios con proveedores, pagada en abril de 2025; Rexel recurrió y hay acciones civiles de terceros derivadas de los mismos hechos, sin provisión adicional relevante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del 2S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margen EBITA de 2026 (≥ 6,4 %) es efecto cobre no recurrente y cuánto mezcla y productividad?</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base de nuestro BPA de 2026e (2,45 €) frente al consenso ajustado (2,60 €) [15, 43].</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Centros de datos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 cartera de 3.053 M USD se factura en 2027 y con qué margen frente al resto de Norteamérica?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el crecimiento de 2027 aguanta sin el pico de 2026 [16].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GCG</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EBITDA de GCG sin sinergias y qué parte de sus ventas son centros de datos?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la compra crea valor y la concentración del riesgo en EE. UU. [7].</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Francia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EBITA sale de Francia y cómo afecta la OAT por encima del 5 % al residencial francés?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se publica el EBITA por país; estimamos el 18-25 % y es la base del riesgo país [1, 27].</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volverá la deuda a ≈ 2 veces el EBITDA sin arrendamientos y se retomarán las recompras?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deuda ajustada es de 3,7 veces con GCG [5].</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gastos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qué hay 45-60 M de reestructuración cada año y cuándo dejarán de repetirse?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la diferencia de base entre el BPA publicado y el ajustado del consenso [1].</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Estable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Boursorama, foro de Rexel (hilos de resultados del 1S26, 27-28 jul)</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ven los resultados «muy buenos» y la caída como recogida de beneficios antes de agosto; otros, que las expectativas no se cumplieron y que la prudencia sobre los márgenes del segundo semestre y la forma de comunicar inquietan [45, 46].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Boursorama, foro de Rexel (hilos de rebote de agosto)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Mensajes de rebote técnico; se recuerda la oferta de QXO de 2024 como prueba de que el valor interesa a compradores y se celebra la entrada en el consejo del antiguo consejero delegado de Iberdrola [47, 48].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Boursorama, foro de Rexel (hilos de la ampliación y de las mejoras de recomendación, sep-oct)</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Sorpresa y enfado por la ampliación de capital tras la compra de GCG; a la vez se comentan mejoras de recomendación de la prensa y de un bróker y el interés por los centros de datos [49, 50].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Boursorama, foro de Rexel (hilo «Je préviens; REXEL va chuter !», antes y después de las ventas del 3T26)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mensaje pronostica una caída hacia 12-15 € por la competencia de interruptores chinos y el fin de la inversión en centros de datos de IA; otros, que dicen conocer la empresa desde dentro, replican que el negocio es sobre todo distribución a instaladores y no depende de un fabricante concreto [52].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Boursorama, foro de Rexel (hilo «upgrade investir!!», octubre)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celebran mejoras de recomendación (la revista Investir y un bróker francés pasan a comprar) y, a la vez, se pregunta por qué la acción caía antes del 22-oct si los resultados iban a ser buenos [50].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Seeking Alpha (página de Rexel, RXEEY)</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Solo transcripciones y presentaciones (3T26 del 22-oct, GCG del 25-sep, 1S26); sin debate de lectores accesible [53].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ampliación de capital tras la compra de GCG</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ampliación (14,4 M de acciones a 34,75 €, ≈ 4,8 % del capital) financia un tercio de GCG; diluye el BPA de 2027 ≈ 1-2 % frente a una compra solo con deuda, pero protege el rating Ba1/BB+. La queja es razonable en el corto plazo; la acción cotiza por debajo del precio de colocación.</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Márgenes del segundo semestre y comunicación de la dirección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avisó de que el margen del 2S26 podría no mejorar como de costumbre (mezcla, costes de explotación); la guía anual (margen ≥ 6,2 %) se mantiene. El foro exagera: el margen del 1S26 subió frente al del 1S25.</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Centros de datos y electrificación en EE. UU.</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motor de Norteamérica (≈ 46 % de las ventas) y la razón de GCG; pero en octubre el sector de distribuidores ligados a centros de datos ha caído, y el análisis lo trata como tendencia, no como garantía.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Interés de compradores (QXO 2024) y suelo de valoración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oferta de QXO a 28 € de 2024 se rechazó; hoy la acción cotiza un 18 % por encima. No hay oferta viva ni rumor con fuente: no entra en la valoración.</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¿Burbuja de los centros de datos y competencia china?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centros de datos son c. 13 % de las ventas de EE. UU. (≈ 6 % del grupo) y el 25 % de la cartera de EE. UU.; un frenazo restaría crecimiento a Norteamérica pero no a la mayor parte del negocio. La competencia de fabricantes chinos afecta a los fabricantes, no al distribuidor, salvo por deflación de precios del material, que hoy no se ve (precios no cable +2,2 puntos en el 3T26).</w:t>
            </w:r>
          </w:p>
        </w:tc>
      </w:tr>
    </w:tbl>
    <w:p>
      <w:pPr>
        <w:spacing w:after="160" w:before="0"/>
      </w:pPr>
    </w:p>
    <w:p>
      <w:pPr>
        <w:spacing w:after="100"/>
      </w:pPr>
      <w:r>
        <w:t xml:space="preserve">El inversor particular francés sigue dividido: la ampliación de septiembre y la caída desde julio pesan, y en octubre aparece el miedo a una burbuja de los centros de datos de IA. No hay euforia ni capitulación, y la reacción a unas ventas un 5 % por encima del consenso fue tibia (−2,8 % el 22-oct, antes de publicarlas tras el cierre, y +2,6 % el 23-oct). El foro no habla del riesgo país (OAT por encima del 5 %) ni de las ventas de Cevian. No contradice al consenso de analistas (10 de 13 compran) y aporta poco a la decisión; con tan pocos mensajes, la confianza es baja.</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20 de 21 controles correctos y 1 explicados. Fuentes: 56 (27 primarias); citas distintas en el texto: 51.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46,6 %: explica la causa (créditos fiscales, regularizaciones, mezcla de países) y no lo proyectes en el DCF. Explicación: El 46,6 % de 2024 se debe a la multa de 124 M de la Autoridad de la Competencia (no deducible) y a deterioros sin efecto fiscal [1]. No se proyecta: el DCF usa el 28,5 % en 2026 (con la contribución excepcional francesa) y el 27 % después.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«En parte»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6,9 % en 2032e frente al 6,1 %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15,0 % frente a 14,8 % real: genera una variación de circulante de 255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72 %.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56 fuentes (27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25, 39, 51, 54, 56.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y BPA trimestrales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de ventas trimestrales (solo ventas); 2) comunicado y estados del 1S26 (solo semestre); 3) presentaciones (sin EBITDA trimestral)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vida_media_anios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19 del URD 2025; 2) nota 15 del 1S26; 3) informe de Moody's (sin cifra explícita)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transcripción de la conferencia del 3T26 (22-oct-2026)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 de Rexel (página del 3T26: solo comunicado y presentación, sin grabación ni transcripción); 2) Seeking Alpha (transcripción del 22-oct de pago; robots y muro de pago); 3) Alpha Spread y prensa (Alpha Spread aún sin el 3T26; se usan las declaraciones del consejero delegado a Reuters y las reacciones de analistas de AOF)</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de tamaño y TCAC del mercado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URD 2025 (solo cifra de 2025, estimación propia); 2) presentación Axelerate 2028 (sin serie); 3) informes sectoriales gratuitos (no publican el perímetro europeo y norteamericano junto)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 de Sonepar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resultados 2025 de Sonepar (solo ventas); 2) prensa sectorial (TED, MDM); 3) informe anual (no publica beneficio)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voto_remuneracion_pct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 de la junta del 22-abr-2026 (solo dice que se aprobaron todas); 2) página de juntas de la web (resultados en PDF no descargado); 3) URD 2025 (no recoge votos de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posicion_corta_pct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Registro de posiciones cortas de la AMF (sin consulta por emisor desde aquí); 2) foros (cifra de 2024, no válida); 3) prensa (sin dato de 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y EV/EBITDA adelantados de proveedor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Yahoo (sin histórico); 2) Stock Analysis (de pago para Euronext); 3) informes anuales (no los publican)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ev_ebitda_ntm</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Yahoo (solo EBITDA de los últimos 12 meses y BPA y ventas de consenso); 2) MarketScreener (sirve datos de septiembre y de otra cotización); 3) Stock Analysis (estimaciones de 2027-2028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revisadas (Reddit, Stocktwits, ABC Bourse)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Reddit search.json (bloqueada en la iteración anterior, no repetida); 2) Stocktwits RXEEY (símbolo no encontrado, 26-oct); 3) Seeking Alpha (transcripción de pago, sin comentarios visibles)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Rexel 2025 Universal Registration Document (incluye el informe financiero anual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Rexel / AMF D.26-0073</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https://www.rexel.com/app/uploads/2026/03/Rexel-URD-2025-EN.pdf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Rexel 2024 Universal Registration Document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Rexel / AMF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https://www.rexel.com/app/uploads/2025/05/rexel-urd-202412-en.pdf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 ESEF 2022 y 2023 de Rexel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filings.xbrl.org / AMF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https://filings.xbrl.org/969500N6AVPA51648T62/2023-12-31/ESEF/FR/0/rexel-2023-12-31AR.json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Q2 sales &amp; H1 2026 Results (comunicado)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Rexel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https://www.rexel.com/app/uploads/2026/05/PR-Q2-sales-H1-2026-results.pdf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Condensed consolidated interim financial statements as of June 30,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Rexel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https://www.rexel.com/app/uploads/2026/07/Rexel-Financial-Statements-2026-06Y-def.pdf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Q1 2026 sales (comunicado)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Rexel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https://www.rexel.com/app/uploads/2026/04/PR-Q1-2026-sales-.pdf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Rexel to acquire GCG (comunicado)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Rexel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https://www.rexel.com/app/uploads/2026/09/PR-2026-09-Rexel-to-acquire-GCG.pdf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Rexel announces the success of its c. €500 million Capital Increase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Rexel (vía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https://mfn.se/one/a/rexel/rexel-announces-the-success-of-its-c-eu500-million-capital-increase-without-shareholders-preferential-subscription-right-to-partially-fund-the-acquisition-of-gcg-2fac856b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Statement relating to the total number of shares and voting rights as of October 1,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Rexel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https://www.rexel.com/app/uploads/2026/10/Statement-relating-to-the-total-number-of-shares-and-voting-rights-as-of-October-1-2026.pdf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Rexel announces the success of its offering of OCEANEs due 2031 (400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Rexel (vía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https://mfn.se/one/a/rexel/rexel-rexel-announces-the-success-of-its-offering-of-bonds-due-2031-convertible-into-new-shares-and-or-exchangeable-for-existing-shares-oceanes-for-a-nominal-amount-of-eu400-million-6105c02b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Rexel S.A. credit opinion (Ba1 estable)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(publicado por Rexel)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https://www.rexel.com/app/uploads/2026/10/Moodys-Rating-260831.pdf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Ratings: Rexel S.A. (BB+/Stable/B)</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(publicado por Rexel)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https://www.rexel.com/app/uploads/2026/10/SP-Rating-260803.pdf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Second quarter sales &amp; H1 2026 results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Rexel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https://www.rexel.com/app/uploads/2026/05/Rexel-Second-quarter-sales-H1-2026-results.pdf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Strategic update Axelerate 2028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Rexel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https://www.rexel.com/app/uploads/2025/10/2025-Rexel-Strategic-Update-Axelerate2028-Online.pdf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Q3 2026 sales (comunicado)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Rexel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https://www.rexel.com/app/uploads/2026/09/PR-Q3-2026-sales.pdf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Third quarter 2026 sales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Rexel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https://www.rexel.com/app/uploads/2026/09/Presentation-Q3-2026-sales.pdf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Rexel: consensus pre-Q3 2026 (13 de 15 analistas, recogido del 5 al 13-oct-2026)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Rexel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https://www.rexel.com/app/uploads/2026/10/Estimates-pre-Q3-2026.pdf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Rexel Q2 2026 earnings call (27-jul-2026), resumen de la transcripción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 Spread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https://alphaspread.com/security/par/rxl/earnings-calls/q3-2026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Rexel revoit une nouvelle fois ses prévisions à la hausse (Reuters; declaraciones de Guillaume Texier del 22-oct)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Reuters vía 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https://www.boursorama.com/bourse/actualites/rexel-revoit-une-nouvelle-fois-ses-previsions-a-la-hausse-la-demande-americaine-en-centres-de-donnees-et-l-electrification-en-europe-etant-les-moteurs-de-sa-croissance-03debd811487a88764170c27efbff5b2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Rexel to acquire GCG (comunicado y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Rexel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https://www.rexel.com/app/uploads/2026/09/2026-09-Rexel-to-acquire-GCG.pdf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Rexel Board of Directors rejects an unsolicited preliminary proposal from QXO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Rexel (vía EMR)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https://www.emr-online.com/rexel-rexel-board-of-directors-rejects-an-unsolicited-preliminary-proposal-from-qxo/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Sonepar sets new records in 2025 with €33.6 billion sales and market leadership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Sonepar (vía EMR)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https://www.emr-online.com/sonepar-sonepar-sets-new-records-in-2025-with-e33-6-billion-sales-and-market-leadership/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Graybar Electric Company 10-K 2025 (XBRL de la SEC)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https://data.sec.gov/api/xbrl/companyfacts/CIK0000205402.json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del Bund a 10 años (serie diaria BBSIS)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https://api.statistiken.bundesbank.de/rest/download/BBSIS/D.I.ZST.ZI.EUR.S1311.B.A604.R10XX.R.A.A._Z._Z.A?format=csv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France 10-Year Bond Yield, datos históricos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https://www.investing.com/rates-bonds/france-10-year-bond-yield-historical-data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Fichas de Yahoo Finance de WESCO (WCC) y Solar A/S (SOLAR-B.CO): ventas y EBIT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https://finance.yahoo.com/quote/WCC/financials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Bourse de Paris dans le vert, Moody's soulage la pression (AFP; OAT a 10 años por encima del 5 % y 5,14 % el 22-oct)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AFP vía 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https://www.boursorama.com/bourse/actualites/la-bourse-de-paris-dans-le-vert-moody-s-soulage-la-pression-054e386a58454d47fe21b20f48be0c64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Rexel: PR Post Combined Shareholders Meeting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Rexel (vía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https://mfn.se/one/a/rexel/rexel-pr-post-combined-shareholders-meeting-2026-c94e6b6d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Declaraciones de operaciones de directivos (2026DD1122106, 2026DD1109902, 2025DD1072896)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 base BDIF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https://bdif.amf-france.org/back/api/v1/informations?RechercheTexte=REXEL&amp;TypesInformation=DD&amp;From=0&amp;Size=40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REXEL: Appointment of Armando Martinez as Observer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Rexel (vía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https://mfn.se/one/a/rexel/rexel-appointment-of-armando-martinez-as-observer-babb5522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 226C0738: Cevian Capital Partners baja del 20 % de Rexel (59.184.131 acciones, 19,93 %, venta en mercado el 21-may-2026)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 (BDIF)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https://bdif.amf-france.org/back/api/v1/documents/2026/226C0738/6252EEDD301880E975508B421A1CA5AD1DD7C57D1EFB4D04832F8D0F3A54E6AC.pdf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 226C0369: Pzena Investment Management baja del 5 % (4,98 %, 18-mar-2026)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 (BDIF)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https://bdif.amf-france.org/back/api/v1/documents/2026/226C0369/0E460DD535E38C6B2244CC0A6E9DF0C97830A27ABA3C993864250C79470BE382.pdf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 226C0165: Principal Global Investors supera el 5 % (15.009.479 acciones, 3-feb-2026)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 (BDIF)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https://bdif.amf-france.org/back/api/v1/documents/2026/226C0165/A8730DD5C818ECBA311B6D7253A85B189512C4D19A7FC3912BFA774D560462FF.pdf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 226C0143: BlackRock vuelve a superar el 5 % (14.834.168 acciones, 30-ene-2026), tras cruces del 22, 28 y 29-ene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 (BDIF)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https://bdif.amf-france.org/back/api/v1/documents/2026/226C0143/28EA2E0B7600C9166CA5422738E8576A527C12ABEFDEDB7283200780B5BB90FB.pdf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Ferguson to Acquire FloWorks for $1.6 Billion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Ferguson Enterprises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https://www.sec.gov/Archives/edgar/data/2011641/000201164126000035/exhibit991pressreleasedate.htm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Lowe's Announces Agreement to Acquire Foundation Building Materials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Lowe's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https://www.sec.gov/Archives/edgar/data/60667/000006066725000162/exhibit991-08012025fbm.htm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Home Depot: presentación de la compra de SRS Distribution (8-K, anexo 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Home Depot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https://www.sec.gov/Archives/edgar/data/354950/000110465924040163/tm2410002d1_ex99-2.htm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Long-term interest rate statistics (IRS), Francia y Alemania, mensual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BCE, Data Portal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https://data-api.ecb.europa.eu/service/data/IRS/M.FR.L.L40.CI.0000.EUR.N.Z</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RXL.PA, EXSA.DE (STOXX 600) y EXH4.DE (industria europea) hasta el 23-oct-2026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https://finance.yahoo.com/quote/RXL.PA/history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Fichas de Yahoo Finance de los comparables (WCC, FERG, GWW, WSO, BEIJ-B.ST, RS1.L, BNZL.L, SOLAR-B.CO): precio, valor empresa, EBITDA y consenso de BPA y ventas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https://finance.yahoo.com/quote/WCC/analysis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23-oct-2026 (USD 1,1193; GBP 0,83728; SEK 11,131; DKK 7,4748)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consenso de RXL.PA tras el 3T26 (objetivo medio 41,86 €, 13 analistas; BPA 2026e 2,60 € y 2027e 3,01 €; recomendaciones)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https://finance.yahoo.com/quote/RXL.PA/analysis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Rexel surfe sur la demande nord-américaine et séduit les analystes (AOF: consenso previo del 3T +6,6 %, Jefferies y AlphaValue)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AOF vía 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https://www.boursorama.com/bourse/actualites/rexel-surfe-sur-la-demande-nord-americaine-et-seduit-les-analystes-2def4338509872cb8fe855b5b4e1c8e4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Boursorama REXEL: «les resultats sont encore tres bons»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https://www.boursorama.com/bourse/forum/1rPRXL/detail/468265335/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Boursorama REXEL: «Baisse?» y «REXEL - Rexel»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https://www.boursorama.com/bourse/forum/1rPRXL/detail/468268175/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Boursorama REXEL: «Jolie étoile filante le vendredi...»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https://www.boursorama.com/bourse/forum/1rPRXL/detail/468290882/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Boursorama REXEL: «youhou scenario baissier invalidé par la cloture»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https://www.boursorama.com/bourse/forum/1rPRXL/detail/468297858/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Boursorama REXEL: «une AK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https://www.boursorama.com/bourse/forum/1rPRXL/detail/468496745/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Boursorama REXEL: «upgrade investir!!»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https://www.boursorama.com/bourse/forum/1rPRXL/detail/468521086/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Rexel S.A. (RXEEY): noticias, análisis y transcripciones (RSS)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https://seekingalpha.com/symbol/RXEEY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Boursorama REXEL: «Je préviens; REXEL va chuter !» (20-23 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https://www.boursorama.com/bourse/forum/1rPRXL/detail/468583132/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RSS de RXEEY: transcripción y presentación de la conferencia del 3T26 (22-oct; texto de pago)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https://seekingalpha.com/api/sa/combined/RXEEY.xml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France: Moody's maintient la note souveraine à Aa3 avec perspective négative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Allnews (AWP)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https://allnews.ch/node/152441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Avis d'analystes France : Jefferies passe positif sur Rexel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https://www.boursorama.com/bourse/actualites/avis-d-analystes-france-jefferies-passe-positif-sur-rexel-td-cowen-revalorise-kering-0edace9f29d790db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Rexel maintient ses objectifs (ventas del 1T26 por debajo de lo esperado)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https://www.boursorama.com/bourse/actualites/rexel-maintient-ses-objectifs-123da20210505b9d8f98a8cd6ddba462</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90,5 %</w:t>
      </w:r>
      <w:r>
        <w:t xml:space="preserve"> · Secciones con menos del 60 % de campos cubiertos: </w:t>
      </w:r>
      <w:r>
        <w:rPr>
          <w:b/>
          <w:bCs/>
        </w:rPr>
        <w:t xml:space="preserve">rentabilidad</w:t>
      </w:r>
      <w:r>
        <w:t xml:space="preserve"> · Generado el 26 oct 2026.</w:t>
      </w:r>
    </w:p>
    <w:p>
      <w:pPr>
        <w:pStyle w:val="Nota"/>
        <w:spacing w:after="100"/>
      </w:pPr>
      <w:r>
        <w:t xml:space="preserve">Cuentas consolidadas NIIF-UE en millones de EUR; ejercicio natural. 2021-2023 salen del XBRL ESEF del regulador (filings.xbrl.org, LEI 969500N6AVPA51648T62; el 26-oct sigue sin 2024 ni 2025) comprobado contra el URD 2024 [2, 3]; 2024 y 2025 salen del URD 2025 [1], recomprobados en esta iteración. El EBITDA es el de la empresa (resultado operativo antes de amortizaciones y de otros ingresos y gastos): en la cuenta, los otros gastos netos van como no recurrentes dentro del EBITDA, incluida la multa de 124 M de 2024. El 3T26 solo trae ventas: los últimos 12 meses de resultados siguen siendo los de junio de 2026 [5, 15]. GCG (1.400 M USD, cierre previsto a final de 2026) entra en la proyección desde 2027 y su precio en el puente (otros_ajustes, al tipo del BCE del 23-oct), con la caja de la ampliación de 500 M cobrada el 1-oct restada [7, 8]. Acciones: 308,9 M (308,45 M en circulación a 1-oct más ≈ 0,45 M de acciones gratuitas) [9]. Precio: cierre del viernes 23-oct-2026 en Euronext París, 32,63 EUR [40]; el lunes 26-oct, a las 10:54, cotizaba a 33,47 EUR. La OAT a 10 años sale de la prensa (AFP: por encima del 5 %, 5,14 % el 22-oct), sin serie diaria oficial accesible [27]. Las ventas del 3T26 se publicaron el 22-oct tras el cierre de la bolsa [15].</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26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Rexel S.A. (RXL)</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32,63</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(28,83 – 39,80)</c:v>
                </c:pt>
                <c:pt idx="1">
                  <c:v>Precio objetivo de los analistas (30,00 – 46,00)</c:v>
                </c:pt>
                <c:pt idx="2">
                  <c:v>Comparables: PER NTM (45,59 – 68,16)</c:v>
                </c:pt>
                <c:pt idx="3">
                  <c:v>Transacciones precedentes (EV/EBITDA) (30,75 – 54,86)</c:v>
                </c:pt>
                <c:pt idx="4">
                  <c:v>DCF (WACC y g ± 0,5) (32,02 – 49,71)</c:v>
                </c:pt>
                <c:pt idx="5">
                  <c:v>Escenarios (bajista – alcista) (27,37 – 45,18)</c:v>
                </c:pt>
                <c:pt idx="6">
                  <c:v>DCF con la prima implícita del mercado (4,2 %)</c:v>
                </c:pt>
                <c:pt idx="7">
                  <c:v>Precio actual (32,63)</c:v>
                </c:pt>
              </c:strCache>
            </c:strRef>
          </c:cat>
          <c:val>
            <c:numRef>
              <c:f>Hoja1!$B$2:$B$9</c:f>
              <c:numCache>
                <c:formatCode>#,##0.0</c:formatCode>
                <c:ptCount val="8"/>
                <c:pt idx="0">
                  <c:v>28.83</c:v>
                </c:pt>
                <c:pt idx="1">
                  <c:v>30</c:v>
                </c:pt>
                <c:pt idx="2">
                  <c:v>45.59</c:v>
                </c:pt>
                <c:pt idx="3">
                  <c:v>30.75</c:v>
                </c:pt>
                <c:pt idx="4">
                  <c:v>32.02</c:v>
                </c:pt>
                <c:pt idx="5">
                  <c:v>27.37</c:v>
                </c:pt>
                <c:pt idx="6">
                  <c:v>46.24</c:v>
                </c:pt>
                <c:pt idx="7">
                  <c:v>32.47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(28,83 – 39,80)</c:v>
                </c:pt>
                <c:pt idx="1">
                  <c:v>Precio objetivo de los analistas (30,00 – 46,00)</c:v>
                </c:pt>
                <c:pt idx="2">
                  <c:v>Comparables: PER NTM (45,59 – 68,16)</c:v>
                </c:pt>
                <c:pt idx="3">
                  <c:v>Transacciones precedentes (EV/EBITDA) (30,75 – 54,86)</c:v>
                </c:pt>
                <c:pt idx="4">
                  <c:v>DCF (WACC y g ± 0,5) (32,02 – 49,71)</c:v>
                </c:pt>
                <c:pt idx="5">
                  <c:v>Escenarios (bajista – alcista) (27,37 – 45,18)</c:v>
                </c:pt>
                <c:pt idx="6">
                  <c:v>DCF con la prima implícita del mercado (4,2 %)</c:v>
                </c:pt>
                <c:pt idx="7">
                  <c:v>Precio actual (32,63)</c:v>
                </c:pt>
              </c:strCache>
            </c:strRef>
          </c:cat>
          <c:val>
            <c:numRef>
              <c:f>Hoja1!$C$2:$C$9</c:f>
              <c:numCache>
                <c:formatCode>#,##0.0</c:formatCode>
                <c:ptCount val="8"/>
                <c:pt idx="0">
                  <c:v>10.969999999999999</c:v>
                </c:pt>
                <c:pt idx="1">
                  <c:v>16</c:v>
                </c:pt>
                <c:pt idx="2">
                  <c:v>22.569999999999993</c:v>
                </c:pt>
                <c:pt idx="3">
                  <c:v>24.11</c:v>
                </c:pt>
                <c:pt idx="4">
                  <c:v>17.689999999999998</c:v>
                </c:pt>
                <c:pt idx="5">
                  <c:v>17.81</c:v>
                </c:pt>
                <c:pt idx="6">
                  <c:v>15.04</c:v>
                </c:pt>
                <c:pt idx="7">
                  <c:v>0.3200000000000003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Europa</c:v>
                </c:pt>
              </c:strCache>
            </c:strRef>
          </c:tx>
          <c:spPr>
            <a:solidFill>
              <a:srgbClr val="2A78D6"/>
            </a:solidFill>
            <a:ln w="12700">
              <a:solidFill>
                <a:srgbClr val="FFFFFF"/>
              </a:solidFill>
            </a:ln>
          </c:spPr>
          <c:invertIfNegative val="0"/>
          <c:cat>
            <c:strRef>
              <c:f>Hoja1!$A$2:$A$4</c:f>
              <c:strCache>
                <c:ptCount val="3"/>
                <c:pt idx="0">
                  <c:v>2023</c:v>
                </c:pt>
                <c:pt idx="1">
                  <c:v>2024</c:v>
                </c:pt>
                <c:pt idx="2">
                  <c:v>2025</c:v>
                </c:pt>
              </c:strCache>
            </c:strRef>
          </c:cat>
          <c:val>
            <c:numRef>
              <c:f>Hoja1!$B$2:$B$4</c:f>
              <c:numCache>
                <c:formatCode>#,##0</c:formatCode>
                <c:ptCount val="3"/>
                <c:pt idx="0">
                  <c:v>9619.1</c:v>
                </c:pt>
                <c:pt idx="1">
                  <c:v>9550.6</c:v>
                </c:pt>
                <c:pt idx="2">
                  <c:v>9403.2</c:v>
                </c:pt>
              </c:numCache>
            </c:numRef>
          </c:val>
        </c:ser>
        <c:ser>
          <c:idx val="1"/>
          <c:order val="1"/>
          <c:tx>
            <c:strRef>
              <c:f>Hoja1!$C$1</c:f>
              <c:strCache>
                <c:ptCount val="1"/>
                <c:pt idx="0">
                  <c:v>Norteamérica</c:v>
                </c:pt>
              </c:strCache>
            </c:strRef>
          </c:tx>
          <c:spPr>
            <a:solidFill>
              <a:srgbClr val="EB6834"/>
            </a:solidFill>
            <a:ln w="12700">
              <a:solidFill>
                <a:srgbClr val="FFFFFF"/>
              </a:solidFill>
            </a:ln>
          </c:spPr>
          <c:invertIfNegative val="0"/>
          <c:cat>
            <c:strRef>
              <c:f>Hoja1!$A$2:$A$4</c:f>
              <c:strCache>
                <c:ptCount val="3"/>
                <c:pt idx="0">
                  <c:v>2023</c:v>
                </c:pt>
                <c:pt idx="1">
                  <c:v>2024</c:v>
                </c:pt>
                <c:pt idx="2">
                  <c:v>2025</c:v>
                </c:pt>
              </c:strCache>
            </c:strRef>
          </c:cat>
          <c:val>
            <c:numRef>
              <c:f>Hoja1!$C$2:$C$4</c:f>
              <c:numCache>
                <c:formatCode>#,##0</c:formatCode>
                <c:ptCount val="3"/>
                <c:pt idx="0">
                  <c:v>8231.6</c:v>
                </c:pt>
                <c:pt idx="1">
                  <c:v>8461.8</c:v>
                </c:pt>
                <c:pt idx="2">
                  <c:v>8906.8</c:v>
                </c:pt>
              </c:numCache>
            </c:numRef>
          </c:val>
        </c:ser>
        <c:ser>
          <c:idx val="2"/>
          <c:order val="2"/>
          <c:tx>
            <c:strRef>
              <c:f>Hoja1!$D$1</c:f>
              <c:strCache>
                <c:ptCount val="1"/>
                <c:pt idx="0">
                  <c:v>Asia-Pacífico</c:v>
                </c:pt>
              </c:strCache>
            </c:strRef>
          </c:tx>
          <c:spPr>
            <a:solidFill>
              <a:srgbClr val="1BAF7A"/>
            </a:solidFill>
            <a:ln w="12700">
              <a:solidFill>
                <a:srgbClr val="FFFFFF"/>
              </a:solidFill>
            </a:ln>
          </c:spPr>
          <c:invertIfNegative val="0"/>
          <c:cat>
            <c:strRef>
              <c:f>Hoja1!$A$2:$A$4</c:f>
              <c:strCache>
                <c:ptCount val="3"/>
                <c:pt idx="0">
                  <c:v>2023</c:v>
                </c:pt>
                <c:pt idx="1">
                  <c:v>2024</c:v>
                </c:pt>
                <c:pt idx="2">
                  <c:v>2025</c:v>
                </c:pt>
              </c:strCache>
            </c:strRef>
          </c:cat>
          <c:val>
            <c:numRef>
              <c:f>Hoja1!$D$2:$D$4</c:f>
              <c:numCache>
                <c:formatCode>#,##0</c:formatCode>
                <c:ptCount val="3"/>
                <c:pt idx="0">
                  <c:v>1302.7</c:v>
                </c:pt>
                <c:pt idx="1">
                  <c:v>1272.7</c:v>
                </c:pt>
                <c:pt idx="2">
                  <c:v>1104.7</c:v>
                </c:pt>
              </c:numCache>
            </c:numRef>
          </c:val>
        </c:ser>
        <c:ser>
          <c:idx val="3"/>
          <c:order val="3"/>
          <c:tx>
            <c:strRef>
              <c:f>Hoja1!$E$1</c:f>
              <c:strCache>
                <c:ptCount val="1"/>
                <c:pt idx="0">
                  <c:v>Corporativo</c:v>
                </c:pt>
              </c:strCache>
            </c:strRef>
          </c:tx>
          <c:spPr>
            <a:solidFill>
              <a:srgbClr val="EDA100"/>
            </a:solidFill>
            <a:ln w="12700">
              <a:solidFill>
                <a:srgbClr val="FFFFFF"/>
              </a:solidFill>
            </a:ln>
          </c:spPr>
          <c:invertIfNegative val="0"/>
          <c:cat>
            <c:strRef>
              <c:f>Hoja1!$A$2:$A$4</c:f>
              <c:strCache>
                <c:ptCount val="3"/>
                <c:pt idx="0">
                  <c:v>2023</c:v>
                </c:pt>
                <c:pt idx="1">
                  <c:v>2024</c:v>
                </c:pt>
                <c:pt idx="2">
                  <c:v>2025</c:v>
                </c:pt>
              </c:strCache>
            </c:strRef>
          </c:cat>
          <c:val>
            <c:numRef>
              <c:f>Hoja1!$E$2:$E$4</c:f>
              <c:numCache>
                <c:formatCode>#,##0</c:formatCode>
                <c:ptCount val="3"/>
                <c:pt idx="0">
                  <c:v>0</c:v>
                </c:pt>
                <c:pt idx="1">
                  <c:v>0</c:v>
                </c:pt>
                <c:pt idx="2">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Europa</c:v>
                </c:pt>
                <c:pt idx="1">
                  <c:v>Norteamérica</c:v>
                </c:pt>
                <c:pt idx="2">
                  <c:v>Asia-Pacífico</c:v>
                </c:pt>
                <c:pt idx="3">
                  <c:v>Corporativo</c:v>
                </c:pt>
              </c:strCache>
            </c:strRef>
          </c:cat>
          <c:val>
            <c:numRef>
              <c:f>Hoja1!$B$2:$B$5</c:f>
              <c:numCache>
                <c:formatCode>General</c:formatCode>
                <c:ptCount val="4"/>
                <c:pt idx="0">
                  <c:v>48.4</c:v>
                </c:pt>
                <c:pt idx="1">
                  <c:v>45.9</c:v>
                </c:pt>
                <c:pt idx="2">
                  <c:v>5.7</c:v>
                </c:pt>
                <c:pt idx="3">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Estados Unidos</c:v>
                </c:pt>
                <c:pt idx="1">
                  <c:v>Francia</c:v>
                </c:pt>
                <c:pt idx="2">
                  <c:v>DACH (Alemania, Austria, Suiza)</c:v>
                </c:pt>
                <c:pt idx="3">
                  <c:v>Benelux</c:v>
                </c:pt>
                <c:pt idx="4">
                  <c:v>Canadá</c:v>
                </c:pt>
                <c:pt idx="5">
                  <c:v>Reino Unido e Irlanda</c:v>
                </c:pt>
                <c:pt idx="6">
                  <c:v>Nórdicos</c:v>
                </c:pt>
                <c:pt idx="7">
                  <c:v>Asia-Pacífico</c:v>
                </c:pt>
              </c:strCache>
            </c:strRef>
          </c:cat>
          <c:val>
            <c:numRef>
              <c:f>Hoja1!$B$2:$B$9</c:f>
              <c:numCache>
                <c:formatCode>0"%"</c:formatCode>
                <c:ptCount val="8"/>
                <c:pt idx="0">
                  <c:v>38</c:v>
                </c:pt>
                <c:pt idx="1">
                  <c:v>19.3</c:v>
                </c:pt>
                <c:pt idx="2">
                  <c:v>11.3</c:v>
                </c:pt>
                <c:pt idx="3">
                  <c:v>8</c:v>
                </c:pt>
                <c:pt idx="4">
                  <c:v>7.9</c:v>
                </c:pt>
                <c:pt idx="5">
                  <c:v>4.9</c:v>
                </c:pt>
                <c:pt idx="6">
                  <c:v>3.8</c:v>
                </c:pt>
                <c:pt idx="7">
                  <c:v>6.8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2</c:v>
                </c:pt>
                <c:pt idx="2">
                  <c:v>3</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Rexel</c:v>
                </c:pt>
                <c:pt idx="1">
                  <c:v>Sonepar</c:v>
                </c:pt>
                <c:pt idx="2">
                  <c:v>WESCO International</c:v>
                </c:pt>
                <c:pt idx="3">
                  <c:v>Graybar Electric</c:v>
                </c:pt>
                <c:pt idx="4">
                  <c:v>Solar A/S</c:v>
                </c:pt>
              </c:strCache>
            </c:strRef>
          </c:cat>
          <c:val>
            <c:numRef>
              <c:f>Hoja1!$B$2:$B$6</c:f>
              <c:numCache>
                <c:formatCode>0.0"%"</c:formatCode>
                <c:ptCount val="5"/>
                <c:pt idx="0">
                  <c:v>5.8</c:v>
                </c:pt>
                <c:pt idx="2">
                  <c:v>5.3</c:v>
                </c:pt>
                <c:pt idx="3">
                  <c:v>4.5</c:v>
                </c:pt>
                <c:pt idx="4">
                  <c:v>1.5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2</c:v>
                </c:pt>
                <c:pt idx="2">
                  <c:v>1</c:v>
                </c:pt>
                <c:pt idx="3">
                  <c:v>3</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Hoja1!$A$2:$A$13</c:f>
              <c:strCache>
                <c:ptCount val="12"/>
                <c:pt idx="0">
                  <c:v>2021</c:v>
                </c:pt>
                <c:pt idx="1">
                  <c:v>2022</c:v>
                </c:pt>
                <c:pt idx="2">
                  <c:v>2023</c:v>
                </c:pt>
                <c:pt idx="3">
                  <c:v>2024</c:v>
                </c:pt>
                <c:pt idx="4">
                  <c:v>2025</c:v>
                </c:pt>
                <c:pt idx="5">
                  <c:v>2026e</c:v>
                </c:pt>
                <c:pt idx="6">
                  <c:v>2027e</c:v>
                </c:pt>
                <c:pt idx="7">
                  <c:v>2028e</c:v>
                </c:pt>
                <c:pt idx="8">
                  <c:v>2029e</c:v>
                </c:pt>
                <c:pt idx="9">
                  <c:v>2030e</c:v>
                </c:pt>
                <c:pt idx="10">
                  <c:v>2031e</c:v>
                </c:pt>
                <c:pt idx="11">
                  <c:v>2032e</c:v>
                </c:pt>
              </c:strCache>
            </c:strRef>
          </c:cat>
          <c:val>
            <c:numRef>
              <c:f>Hoja1!$B$2:$B$13</c:f>
              <c:numCache>
                <c:formatCode>#,##0</c:formatCode>
                <c:ptCount val="12"/>
                <c:pt idx="0">
                  <c:v>14690.2</c:v>
                </c:pt>
                <c:pt idx="1">
                  <c:v>18701.6</c:v>
                </c:pt>
                <c:pt idx="2">
                  <c:v>19153.4</c:v>
                </c:pt>
                <c:pt idx="3">
                  <c:v>19285.1</c:v>
                </c:pt>
                <c:pt idx="4">
                  <c:v>19414.6</c:v>
                </c:pt>
                <c:pt idx="5">
                  <c:v>20871</c:v>
                </c:pt>
                <c:pt idx="6">
                  <c:v>22958</c:v>
                </c:pt>
                <c:pt idx="7">
                  <c:v>24106</c:v>
                </c:pt>
                <c:pt idx="8">
                  <c:v>25190</c:v>
                </c:pt>
                <c:pt idx="9">
                  <c:v>26198</c:v>
                </c:pt>
                <c:pt idx="10">
                  <c:v>27115</c:v>
                </c:pt>
                <c:pt idx="11">
                  <c:v>27928</c:v>
                </c:pt>
              </c:numCache>
            </c:numRef>
          </c:val>
        </c:ser>
        <c:ser>
          <c:idx val="1"/>
          <c:order val="1"/>
          <c:tx>
            <c:strRef>
              <c:f>Hoja1!$C$1</c:f>
              <c:strCache>
                <c:ptCount val="1"/>
                <c:pt idx="0">
                  <c:v>EBITDA</c:v>
                </c:pt>
              </c:strCache>
            </c:strRef>
          </c:tx>
          <c:spPr>
            <a:solidFill>
              <a:srgbClr val="EB6834"/>
            </a:solidFill>
            <a:ln w="9525">
              <a:noFill/>
            </a:ln>
          </c:spPr>
          <c:invertIfNegative val="0"/>
          <c:cat>
            <c:strRef>
              <c:f>Hoja1!$A$2:$A$13</c:f>
              <c:strCache>
                <c:ptCount val="12"/>
                <c:pt idx="0">
                  <c:v>2021</c:v>
                </c:pt>
                <c:pt idx="1">
                  <c:v>2022</c:v>
                </c:pt>
                <c:pt idx="2">
                  <c:v>2023</c:v>
                </c:pt>
                <c:pt idx="3">
                  <c:v>2024</c:v>
                </c:pt>
                <c:pt idx="4">
                  <c:v>2025</c:v>
                </c:pt>
                <c:pt idx="5">
                  <c:v>2026e</c:v>
                </c:pt>
                <c:pt idx="6">
                  <c:v>2027e</c:v>
                </c:pt>
                <c:pt idx="7">
                  <c:v>2028e</c:v>
                </c:pt>
                <c:pt idx="8">
                  <c:v>2029e</c:v>
                </c:pt>
                <c:pt idx="9">
                  <c:v>2030e</c:v>
                </c:pt>
                <c:pt idx="10">
                  <c:v>2031e</c:v>
                </c:pt>
                <c:pt idx="11">
                  <c:v>2032e</c:v>
                </c:pt>
              </c:strCache>
            </c:strRef>
          </c:cat>
          <c:val>
            <c:numRef>
              <c:f>Hoja1!$C$2:$C$13</c:f>
              <c:numCache>
                <c:formatCode>#,##0</c:formatCode>
                <c:ptCount val="12"/>
                <c:pt idx="0">
                  <c:v>1272</c:v>
                </c:pt>
                <c:pt idx="1">
                  <c:v>1680.7</c:v>
                </c:pt>
                <c:pt idx="2">
                  <c:v>1633.1</c:v>
                </c:pt>
                <c:pt idx="3">
                  <c:v>1515.6000000000001</c:v>
                </c:pt>
                <c:pt idx="4">
                  <c:v>1552.6000000000001</c:v>
                </c:pt>
                <c:pt idx="5">
                  <c:v>1774</c:v>
                </c:pt>
                <c:pt idx="6">
                  <c:v>2020</c:v>
                </c:pt>
                <c:pt idx="7">
                  <c:v>2145</c:v>
                </c:pt>
                <c:pt idx="8">
                  <c:v>2267</c:v>
                </c:pt>
                <c:pt idx="9">
                  <c:v>2358</c:v>
                </c:pt>
                <c:pt idx="10">
                  <c:v>2440</c:v>
                </c:pt>
                <c:pt idx="11">
                  <c:v>2514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26.4</c:v>
                </c:pt>
                <c:pt idx="1">
                  <c:v>26</c:v>
                </c:pt>
                <c:pt idx="2">
                  <c:v>25.5</c:v>
                </c:pt>
                <c:pt idx="3">
                  <c:v>24.9</c:v>
                </c:pt>
                <c:pt idx="4">
                  <c:v>25.1</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8.7</c:v>
                </c:pt>
                <c:pt idx="1">
                  <c:v>9</c:v>
                </c:pt>
                <c:pt idx="2">
                  <c:v>8.5</c:v>
                </c:pt>
                <c:pt idx="3">
                  <c:v>7.9</c:v>
                </c:pt>
                <c:pt idx="4">
                  <c:v>8</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6.5</c:v>
                </c:pt>
                <c:pt idx="1">
                  <c:v>7.1</c:v>
                </c:pt>
                <c:pt idx="2">
                  <c:v>6.6</c:v>
                </c:pt>
                <c:pt idx="3">
                  <c:v>5.7</c:v>
                </c:pt>
                <c:pt idx="4">
                  <c:v>5.8</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4.1</c:v>
                </c:pt>
                <c:pt idx="1">
                  <c:v>4.9</c:v>
                </c:pt>
                <c:pt idx="2">
                  <c:v>4</c:v>
                </c:pt>
                <c:pt idx="3">
                  <c:v>1.8</c:v>
                </c:pt>
                <c:pt idx="4">
                  <c:v>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Hoja1!$A$2:$A$8</c:f>
              <c:strCache>
                <c:ptCount val="7"/>
                <c:pt idx="0">
                  <c:v>1T25</c:v>
                </c:pt>
                <c:pt idx="1">
                  <c:v>2T25</c:v>
                </c:pt>
                <c:pt idx="2">
                  <c:v>3T25</c:v>
                </c:pt>
                <c:pt idx="3">
                  <c:v>4T25</c:v>
                </c:pt>
                <c:pt idx="4">
                  <c:v>1T26</c:v>
                </c:pt>
                <c:pt idx="5">
                  <c:v>2T26</c:v>
                </c:pt>
                <c:pt idx="6">
                  <c:v>3T26</c:v>
                </c:pt>
              </c:strCache>
            </c:strRef>
          </c:cat>
          <c:val>
            <c:numRef>
              <c:f>Hoja1!$B$2:$B$8</c:f>
              <c:numCache>
                <c:formatCode>0.0"%"</c:formatCode>
                <c:ptCount val="7"/>
                <c:pt idx="4">
                  <c:v>-1.8</c:v>
                </c:pt>
                <c:pt idx="5">
                  <c:v>6.1</c:v>
                </c:pt>
                <c:pt idx="6">
                  <c:v>14.6</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Hoja1!$A$2:$A$8</c:f>
              <c:strCache>
                <c:ptCount val="7"/>
                <c:pt idx="0">
                  <c:v>1T25</c:v>
                </c:pt>
                <c:pt idx="1">
                  <c:v>2T25</c:v>
                </c:pt>
                <c:pt idx="2">
                  <c:v>3T25</c:v>
                </c:pt>
                <c:pt idx="3">
                  <c:v>4T25</c:v>
                </c:pt>
                <c:pt idx="4">
                  <c:v>1T26</c:v>
                </c:pt>
                <c:pt idx="5">
                  <c:v>2T26</c:v>
                </c:pt>
                <c:pt idx="6">
                  <c:v>3T26</c:v>
                </c:pt>
              </c:strCache>
            </c:strRef>
          </c:cat>
          <c:val>
            <c:numRef>
              <c:f>Hoja1!$C$2:$C$8</c:f>
              <c:numCache>
                <c:formatCode>0.0"%"</c:formatCode>
                <c:ptCount val="7"/>
                <c:pt idx="2">
                  <c:v>3</c:v>
                </c:pt>
                <c:pt idx="4">
                  <c:v>3.4</c:v>
                </c:pt>
                <c:pt idx="5">
                  <c:v>6.7</c:v>
                </c:pt>
                <c:pt idx="6">
                  <c:v>11.4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58</c:v>
                </c:pt>
                <c:pt idx="1">
                  <c:v>51</c:v>
                </c:pt>
                <c:pt idx="2">
                  <c:v>50</c:v>
                </c:pt>
                <c:pt idx="3">
                  <c:v>51</c:v>
                </c:pt>
                <c:pt idx="4">
                  <c:v>50</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69</c:v>
                </c:pt>
                <c:pt idx="1">
                  <c:v>60</c:v>
                </c:pt>
                <c:pt idx="2">
                  <c:v>61</c:v>
                </c:pt>
                <c:pt idx="3">
                  <c:v>63</c:v>
                </c:pt>
                <c:pt idx="4">
                  <c:v>59</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73</c:v>
                </c:pt>
                <c:pt idx="1">
                  <c:v>63</c:v>
                </c:pt>
                <c:pt idx="2">
                  <c:v>59</c:v>
                </c:pt>
                <c:pt idx="3">
                  <c:v>58</c:v>
                </c:pt>
                <c:pt idx="4">
                  <c:v>54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419.5000000000001</c:v>
                </c:pt>
                <c:pt idx="1">
                  <c:v>496.6</c:v>
                </c:pt>
                <c:pt idx="2">
                  <c:v>562.8000000000001</c:v>
                </c:pt>
                <c:pt idx="3">
                  <c:v>499.69999999999993</c:v>
                </c:pt>
                <c:pt idx="4">
                  <c:v>396.9</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597.2</c:v>
                </c:pt>
                <c:pt idx="1">
                  <c:v>922.3</c:v>
                </c:pt>
                <c:pt idx="2">
                  <c:v>774.7</c:v>
                </c:pt>
                <c:pt idx="3">
                  <c:v>339.1</c:v>
                </c:pt>
                <c:pt idx="4">
                  <c:v>588.9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10.1</c:v>
                </c:pt>
                <c:pt idx="1">
                  <c:v>13.2</c:v>
                </c:pt>
                <c:pt idx="2">
                  <c:v>11.1</c:v>
                </c:pt>
                <c:pt idx="3">
                  <c:v>7.3</c:v>
                </c:pt>
                <c:pt idx="4">
                  <c:v>8.3</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8.3</c:v>
                </c:pt>
                <c:pt idx="1">
                  <c:v>8.3</c:v>
                </c:pt>
                <c:pt idx="2">
                  <c:v>8.3</c:v>
                </c:pt>
                <c:pt idx="3">
                  <c:v>8.3</c:v>
                </c:pt>
                <c:pt idx="4">
                  <c:v>8.3</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13.1</c:v>
                </c:pt>
                <c:pt idx="1">
                  <c:v>18.7</c:v>
                </c:pt>
                <c:pt idx="2">
                  <c:v>14.3</c:v>
                </c:pt>
                <c:pt idx="3">
                  <c:v>6.1</c:v>
                </c:pt>
                <c:pt idx="4">
                  <c:v>10.7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2.14</c:v>
                </c:pt>
                <c:pt idx="1">
                  <c:v>1.58</c:v>
                </c:pt>
                <c:pt idx="2">
                  <c:v>2</c:v>
                </c:pt>
                <c:pt idx="3">
                  <c:v>2.55</c:v>
                </c:pt>
                <c:pt idx="4">
                  <c:v>2.63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2026-27 (corto plazo)</c:v>
                </c:pt>
                <c:pt idx="1">
                  <c:v>2028</c:v>
                </c:pt>
                <c:pt idx="2">
                  <c:v>2030</c:v>
                </c:pt>
                <c:pt idx="3">
                  <c:v>2031</c:v>
                </c:pt>
                <c:pt idx="4">
                  <c:v>Otros 2027-2031 (Schuldschein, titulización y bancos a largo)</c:v>
                </c:pt>
              </c:strCache>
            </c:strRef>
          </c:cat>
          <c:val>
            <c:numRef>
              <c:f>Hoja1!$B$2:$B$6</c:f>
              <c:numCache>
                <c:formatCode>#,##0</c:formatCode>
                <c:ptCount val="5"/>
                <c:pt idx="0">
                  <c:v>781</c:v>
                </c:pt>
                <c:pt idx="1">
                  <c:v>1000</c:v>
                </c:pt>
                <c:pt idx="2">
                  <c:v>800</c:v>
                </c:pt>
                <c:pt idx="3">
                  <c:v>400</c:v>
                </c:pt>
                <c:pt idx="4">
                  <c:v>1320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426.3</c:v>
                </c:pt>
                <c:pt idx="1">
                  <c:v>150</c:v>
                </c:pt>
                <c:pt idx="2">
                  <c:v>686.6</c:v>
                </c:pt>
                <c:pt idx="3">
                  <c:v>437.2</c:v>
                </c:pt>
                <c:pt idx="4">
                  <c:v>330.9</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139.6</c:v>
                </c:pt>
                <c:pt idx="1">
                  <c:v>230.1</c:v>
                </c:pt>
                <c:pt idx="2">
                  <c:v>362.2</c:v>
                </c:pt>
                <c:pt idx="3">
                  <c:v>357.2</c:v>
                </c:pt>
                <c:pt idx="4">
                  <c:v>354.6</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0</c:v>
                </c:pt>
                <c:pt idx="1">
                  <c:v>66.3</c:v>
                </c:pt>
                <c:pt idx="2">
                  <c:v>131.4</c:v>
                </c:pt>
                <c:pt idx="3">
                  <c:v>102</c:v>
                </c:pt>
                <c:pt idx="4">
                  <c:v>96.6</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Independiente</c:v>
                </c:pt>
                <c:pt idx="1">
                  <c:v>Dominical</c:v>
                </c:pt>
                <c:pt idx="2">
                  <c:v>Ejecutivo</c:v>
                </c:pt>
                <c:pt idx="3">
                  <c:v>Otro externo</c:v>
                </c:pt>
              </c:strCache>
            </c:strRef>
          </c:cat>
          <c:val>
            <c:numRef>
              <c:f>Hoja1!$B$2:$B$5</c:f>
              <c:numCache>
                <c:formatCode>0</c:formatCode>
                <c:ptCount val="4"/>
                <c:pt idx="0">
                  <c:v>7</c:v>
                </c:pt>
                <c:pt idx="1">
                  <c:v>1</c:v>
                </c:pt>
                <c:pt idx="2">
                  <c:v>1</c:v>
                </c:pt>
                <c:pt idx="3">
                  <c:v>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Cevian Capital</c:v>
                </c:pt>
                <c:pt idx="1">
                  <c:v>Principal Global Investors</c:v>
                </c:pt>
                <c:pt idx="2">
                  <c:v>BlackRock</c:v>
                </c:pt>
                <c:pt idx="3">
                  <c:v>Norges Bank</c:v>
                </c:pt>
                <c:pt idx="4">
                  <c:v>Pzena Investment Management</c:v>
                </c:pt>
                <c:pt idx="5">
                  <c:v>Empleados y FCPE</c:v>
                </c:pt>
                <c:pt idx="6">
                  <c:v>Autocartera</c:v>
                </c:pt>
              </c:strCache>
            </c:strRef>
          </c:cat>
          <c:val>
            <c:numRef>
              <c:f>Hoja1!$B$2:$B$8</c:f>
              <c:numCache>
                <c:formatCode>0.0"%"</c:formatCode>
                <c:ptCount val="7"/>
                <c:pt idx="0">
                  <c:v>19</c:v>
                </c:pt>
                <c:pt idx="1">
                  <c:v>4.8</c:v>
                </c:pt>
                <c:pt idx="2">
                  <c:v>4.8</c:v>
                </c:pt>
                <c:pt idx="3">
                  <c:v>4.6</c:v>
                </c:pt>
                <c:pt idx="4">
                  <c:v>4.7</c:v>
                </c:pt>
                <c:pt idx="5">
                  <c:v>1.6</c:v>
                </c:pt>
                <c:pt idx="6">
                  <c:v>0.94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31</c:v>
                </c:pt>
                <c:pt idx="1">
                  <c:v>-0.6</c:v>
                </c:pt>
                <c:pt idx="2">
                  <c:v>-36.3</c:v>
                </c:pt>
                <c:pt idx="3">
                  <c:v>32.6</c:v>
                </c:pt>
                <c:pt idx="4">
                  <c:v>8.9</c:v>
                </c:pt>
                <c:pt idx="5">
                  <c:v>42.1</c:v>
                </c:pt>
                <c:pt idx="6">
                  <c:v>7.5</c:v>
                </c:pt>
                <c:pt idx="7">
                  <c:v>34.3</c:v>
                </c:pt>
                <c:pt idx="8">
                  <c:v>3.7</c:v>
                </c:pt>
                <c:pt idx="9">
                  <c:v>43</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1.6</c:v>
                </c:pt>
                <c:pt idx="1">
                  <c:v>10.7</c:v>
                </c:pt>
                <c:pt idx="2">
                  <c:v>-11</c:v>
                </c:pt>
                <c:pt idx="3">
                  <c:v>28.4</c:v>
                </c:pt>
                <c:pt idx="4">
                  <c:v>-1.8</c:v>
                </c:pt>
                <c:pt idx="5">
                  <c:v>24.6</c:v>
                </c:pt>
                <c:pt idx="6">
                  <c:v>-10.3</c:v>
                </c:pt>
                <c:pt idx="7">
                  <c:v>15.5</c:v>
                </c:pt>
                <c:pt idx="8">
                  <c:v>8.5</c:v>
                </c:pt>
                <c:pt idx="9">
                  <c:v>20.5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6.4</c:v>
                </c:pt>
                <c:pt idx="1">
                  <c:v>4.9</c:v>
                </c:pt>
                <c:pt idx="2">
                  <c:v>6.6</c:v>
                </c:pt>
                <c:pt idx="3">
                  <c:v>7.4</c:v>
                </c:pt>
                <c:pt idx="4">
                  <c:v>9</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6.5</c:v>
                </c:pt>
                <c:pt idx="1">
                  <c:v>6.5</c:v>
                </c:pt>
                <c:pt idx="2">
                  <c:v>6.5</c:v>
                </c:pt>
                <c:pt idx="3">
                  <c:v>6.5</c:v>
                </c:pt>
                <c:pt idx="4">
                  <c:v>6.5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Rexel</c:v>
                </c:pt>
                <c:pt idx="1">
                  <c:v>WESCO International</c:v>
                </c:pt>
                <c:pt idx="2">
                  <c:v>Ferguson Enterprises</c:v>
                </c:pt>
                <c:pt idx="3">
                  <c:v>W.W. Grainger</c:v>
                </c:pt>
                <c:pt idx="4">
                  <c:v>Watsco</c:v>
                </c:pt>
                <c:pt idx="5">
                  <c:v>Beijer Ref</c:v>
                </c:pt>
                <c:pt idx="6">
                  <c:v>RS Group</c:v>
                </c:pt>
                <c:pt idx="7">
                  <c:v>Bunzl</c:v>
                </c:pt>
                <c:pt idx="8">
                  <c:v>Solar A/S</c:v>
                </c:pt>
              </c:strCache>
            </c:strRef>
          </c:cat>
          <c:val>
            <c:numRef>
              <c:f>Hoja1!$B$2:$B$10</c:f>
              <c:numCache>
                <c:formatCode>0.0"x"</c:formatCode>
                <c:ptCount val="9"/>
                <c:pt idx="0">
                  <c:v>8.3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GCG (cable especial, conectividad y soluciones de ingeniería, EE. UU.)</c:v>
                </c:pt>
                <c:pt idx="1">
                  <c:v>FloWorks (válvulas y control de fluidos industrial)</c:v>
                </c:pt>
                <c:pt idx="2">
                  <c:v>Foundation Building Materials (materiales de interior)</c:v>
                </c:pt>
                <c:pt idx="3">
                  <c:v>SRS Distribution (tejados, piscinas, paisajismo)</c:v>
                </c:pt>
                <c:pt idx="4">
                  <c:v>Rexel (propuesta no vinculante, rechazada)</c:v>
                </c:pt>
              </c:strCache>
            </c:strRef>
          </c:cat>
          <c:val>
            <c:numRef>
              <c:f>Hoja1!$B$2:$B$6</c:f>
              <c:numCache>
                <c:formatCode>0.0"x"</c:formatCode>
                <c:ptCount val="5"/>
                <c:pt idx="0">
                  <c:v>8</c:v>
                </c:pt>
                <c:pt idx="1">
                  <c:v>10</c:v>
                </c:pt>
                <c:pt idx="2">
                  <c:v>13.4</c:v>
                </c:pt>
                <c:pt idx="3">
                  <c:v>16.1</c:v>
                </c:pt>
                <c:pt idx="4">
                  <c:v>7.6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2026e</c:v>
                </c:pt>
                <c:pt idx="1">
                  <c:v>2027e</c:v>
                </c:pt>
                <c:pt idx="2">
                  <c:v>2028e</c:v>
                </c:pt>
                <c:pt idx="3">
                  <c:v>2029e</c:v>
                </c:pt>
                <c:pt idx="4">
                  <c:v>2030e</c:v>
                </c:pt>
                <c:pt idx="5">
                  <c:v>2031e</c:v>
                </c:pt>
                <c:pt idx="6">
                  <c:v>2032e</c:v>
                </c:pt>
              </c:strCache>
            </c:strRef>
          </c:cat>
          <c:val>
            <c:numRef>
              <c:f>Hoja1!$B$2:$B$8</c:f>
              <c:numCache>
                <c:formatCode>#,##0</c:formatCode>
                <c:ptCount val="7"/>
                <c:pt idx="0">
                  <c:v>709</c:v>
                </c:pt>
                <c:pt idx="1">
                  <c:v>814</c:v>
                </c:pt>
                <c:pt idx="2">
                  <c:v>1017</c:v>
                </c:pt>
                <c:pt idx="3">
                  <c:v>1095</c:v>
                </c:pt>
                <c:pt idx="4">
                  <c:v>1156</c:v>
                </c:pt>
                <c:pt idx="5">
                  <c:v>1199</c:v>
                </c:pt>
                <c:pt idx="6">
                  <c:v>1254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5155</c:v>
                </c:pt>
                <c:pt idx="1">
                  <c:v>12984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32,63</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27.37</c:v>
                </c:pt>
                <c:pt idx="1">
                  <c:v>39.41</c:v>
                </c:pt>
                <c:pt idx="2">
                  <c:v>45.18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32,63</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(28,83 – 39,80)</c:v>
                </c:pt>
                <c:pt idx="1">
                  <c:v>Precio objetivo de los analistas (30,00 – 46,00)</c:v>
                </c:pt>
                <c:pt idx="2">
                  <c:v>Comparables: PER NTM (45,59 – 68,16)</c:v>
                </c:pt>
                <c:pt idx="3">
                  <c:v>Transacciones precedentes (EV/EBITDA) (30,75 – 54,86)</c:v>
                </c:pt>
                <c:pt idx="4">
                  <c:v>DCF (WACC y g ± 0,5) (32,02 – 49,71)</c:v>
                </c:pt>
                <c:pt idx="5">
                  <c:v>Escenarios (bajista – alcista) (27,37 – 45,18)</c:v>
                </c:pt>
                <c:pt idx="6">
                  <c:v>DCF con la prima implícita del mercado (4,2 %)</c:v>
                </c:pt>
                <c:pt idx="7">
                  <c:v>Precio actual (32,63)</c:v>
                </c:pt>
              </c:strCache>
            </c:strRef>
          </c:cat>
          <c:val>
            <c:numRef>
              <c:f>Hoja1!$B$2:$B$9</c:f>
              <c:numCache>
                <c:formatCode>#,##0.0</c:formatCode>
                <c:ptCount val="8"/>
                <c:pt idx="0">
                  <c:v>28.83</c:v>
                </c:pt>
                <c:pt idx="1">
                  <c:v>30</c:v>
                </c:pt>
                <c:pt idx="2">
                  <c:v>45.59</c:v>
                </c:pt>
                <c:pt idx="3">
                  <c:v>30.75</c:v>
                </c:pt>
                <c:pt idx="4">
                  <c:v>32.02</c:v>
                </c:pt>
                <c:pt idx="5">
                  <c:v>27.37</c:v>
                </c:pt>
                <c:pt idx="6">
                  <c:v>46.24</c:v>
                </c:pt>
                <c:pt idx="7">
                  <c:v>32.47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(28,83 – 39,80)</c:v>
                </c:pt>
                <c:pt idx="1">
                  <c:v>Precio objetivo de los analistas (30,00 – 46,00)</c:v>
                </c:pt>
                <c:pt idx="2">
                  <c:v>Comparables: PER NTM (45,59 – 68,16)</c:v>
                </c:pt>
                <c:pt idx="3">
                  <c:v>Transacciones precedentes (EV/EBITDA) (30,75 – 54,86)</c:v>
                </c:pt>
                <c:pt idx="4">
                  <c:v>DCF (WACC y g ± 0,5) (32,02 – 49,71)</c:v>
                </c:pt>
                <c:pt idx="5">
                  <c:v>Escenarios (bajista – alcista) (27,37 – 45,18)</c:v>
                </c:pt>
                <c:pt idx="6">
                  <c:v>DCF con la prima implícita del mercado (4,2 %)</c:v>
                </c:pt>
                <c:pt idx="7">
                  <c:v>Precio actual (32,63)</c:v>
                </c:pt>
              </c:strCache>
            </c:strRef>
          </c:cat>
          <c:val>
            <c:numRef>
              <c:f>Hoja1!$C$2:$C$9</c:f>
              <c:numCache>
                <c:formatCode>#,##0.0</c:formatCode>
                <c:ptCount val="8"/>
                <c:pt idx="0">
                  <c:v>10.969999999999999</c:v>
                </c:pt>
                <c:pt idx="1">
                  <c:v>16</c:v>
                </c:pt>
                <c:pt idx="2">
                  <c:v>22.569999999999993</c:v>
                </c:pt>
                <c:pt idx="3">
                  <c:v>24.11</c:v>
                </c:pt>
                <c:pt idx="4">
                  <c:v>17.689999999999998</c:v>
                </c:pt>
                <c:pt idx="5">
                  <c:v>17.81</c:v>
                </c:pt>
                <c:pt idx="6">
                  <c:v>15.04</c:v>
                </c:pt>
                <c:pt idx="7">
                  <c:v>0.3200000000000003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