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B3 S.A. – Brasil, Bolsa, Balcão</w:t>
      </w:r>
    </w:p>
    <w:p>
      <w:pPr>
        <w:spacing w:after="60"/>
        <w:rPr>
          <w:color w:val="52514E"/>
          <w:sz w:val="22"/>
          <w:szCs w:val="22"/>
        </w:rPr>
      </w:pPr>
      <w:r>
        <w:rPr>
          <w:color w:val="52514E"/>
          <w:sz w:val="22"/>
          <w:szCs w:val="22"/>
        </w:rPr>
        <w:t xml:space="preserve">B3SA3 · B3 (Novo Mercado); ADR nivel I en OTC (BOLSY, 1 ADR = 3 acciones) · ISIN BRB3SAACNOR6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BRL</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15,07 BRL</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17,52 BRL</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+18,2 % (base +15,8 %)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10,50 BRL · mercado 11,14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75.324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 S.A. – Brasil, Bolsa, Balcão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B3SA3 / BRB3SAACNOR6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 (Novo Mercado); ADR nivel I en OTC (BOLSY, 1 ADR = 3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Ibovespa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e infraestructura de mercados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São Paulo · 2017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https://ri.b3.com.br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11,83 – 24,28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4.998,3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75.324 M BRL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75.298 M BRL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900 M BRL/día (3 meses; 49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17,52 BRL</w:t>
      </w:r>
      <w:r>
        <w:t xml:space="preserve"> frente a 15,07 · Rentabilidad a 12 meses </w:t>
      </w:r>
      <w:r>
        <w:rPr>
          <w:b/>
          <w:bCs/>
        </w:rPr>
        <w:t xml:space="preserve">+18,2 % (base +15,8 %)</w:t>
      </w:r>
      <w:r>
        <w:t xml:space="preserve"> · Valor intrínseco 10,50 BRL · con la prima implícita del mercado: 11,14 (-26,1 %) · Alcista / bajista -38,2 % / -56,5 %</w:t>
      </w:r>
    </w:p>
    <w:p>
      <w:pPr>
        <w:spacing w:after="100"/>
      </w:pPr>
      <w:r>
        <w:rPr>
          <w:b/>
        </w:rPr>
        <w:t xml:space="preserve">La recomendación y por qué.</w:t>
      </w:r>
      <w:r>
        <w:t xml:space="preserve"> Mantener con convicción baja: no comprar, y si estuviera en cartera se vendería (por calidad y por valor). El objetivo a 12 meses es de 17,52 BRL frente a un precio de 15,07 (cierre del 26-oct, el día de la caída tras la victoria de Lula): rentabilidad ponderada del 18,2 % y del 15,8 % en el base, con dividendo. Pero el valor intrínseco (10,50) queda un 30 % por debajo del precio, y el ROIC del 23,3 % supera al WACC en BRL (19,75 %) en solo 3,6 puntos, por debajo de los 4,5 del método. La señal depende de la tasa: con el bono a 10 años de antes de la elección (12,98 %) el ROIC − WACC sería de 5,9 puntos, pero el valor intrínseco (11,88) seguiría bajo el precio. La convicción es baja porque la señal depende de una tasa de descuento que se movió 2,5 puntos en un día; subiría si el bono se estabiliza y el gobierno aclara la política fiscal, y bajaría si se gravan los dividendos o desaparecen los JCP.</w:t>
      </w:r>
    </w:p>
    <w:p>
      <w:pPr>
        <w:spacing w:after="100"/>
      </w:pPr>
      <w:r>
        <w:rPr>
          <w:b/>
        </w:rPr>
        <w:t xml:space="preserve">El WACC del escáner.</w:t>
      </w:r>
      <w:r>
        <w:t xml:space="preserve"> El barrido del 26-oct daba ROIC − WACC de −4,1 con 3 puntos de prima país sumados a una tasa en BRL: el riesgo país contado dos veces. Con el WACC correcto (tasa libre en BRL del 15,435 %, beta 1,10, prima del 5,5 %, sin prima adicional) la diferencia es +3,6: mejor, pero aún bajo el umbral.</w:t>
      </w:r>
    </w:p>
    <w:p>
      <w:pPr>
        <w:spacing w:after="100"/>
      </w:pPr>
      <w:r>
        <w:rPr>
          <w:b/>
        </w:rPr>
        <w:t xml:space="preserve">El negocio.</w:t>
      </w:r>
      <w:r>
        <w:t xml:space="preserve"> Monopolio de hecho de la bolsa, la compensación y el depósito de Brasil, con un margen EBITDA del 70 %, capex del 3 % y reparto del 90-110 % [1, 22]. Sostenibilidad: </w:t>
      </w:r>
      <w:r>
        <w:rPr>
          <w:b/>
        </w:rPr>
        <w:t xml:space="preserve">Sí</w:t>
      </w:r>
      <w:r>
        <w:t xml:space="preserve"> (6,9 % de crecimiento nominal proyectado, por debajo del 11 % de 2018-2025). Sin fondo de comercio el ROIC no tiene sentido (el capital operativo es negativo); sin el de Cetip sería ≈ 40 %.</w:t>
      </w:r>
    </w:p>
    <w:p>
      <w:pPr>
        <w:spacing w:after="100"/>
      </w:pPr>
      <w:r>
        <w:rPr>
          <w:b/>
        </w:rPr>
        <w:t xml:space="preserve">Valoración.</w:t>
      </w:r>
      <w:r>
        <w:t xml:space="preserve"> DCF de 8,46 (−43,9 %); el precio descuenta una rentabilidad del 13,3 %, por debajo del propio bono. Con la prima implícita de Damodaran (4,20 %), 11,14. Frente a las bolsas del mundo cotiza a la mitad (11,4 veces el beneficio frente a 22,6): es el precio del riesgo Brasil.</w:t>
      </w:r>
    </w:p>
    <w:p>
      <w:pPr>
        <w:spacing w:after="100"/>
      </w:pPr>
      <w:r>
        <w:rPr>
          <w:b/>
        </w:rPr>
        <w:t xml:space="preserve">Lula.</w:t>
      </w:r>
      <w:r>
        <w:t xml:space="preserve"> La caída (−36 %, Ibovespa −13,9 %, real −8 %, bono +2,5 puntos) no trae noticia propia de B3: es el miedo a impuestos sobre dividendos y JCP y a una Selic más alta más tiempo [25, 26, 28]. Precio y noticias: </w:t>
      </w:r>
      <w:r>
        <w:rPr>
          <w:b/>
        </w:rPr>
        <w:t xml:space="preserve">retrasa</w:t>
      </w:r>
      <w:r>
        <w:t xml:space="preserve"> hasta que el gobierno concrete la política fiscal o hasta 10,50.</w:t>
      </w:r>
    </w:p>
    <w:p>
      <w:pPr>
        <w:spacing w:after="100"/>
      </w:pPr>
      <w:r>
        <w:rPr>
          <w:b/>
        </w:rPr>
        <w:t xml:space="preserve">Qué cambiaría la decisión.</w:t>
      </w:r>
      <w:r>
        <w:t xml:space="preserve"> Comprar solo por debajo de 10,50 y con el ROIC − WACC por encima de 5 (bono a 10 años por debajo de ≈ 13,5 %); vender por encima de 19,80.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17,52 BRL</w:t>
      </w:r>
      <w:r>
        <w:t xml:space="preserve"> (rentabilidad +18,2 % (base +15,8 %)) · Valor intrínseco: 10,50 BRL (-30,3 % sobre 15,07) · con la prima implícita del mercado: 11,14 (-26,1 %)</w:t>
      </w:r>
    </w:p>
    <w:p>
      <w:pPr>
        <w:spacing w:after="100"/>
      </w:pPr>
      <w:r>
        <w:t xml:space="preserve">B3 es el monopolio de hecho de la bolsa, la compensación y el depósito de Brasil, con un margen EBITDA del 70 %, capex del 3 % de los ingresos y un reparto del 90-110 % del beneficio [1, 22]. Gana con el volumen y la inflación y no necesita capital. Pero valorada en reales con el bono al 15,4 % y un WACC del 19,75 %, ni siquiera tras caer un 36 % el precio queda por debajo de su valor: el DCF da 8,46 y el valor intrínseco ponderado, 10,50.</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1,10 = 11,44 · 13,3x × 1,29 = 17,16 · 17,9x × 1,36 = 24,34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 / 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22,64 (nuestro base -24,2 %)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 / -56,5 %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frente a 19,8 % y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10,50 y 19,80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10,50 BRL (el valor intrínseco) y el bono a 10 años vuelve por debajo del 13,5 % (ROIC − WACC ≥ 5), pasaría a Comprar.</w:t>
      </w:r>
    </w:p>
    <w:p>
      <w:pPr>
        <w:pStyle w:val="ListParagraph"/>
        <w:numPr>
          <w:ilvl w:val="0"/>
          <w:numId w:val="2"/>
        </w:numPr>
        <w:spacing w:after="60"/>
      </w:pPr>
      <w:r>
        <w:t xml:space="preserve">Si el gobierno grava los dividendos o elimina los JCP, bajaríamos el BPA un 5-8 % y el objetivo con él.</w:t>
      </w:r>
    </w:p>
    <w:p>
      <w:pPr>
        <w:pStyle w:val="ListParagraph"/>
        <w:numPr>
          <w:ilvl w:val="0"/>
          <w:numId w:val="2"/>
        </w:numPr>
        <w:spacing w:after="60"/>
      </w:pPr>
      <w:r>
        <w:t xml:space="preserve">Por encima de 19,80 BRL,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13,3 % anual, por debajo del bono a 10 años: el mercado no cree que los tipos se queden en el 15 % o paga por un negocio de monopolio que en BRL no rinde lo que la deuda del Estado.</w:t>
      </w:r>
    </w:p>
    <w:p>
      <w:pPr>
        <w:keepNext/>
        <w:spacing w:after="100"/>
      </w:pPr>
      <w:r>
        <w:rPr>
          <w:b/>
          <w:bCs/>
        </w:rPr>
        <w:t xml:space="preserve">Lo que creemos nosotros.</w:t>
      </w:r>
    </w:p>
    <w:p>
      <w:pPr>
        <w:spacing w:after="100"/>
      </w:pPr>
      <w:r>
        <w:t xml:space="preserve">Que el negocio es de calidad pero el precio no compensa el riesgo Brasil con la curva actual, y que el cambio fiscal de Lula puede quitar el escudo de los JCP.</w:t>
      </w:r>
    </w:p>
    <w:p>
      <w:pPr>
        <w:keepNext/>
        <w:spacing w:after="100"/>
      </w:pPr>
      <w:r>
        <w:rPr>
          <w:b/>
          <w:bCs/>
        </w:rPr>
        <w:t xml:space="preserve">Por qué podemos tener razón.</w:t>
      </w:r>
    </w:p>
    <w:p>
      <w:pPr>
        <w:spacing w:after="100"/>
      </w:pPr>
      <w:r>
        <w:t xml:space="preserve">El ROIC del 23 % apenas supera el WACC en BRL (3,6 puntos) y el valor intrínseco queda un 30 % bajo el precio incluso con la prima implícita del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BRL) · precio actual 1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y margen</w:t>
      </w:r>
      <w:r>
        <w:t xml:space="preserve">: única bolsa, cámara y depósito de Brasil, margen EBITDA del 70 % [1, 5].</w:t>
      </w:r>
    </w:p>
    <w:p>
      <w:pPr>
        <w:pStyle w:val="ListParagraph"/>
        <w:numPr>
          <w:ilvl w:val="0"/>
          <w:numId w:val="2"/>
        </w:numPr>
        <w:spacing w:after="60"/>
      </w:pPr>
      <w:r>
        <w:rPr>
          <w:b/>
        </w:rPr>
        <w:t xml:space="preserve">Barata frente a su historia y al sector</w:t>
      </w:r>
      <w:r>
        <w:t xml:space="preserve">: 12,8 veces el BPA recurrente del año próximo frente a 13,8 de mediana y 22,6 de las bolsas del mundo [19].</w:t>
      </w:r>
    </w:p>
    <w:p>
      <w:pPr>
        <w:pStyle w:val="ListParagraph"/>
        <w:numPr>
          <w:ilvl w:val="0"/>
          <w:numId w:val="2"/>
        </w:numPr>
        <w:spacing w:after="60"/>
      </w:pPr>
      <w:r>
        <w:rPr>
          <w:b/>
        </w:rPr>
        <w:t xml:space="preserve">Reparto del 90-110 %</w:t>
      </w:r>
      <w:r>
        <w:t xml:space="preserve"> y recompra de hasta el 4,5 % del capital [22].</w:t>
      </w:r>
    </w:p>
    <w:p>
      <w:pPr>
        <w:pStyle w:val="ListParagraph"/>
        <w:numPr>
          <w:ilvl w:val="0"/>
          <w:numId w:val="2"/>
        </w:numPr>
        <w:spacing w:after="60"/>
      </w:pPr>
      <w:r>
        <w:rPr>
          <w:b/>
        </w:rPr>
        <w:t xml:space="preserve">Récord de volumen en 2026</w:t>
      </w:r>
      <w:r>
        <w:t xml:space="preserve">: ingresos netos +14,4 % en el 1S26 [5].</w:t>
      </w:r>
    </w:p>
    <w:p>
      <w:pPr>
        <w:pStyle w:val="Heading2"/>
      </w:pPr>
      <w:r>
        <w:t xml:space="preserve">En contra</w:t>
      </w:r>
    </w:p>
    <w:p>
      <w:pPr>
        <w:pStyle w:val="ListParagraph"/>
        <w:numPr>
          <w:ilvl w:val="0"/>
          <w:numId w:val="2"/>
        </w:numPr>
        <w:spacing w:after="60"/>
      </w:pPr>
      <w:r>
        <w:rPr>
          <w:b/>
        </w:rPr>
        <w:t xml:space="preserve">Valor intrínseco muy bajo el precio</w:t>
      </w:r>
      <w:r>
        <w:t xml:space="preserve">: 10,50 frente a 15,07 con el bono al 15,4 %.</w:t>
      </w:r>
    </w:p>
    <w:p>
      <w:pPr>
        <w:pStyle w:val="ListParagraph"/>
        <w:numPr>
          <w:ilvl w:val="0"/>
          <w:numId w:val="2"/>
        </w:numPr>
        <w:spacing w:after="60"/>
      </w:pPr>
      <w:r>
        <w:rPr>
          <w:b/>
        </w:rPr>
        <w:t xml:space="preserve">ROIC − WACC de 3,6 puntos</w:t>
      </w:r>
      <w:r>
        <w:t xml:space="preserve">, bajo el 4,5 del método.</w:t>
      </w:r>
    </w:p>
    <w:p>
      <w:pPr>
        <w:pStyle w:val="ListParagraph"/>
        <w:numPr>
          <w:ilvl w:val="0"/>
          <w:numId w:val="2"/>
        </w:numPr>
        <w:spacing w:after="60"/>
      </w:pPr>
      <w:r>
        <w:rPr>
          <w:b/>
        </w:rPr>
        <w:t xml:space="preserve">Riesgo fiscal</w:t>
      </w:r>
      <w:r>
        <w:t xml:space="preserve">: impuestos sobre dividendos y JCP tras la victoria de Lula [26, 28].</w:t>
      </w:r>
    </w:p>
    <w:p>
      <w:pPr>
        <w:pStyle w:val="ListParagraph"/>
        <w:numPr>
          <w:ilvl w:val="0"/>
          <w:numId w:val="2"/>
        </w:numPr>
        <w:spacing w:after="60"/>
      </w:pPr>
      <w:r>
        <w:rPr>
          <w:b/>
        </w:rPr>
        <w:t xml:space="preserve">BPA un 10 % peor</w:t>
      </w:r>
      <w:r>
        <w:t xml:space="preserve"> deja la rentabilidad en 6,7 %.</w:t>
      </w:r>
    </w:p>
    <w:p>
      <w:pPr>
        <w:pStyle w:val="Heading2"/>
      </w:pPr>
      <w:r>
        <w:t xml:space="preserve">Qué tiene que pasar para que la tesis funcione</w:t>
      </w:r>
    </w:p>
    <w:p>
      <w:pPr>
        <w:spacing w:after="100"/>
      </w:pPr>
      <w:r>
        <w:t xml:space="preserve">Las primeras medidas fiscales del gobierno electo, el bono a 10 años (por debajo del 13,5 % la calidad pasaría el filtro) y los volúmenes de contado tras la elección.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 Brasil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15,435 % (26-oct)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WACC y la calidad.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40 % de los ingresos ligados al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efectivo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29-30 %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JCP y CSLL.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de costes.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B3 nace en marzo de 2017 de la combinación de BM&amp;FBovespa (que ya unía desde 2008 la Bolsa de São Paulo y la de mercadorias e futuros) con Cetip, el registro y depósito de renta fija y de gravámenes de vehículos [7]. Es la única bolsa de Brasil: negocia, compensa, liquida y custodia acciones, derivados y renta fija, y registra la mayor parte de los títulos de deuda y de los gravámenes de vehículos del país. Cotiza en el Novo Mercado (una sola clase de acciones, sin accionista de control). Desde 2020 compró empresas de datos (Neoway en 2021, Neurotech en 2023) y en 2024 reorganizó la información por segmentos con Trillia como marca de datos [1]. En 2026 cambió de consejero delegado (Christian Egan sustituye a Gilson Finkelsztain tras nueve años)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Bovespa y BM&amp;F (BM&amp;FBovespa).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Combinación con Cetip: nace B3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inversores particulares y de volumen con la Selic en el 2 %.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3 por 1 y compra de Neoway.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beneficio fiscal de la amortización del ágio de Cetip (2T22)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Neurotech; los volúmenes caen con la Selic al 13,75 %.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tarifa de renta variable, opciones semanales de Ibovespa y contratos de eventos financieros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IPO en cinco años, duplicata escritural, stablecoin B3RL en pruebas, venta de Dimensa y nuevo consejero delegado (Christian Egan) [5].</w:t>
            </w:r>
          </w:p>
        </w:tc>
      </w:tr>
    </w:tbl>
    <w:p>
      <w:pPr>
        <w:spacing w:after="160" w:before="0"/>
      </w:pPr>
    </w:p>
    <w:p>
      <w:pPr>
        <w:pStyle w:val="Heading1"/>
      </w:pPr>
      <w:r>
        <w:t xml:space="preserve">2. Modelo de negocio</w:t>
      </w:r>
    </w:p>
    <w:p>
      <w:pPr>
        <w:spacing w:after="100"/>
      </w:pPr>
      <w:r>
        <w:t xml:space="preserve">B3 es la infraestructura de mercado de Brasil: bolsa de acciones y derivados, cámara de compensación central, depositaria de valores, registro de renta fija y de derivados de balcão, y proveedor de datos [5]. Mercados aportó el 67 % de los ingresos brutos de 2025 (derivados, renta variable, renta fija y crédito, préstamo de títulos); Tecnologia e Plataformas el 17 % (uso de los sistemas de balcão por bancos y fondos, servicios a fondos); Trillia el 10 % (registro de gravámenes de vehículos SNG, datos de crédito y fraude) y Soluções para Mercado de Capitais el 6 % (datos de mercado, depositaria, cotización) [1]. Sus clientes son bancos, corretoras, gestoras, emisores, financieras de automóviles y, a través de ellos, 5,7 millones de inversores particulares [5].</w:t>
      </w:r>
    </w:p>
    <w:p>
      <w:pPr>
        <w:pStyle w:val="Heading2"/>
      </w:pPr>
      <w:r>
        <w:t xml:space="preserve">Cómo gana dinero</w:t>
      </w:r>
    </w:p>
    <w:p>
      <w:pPr>
        <w:spacing w:after="100"/>
      </w:pPr>
      <w:r>
        <w:t xml:space="preserve">Cobra por operación (un margen en puntos básicos sobre el volumen de contado y una tarifa por contrato en derivados) y por stock (custodia, registro de renta fija, uso mensual de sistemas, gravámenes registrados), con tarifas que se ajustan por inflación cada año [5]. Alrededor del 60 % de los ingresos depende del ciclo del mercado (volúmenes) y el resto es recurrente [5]. Los costes son casi fijos (2.346 M de gastos ajustados en 2025, que crecen cerca del IPCA), así que el margen EBITDA recurrente (≈ 70 %) sube con los volúmenes [6]. La caja propia rinde el CDI, y la deuda, en su mayoría, también lo paga: el efecto neto de los tipos sobre el resultado financiero es pequeño. Los tipos altos sí mueven el negocio: menos volumen en acciones y más en renta fija y derivados de tipos.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Soluções para Mercado de Capitais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Soluções Analíticas de Dados (Trillia)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Tecnologia e Plataformas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e impuestos sobre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Soluções para Mercado de Capitais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Soluções Analíticas de Dados (Trillia)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Tecnologia e Plataformas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e impuestos sobre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r>
    </w:tbl>
    <w:p>
      <w:pPr>
        <w:spacing w:after="160" w:before="0"/>
      </w:pPr>
    </w:p>
    <w:p>
      <w:pPr>
        <w:pStyle w:val="Heading2"/>
      </w:pPr>
      <w:r>
        <w:t xml:space="preserve">Clientes, recurrencia y poder de precios</w:t>
      </w:r>
    </w:p>
    <w:p>
      <w:pPr>
        <w:spacing w:after="100"/>
      </w:pPr>
      <w:r>
        <w:t xml:space="preserve">No hay un cliente que pese de forma significativa (no se publica concentración). La relación es casi obligatoria: B3 es la única bolsa y cámara del país, y la mayor parte del registro de renta fija privada y de gravámenes de vehículos pasa por sus sistemas [5]. El poder de precio se ve en las tarifas ajustadas por inflación (depositaria y cotización en 2026) y en que el margen de contado ha bajado poco (3,07 pb) pese a los descuentos por volumen [5]. El riesgo de precio viene del regulador y de los clientes grandes: la CVM y el Banco Central vigilan las tarifas y han abierto la puerta a otras infraestructuras.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 (ADTV)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26.067 M BRL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 M BRL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+21,2 %, BDR +41,8 %, fondos cotizados +73,6 %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medios diarios de derivados (ADV)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los futuros de bitcoin; tipos en BRL +6,7 %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Receita por contrato (RPC)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BRL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con menos opciones de IDI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negociación y postnegociación de contado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−0,085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Escalado por volumen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individuales en la depositaria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 medio de Tesouro Direto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164.000 M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236.000 M BRL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tipos altos el ahorro va a renta fija, donde B3 también cobra [5].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w:t>
      </w:r>
      <w:r>
        <w:rPr>
          <w:b/>
        </w:rPr>
        <w:t xml:space="preserve">infraestructura de mercados de capitales de Brasil</w:t>
      </w:r>
      <w:r>
        <w:t xml:space="preserve"> (negociación, compensación, depósito y registro de valores y derivados), donde B3 es casi monopolista; no hay una fuente independiente que lo mida en reales, así que el tamaño se aproxima con los ingresos de B3 en Mercados y con los volúmenes de mercado que publica la propia empresa [5]. Como referencia mundial, las bolsas cotizadas comparables (HKEX, CME, ICE, Nasdaq, Cboe, LSEG, BMV, SGX, ASX) facturan entre 1.300 y 11.000 M USD con márgenes operativos del 35-76 %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fuente independiente en BRL: el contado de acciones de Brasil negoció 31.310 M BRL al día en el 2T26, sobre una capitalización media de 5,15 billones BRL; derivados de balcão con un stock de 8,9 billones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(Selic) y flujo hacia la renta variable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Selic al 2 % (2020-2021) los ingresos subieron a 9.248 M; con el 13,75 % (2023) bajaron a 8.930 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cobertura (derivados de tipos y divisa)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 de tipos en BRL en máximo histórico en mar-2026 por el conflicto de Oriente Medio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Profundización de la renta fija privada y del Tesouro Direto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de deuda corporativa +14,4 % y Tesouro Direto +43,7 % en el 2T26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Diversificación a datos y tecnología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+17,3 % en el 2T26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extranjero y capitalización bursátil en BRL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 contado se cobra sobre el volumen en reales: el Ibovespa cayó un 13,9 % el 26-oct-2026 y el real un 8 % [25,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bolsa y cámara de Brasil; los competidores potenciales (ATG, otras infraestructuras de registro) no tienen cuota relevante en las fuentes leídas.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y corretoras negocian descuentos por volumen y presionan por tarifas; el margen de contado baja con el volumen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tecnología (nube); gastos ajustados que crecen cerca del IPCA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la CVM y del Banco Central, efecto red de la liquidez y de la cámara; el regulador quiere más competencia.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Listados en el exterior (ADR, BDR) y negociación de balcão; los BDR y ETF se negocian en la propia B3 [5].</w:t>
            </w:r>
          </w:p>
        </w:tc>
      </w:tr>
    </w:tbl>
    <w:p>
      <w:pPr>
        <w:spacing w:after="160" w:before="0"/>
      </w:pPr>
    </w:p>
    <w:p>
      <w:pPr>
        <w:pStyle w:val="Heading2"/>
      </w:pPr>
      <w:r>
        <w:t xml:space="preserve">Ciclo</w:t>
      </w:r>
    </w:p>
    <w:p>
      <w:pPr>
        <w:spacing w:after="100"/>
      </w:pPr>
      <w:r>
        <w:t xml:space="preserve">Hasta el 23-oct el ciclo era de expansión (ADTV +20 % en el 2T26, primer IPO en cinco años) [5]. La victoria de Lula del 25-oct lo da la vuelta: Ibovespa −13,9 % y real −8 % el 26-oct, DI de 2031 al 15,24 % (+2,7 puntos) y el mercado espera subidas de la Selic [25, 27]. En 2021-2023, con la Selic subiendo del 2 % al 13,75 %, los ingresos de B3 cayeron un 3,4 % en dos años y el BPA publicado bajó de 0,77 a 0,71 [1]; en 2020 subió. La volatilidad de los primeros meses suele subir los volúmenes de derivados.</w:t>
      </w:r>
    </w:p>
    <w:p>
      <w:pPr>
        <w:pStyle w:val="Heading2"/>
      </w:pPr>
      <w:r>
        <w:t xml:space="preserve">Regulación</w:t>
      </w:r>
    </w:p>
    <w:p>
      <w:pPr>
        <w:spacing w:after="100"/>
      </w:pPr>
      <w:r>
        <w:t xml:space="preserve">B3 está supervisada por la CVM y el Banco Central (infraestructura del mercado financiero). En 2025-2026 cambian tres cosas que tocan sus cifras: la Lei Complementar 224/2025 sube la CSLL desde el 2T26 (tipo nominal del 37 % en vez del 34 %) y obligó a actualizar el impuesto diferido (1.043,9 M en el 4T25) [5, 6]; desde 2026 se gravan los dividendos por encima de 50.000 BRL al mes en la persona física; y la duplicata escritural abre un mercado de registro nuevo con varias registradoras autorizadas [5]. Tras el 25-oct, el riesgo regulatorio es fiscal: el mercado teme más impuestos sobre dividendos y JCP o un impuesto sobre la riqueza, que bajarían el atractivo de la renta variable y el ahorro fiscal de B3 [28].</w:t>
      </w:r>
    </w:p>
    <w:p>
      <w:pPr>
        <w:pStyle w:val="Heading2"/>
      </w:pPr>
      <w:r>
        <w:t xml:space="preserve">Tendencias y disrupción</w:t>
      </w:r>
    </w:p>
    <w:p>
      <w:pPr>
        <w:spacing w:after="100"/>
      </w:pPr>
      <w:r>
        <w:t xml:space="preserve">La tokenización (stablecoin B3RL en pruebas), los contratos de eventos y la negociación de BDR y ETF amplían la oferta sin depender del ciclo local [5]. La duplicata escritural y el registro de crédito son nuevas fuentes de ingresos recurrentes, pero con competencia de otras registradoras. La IA afecta poco a una infraestructura regulada; puede ayudar en datos (Trillia) y en costes.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**Única bolsa y cámara central de contraparte de Brasil**, y mayor registradora de renta fija privada y de gravámenes de vehículos del país; tercera bolsa de América por capitalización de sus listadas tras las de EE. UU. y Canadá (estimación propia)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0388.HK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 Mexicana de Valores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BOLSAA.MX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compite en Brasil; referencia de margen operativo (Yahoo, últimos 12 meses), ingresos convertidos a BRL al 26-oct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liquidez de acciones y derivados listados de Brasil está en B3; 5,7 M de inversores en su depositaria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fondos y corretoras conectados a sus sistemas de balcão (24.328 clientes de uso mensual)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bolsa, cámara, depositaria y registradora de la CVM y el Banco Central.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recurrente del 70 %, por encima del 35-66 % operativo de las grandes bolsas comparables [A5,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este tamaño no sostiene dos cámaras con la misma liquidez.</w:t>
            </w:r>
          </w:p>
        </w:tc>
      </w:tr>
    </w:tbl>
    <w:p>
      <w:pPr>
        <w:spacing w:after="160" w:before="0"/>
      </w:pPr>
    </w:p>
    <w:p>
      <w:pPr>
        <w:pStyle w:val="Heading2"/>
      </w:pPr>
      <w:r>
        <w:t xml:space="preserve">Amenazas</w:t>
      </w:r>
    </w:p>
    <w:p>
      <w:pPr>
        <w:spacing w:after="100"/>
      </w:pPr>
      <w:r>
        <w:t xml:space="preserve">Tres amenazas, todas regulatorias o macro: (1) que la CVM y el Banco Central fuercen competencia en negociación o registro (probabilidad media a cinco años; el registro de duplicatas ya es abierto); (2) que la política fiscal tras las elecciones (impuestos sobre dividendos y JCP, riqueza) aleje el ahorro de la renta variable y quite a B3 el ahorro fiscal de sus JCP (media); (3) que la fuga de capital extranjero hunda la capitalización en reales y con ella el volumen de contado (media, cíclica) [25,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2018-2025: ingresos </w:t>
      </w:r>
      <w:r>
        <w:rPr>
          <w:b/>
          <w:bCs/>
        </w:rPr>
        <w:t xml:space="preserve">11,1 %</w:t>
      </w:r>
      <w:r>
        <w:t xml:space="preserve">, EBITDA </w:t>
      </w:r>
      <w:r>
        <w:rPr>
          <w:b/>
          <w:bCs/>
        </w:rPr>
        <w:t xml:space="preserve">11,1 %</w:t>
      </w:r>
      <w:r>
        <w:t xml:space="preserve">, BPA </w:t>
      </w:r>
      <w:r>
        <w:rPr>
          <w:b/>
          <w:bCs/>
        </w:rPr>
        <w:t xml:space="preserve">14,6 %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BRL,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netos (receita líquida, tras PIS, Cofins e ISS) pasaron de 4.832 M BRL en 2018 a 10.068 M en 2025 [1, 3]: el salto de 2020-2021 (8.383 y 9.248 M) fue el auge de la bolsa con tipos del 2 %, y en 2022-2023 los ingresos bajaron con la Selic al 13,75 % (9.092 y 8.930 M) [2]. En 2024-2025 volvieron a crecer (+6,5 % y +5,8 %) por la diversificación: renta fija, datos (Trillia), tecnología y servicios para fondos [1, 6]. En el 1S26 los ingresos netos fueron de 5.639 M (+14,4 %): el volumen medio diario de contado subió un 20 % y los ingresos recurrentes un 17 % [4, 5]. El margen EBITDA publicado pasó del 69 % al 69,7 % en 2025; las amortizaciones cayeron de 1.090 M en 2023 a 387 M en 2025 al terminar de amortizarse los intangibles de la combinación con Cetip, y eso explica la subida del EBIT (de 5.245 a 6.632 M) más que el negocio [1, 7]. El beneficio neto de 2025 (4.586 M) lleva un cargo no recurrente de 1.043,9 M por actualizar el impuesto diferido de la amortización fiscal del ágio tras la subida de la CSLL, compensado en parte por 510 M de ahorro fiscal de un JCP extraordinario [6].</w:t>
      </w:r>
    </w:p>
    <w:p>
      <w:pPr>
        <w:pStyle w:val="Heading2"/>
      </w:pPr>
      <w:r>
        <w:t xml:space="preserve">Ajustes y partidas no recurrentes</w:t>
      </w:r>
    </w:p>
    <w:p>
      <w:pPr>
        <w:spacing w:after="100"/>
      </w:pPr>
      <w:r>
        <w:t xml:space="preserve">B3 publica un «lucro líquido recorrente» que suma la amortización de intangibles de compras (la de Cetip, ≈ 500-520 M netos al año hasta 2023) y quita partidas no recurrentes; es la base del consenso y la que usa este informe para el BPA a 12 meses [6, 7, 13]. Cifras del lucro recurrente: 4.766,6 M en 2022 y 4.601,3 M en 2023 [7]; 2024 ≈ 4.777 M (suma de trimestres: 1.130 [11], ≈ 1.220 [12], 1.226,0 y 1.201,0 [8]; estimación propia por trimestre de prensa); 2025 ≈ 5.123 M (≈ 1.126,7 del 1T25, derivado del +33,1 % del 1T26 [10]; 1.274,9; 1.257,5; 1.464,3 [5, 6]). En 2026: 1.499,6 M en el 1T y 1.376,6 M en el 2T [5]. Partidas no recurrentes recientes: impuesto diferido de 1.043,9 M y beneficio de JCP extraordinario de 510 M en el 4T25 [6]; plusvalía de 123,9 M por la venta del 37,5 % de Dimensa, 277,5 M de beneficio fiscal de JCP extraordinario y 40,5 M de costes del cambio de dirección en el 2T26 [5]. El impairment de 2018, 2020, 2021 y 2024 va en no recurrentes del EBITDA.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(11-ago-2026) los ingresos totales fueron de 3.081,4 M BRL (+12,2 %) y los netos de 2.765,7 M (+8,8 %): los ingresos ligados al ciclo crecieron un 7,9 % y los recurrentes un 17,3 % [5]. El volumen medio diario de contado fue de 31.310 M (+20,1 %), con BDR +41,8 % y fondos cotizados +73,6 %, pero los derivados cayeron un 8,3 % en contratos (futuros de bitcoin −84,5 % tras subir las garantías exigidas) [5]. Hubo el primer IPO en cinco años (3.000 M) y 8.600 M de ampliaciones [5]. Los gastos ajustados subieron un 6,2 % (IPCA + 1,5 %); el EBITDA recurrente fue de 1.938,6 M (margen 70,2 %) y el lucro recurrente de 1.376,6 M (+8,0 %; BPA recurrente 0,28, +12,3 %) [5]. B3 vendió su 37,5 % de Dimensa por 665 M y pagó 1.106 M de JCP (750 M extraordinarios) y 196,9 M de recompras [5]. En junio anunció a Christian Egan como consejero delegado en sustitución de Gilson Finkelsztain; el mensaje de la dirección pasa de la eficiencia a «clientes, tecnología y personas» [5]. Frente al 4T25, el discurso cambia de los volúmenes (que en el 4T25 aún no se recuperaban) a la diversificación: datos para el mercado de capitales +28,4 %, servicios para fondos +31,4 %, duplicata escritural en producción desde julio y la stablecoin B3RL en pruebas [5, 6]. No hay transcripción de la conferencia en las fuentes leídas.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 de Neoway (datos y analítica, ≈ R$ 1.800 M en caja) en diciembre de 2021; base de la línea Trillia (Soluções Analíticas de Dados).).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bruta subió de 4.509 M en 2018 a 14.945 M en 2025 para financiar recompras (3.746 M en 2022, 3.835 M en 2024 y 3.008 M en 2025) y la compra de Neoway [1, 3]; la caja propia (sin garantías de terceros) se mantiene en 14.000-16.500 M, así que la deuda neta es casi nula (63 M en el puente de junio de 2026). El circulante comercial es pequeño (clientes 618 M frente a proveedores 391 M en 2025). El patrimonio baja de 25.033 M a 17.442 M por las recompras y la amortización de acciones; el ágio (24.359 M) es mayor que el patrimonio [1,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2018-2025: FCF </w:t>
      </w:r>
      <w:r>
        <w:rPr>
          <w:b/>
          <w:bCs/>
        </w:rPr>
        <w:t xml:space="preserve">34.112</w:t>
      </w:r>
      <w:r>
        <w:t xml:space="preserve">, conversión </w:t>
      </w:r>
      <w:r>
        <w:rPr>
          <w:b/>
          <w:bCs/>
        </w:rPr>
        <w:t xml:space="preserve">109 %</w:t>
      </w:r>
      <w:r>
        <w:t xml:space="preserve"> del beneficio neto; adquisiciones 2.651, dividendos 22.348, recompras 14.342.</w:t>
      </w:r>
    </w:p>
    <w:p>
      <w:pPr>
        <w:spacing w:after="100"/>
      </w:pPr>
      <w:r>
        <w:t xml:space="preserve">El flujo operativo de este informe es el «caixa gerado nas operações» menos el impuesto pagado, sin los movimientos de aplicaciones financieras, garantías de la cámara ni coberturas, que en la DFC de B3 van dentro de explotación y la hacen saltar de −637 M a 9.893 M según el año [1, 2]. Así medido, pasó de 3.983 M en 2018 a 6.408 M en 2025, por encima del beneficio neto todos los años porque la amortización y el impuesto diferido no son caja [1]. El capex es pequeño: 287 M en 2025 (2,9 % de los ingresos netos) y una guía de 260-350 M para 2026; B3 lleva a gasto parte de la modernización (451 M de desembolsos totales de tecnología en el 1S26) [5, 6]. Las compras grandes fueron Neoway (2021, 1.868 M) y Neurotech (2023, 646 M); la caja va sobre todo a JCP, dividendos y recompras (6.300 M en 2025, un 137 % del beneficio) [6]. 2018-2019 y los intereses de 2018-2021 son estimación propia (la DFP de esos años no separa el impuesto ni los intereses pagados).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 Independentes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(DFP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de la CVM cuadran con las notas de resultados (ingresos, balance, deuda bruta de 14,9 mil millones) [1, 5, 6]. Las diferencias entre beneficio publicado y recurrente vienen de cargos fiscales: el impuesto diferido del ágio (1.043,9 M en el 4T25, sin caja) y los JCP extraordinarios (510 M y 277,5 M de ahorro fiscal), que no se repiten [5, 6]. La amortización de intangibles de Cetip terminó en 2024, así que el BPA publicado de 2025-2026 ya se parece al recurrente salvo esos efectos. La remuneración en acciones es moderada (182,3 M en 2025, un 4 % del beneficio) [6]. Las cifras de balance quitan las garantías en efectivo de la cámara. El motor calcula Altman, Piotroski y Beneish sobre ese balance; con un ágio mayor que el patrimonio y caja casi igual a la deuda, el Altman Z no dice mucho de una infraestructura de mercado. Auditor: no verificado en el parecer (dato de memoria de la DFP; ver huecos).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fiscales no recurrentes grandes (impuesto diferido del ágio y JCP extraordinarios)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Mueven el beneficio publicado un 10-20 % en algunos trimestres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de la DFC mezclado con tesorería y garantías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reconstruye sin esos movimientos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Fondo de comercio y compras</w:t>
      </w:r>
    </w:p>
    <w:p>
      <w:pPr>
        <w:spacing w:after="100"/>
      </w:pPr>
      <w:r>
        <w:t xml:space="preserve">Fondo de comercio: 24.359 M en 2025 (el 129 % del capital invertido medio); ha subido más de un 5 % en 1 de 7 años: compras pequeñas.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19,8 %.</w:t>
      </w:r>
    </w:p>
    <w:p>
      <w:pPr>
        <w:spacing w:after="100"/>
      </w:pPr>
      <w:r>
        <w:t xml:space="preserve">El ROIC del motor (con el fondo de comercio, NOPAT sobre capital invertido) fue del 23,3 % en 2025 y del 20-23 % desde 2020, frente a un WACC del 19,75 %: diferencia de 3,6 puntos, por debajo de 4,5 (filtro del método). Con la tasa libre de antes de la elección (WACC 17,41 %) la diferencia sería de 5,9 puntos y pasaría el filtro; con el 13,5 % del encargo (WACC 17,90 %), de 5,4. Sin el fondo de comercio el ROIC no tiene sentido: el fondo de comercio (24.359 M, ≈ 14.400 M de la fusión BM&amp;FBovespa y ≈ 7.900 M de Cetip) es mayor que el capital invertido (18.803 M en 2025), porque el circulante es negativo y el pasivo por impuesto diferido (6.841 M, nacido de amortizar fiscalmente ese fondo de comercio) resta capital: el capital operativo sin fondo de comercio es negativo y el rendimiento, infinito. Quitando solo el fondo de comercio de Cetip el ROIC sería ≈ 40 %. El filtro usa el del método, con fondo de comercio: 23,3 %. El ROE fue del 25,6 % [1, 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Disponibilidades y aplicaciones de 19.291 M BRL a 30-jun-2026, de las que 2.655 M son garantías en efectivo de participantes de la cámara y 184 M proventos de títulos en custodia (no son de B3) [4, 5]. Endeudamiento bruto de 14.933 M (83 % a largo plazo), 2,0 veces el EBITDA recurrente de 12 meses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Las garantías depositadas por los participantes en las cámaras de B3 son en su mayoría títulos fuera del balance; la parte en efectivo (2.655 M a 30-jun-2026; 3.712 M en diciembre de 2025) figura como pasivo con su contrapartida en aplicaciones financieras y se quita de la caja, del activo y del pasivo de este informe [4]. Pasivo por impuesto diferido de 6.841 M, creado por la amortización fiscal del ágio (BM&amp;FBovespa y Cetip): solo se pagaría si se vendiera el negocio, y no se trata como deuda [4, 6]. Provisiones para litigios fiscales, civiles y laborales de 655 M [4]. JCP declarado y pendiente de pago de 1.582 M a 30-jun-2026 (va al puente) [4]. Quedan ≈ 3.250 M de saldos de JCP de años anteriores por distribuir en próximos ejercicios con su ahorro fiscal (4.000 M al cierre de 2025 menos 750 M usados en el 2T26) [5, 6].</w:t>
      </w:r>
    </w:p>
    <w:p>
      <w:pPr>
        <w:pStyle w:val="Heading1"/>
      </w:pPr>
      <w:r>
        <w:t xml:space="preserve">12. Asignación de capital</w:t>
      </w:r>
    </w:p>
    <w:p>
      <w:pPr>
        <w:pStyle w:val="Confianza"/>
        <w:spacing w:after="100"/>
      </w:pPr>
      <w:r>
        <w:t xml:space="preserve">Confianza: Media</w:t>
      </w:r>
    </w:p>
    <w:p>
      <w:pPr>
        <w:spacing w:after="100"/>
      </w:pPr>
      <w:r>
        <w:t xml:space="preserve">Guía de reparto para 2026 de entre el 90 % y el 110 % del beneficio, en JCP, dividendos y recompras, y programa de recompra de hasta 230 M de acciones (≈ 4,5 % del capital en circulación) para 2026-2027 [22]. Quedan ≈ 3.250 M de saldos de JCP de años anteriores por pagar en próximos ejercicios con su ahorro fiscal [5, 6]. En 2025 devolvió 6.300 M (3.000 M de JCP y 3.300 M de recompras, el 4,6 % del capital: payout del 137 %) [6]. Deuda bruta en torno a 2 veces el EBITDA recurrente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Cetip (registro, custodia y negociación de renta fija y gravámenes de vehículos)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generó ≈ 7.900 M de ágio y ≈ 500 M netos al año de amortización de intangibles hasta 2023-2024; es la base de Renda Fixa, Trillia (SNG) y Tecnologia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Neoway (datos y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Trillia, que crece un 22 % en el 2T26 (en parte por el cambio de cobro del SNG)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Neurotech (crédito y prevención de fraude)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Trillia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37,5 % de Dimensa (opción de venta)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no recurrente de 123,9 M en el 2T26 [5].</w:t>
            </w:r>
          </w:p>
        </w:tc>
      </w:tr>
    </w:tbl>
    <w:p>
      <w:pPr>
        <w:spacing w:after="160" w:before="0"/>
      </w:pPr>
    </w:p>
    <w:p>
      <w:pPr>
        <w:spacing w:after="100"/>
      </w:pPr>
      <w:r>
        <w:t xml:space="preserve">Reparto casi total: 90-110 % del beneficio en 2026 entre dividendos, JCP y recompras, con un programa de hasta 230 M de acciones (≈ 4,5 %) [22]. Las acciones bajan de 6.160 M equivalentes en 2018 a 4.998 M en junio de 2026 [1, 4]. Deuda bruta de 14.933 M frente a 16.452 M de caja propia: caja neta de ≈ 1.500 M. No hay compras grandes desde Neoway (2021); Dimensa se vendió en 2026.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George Egan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(diretor-presidente)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años en banca de inversión, mercados, tesorería y gestión de activos en Credit Suisse, Itaú, Tivio Capital y Santander Brasil [16]. Elegido el 19-may-2026; sin historial en el cargo.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Gilson Finkelsztain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B3 nueve años: integración de Cetip, diversificación a datos y recompras; sale en 2026 [16,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Caio Ibrahim David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en el nombramiento de Egan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(guía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parte baja del intervalo; +6,2 % (IPCA + 1,4 %)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2.260-2.450 M; amortización de 340-400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2.345,5 M y 387,0 M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2.400-2.600 M; capex de 260-350 M; reparto del 90-110 %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gastos ajustados 1.192 M (+5,7 %), capex 112 M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guía de B3 es de gastos y reparto, no de ingresos, y la ha cumplido en 2024-2025 [6, 8]. El cambio de consejero delegado en 2026, tras nueve años, costó 40,5 M de gastos extraordinarios en el 2T26 (rescisiones y pactos de no competencia) [5]. El nuevo, Christian Egan, viene de la banca (Santander) y llega sin historial en B3; su primera guía será la de 2027 (diciembre). No hay información pública de un plan de sucesión más allá del relevo.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Caio Ibrahim David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(DFP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48,2 M de acciones de 5.046,5 M a 30-jun-2026 (35,7 M a 31-mar); se amortizan periódicamente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programa de incentivo a largo plazo en acciones costó 182,3 M en 2025 y 107,9 M en el 1S26, más 40,5 M de aceleración de planes y rescisiones por el cambio de dirección en el 2T26 [5, 6]. No se ha leído la propuesta de la junta (Formulário de Referência, sección 8) con las métricas y los votos: ver huecos.</w:t>
      </w:r>
    </w:p>
    <w:p>
      <w:pPr>
        <w:pStyle w:val="Heading2"/>
      </w:pPr>
      <w:r>
        <w:t xml:space="preserve">Operaciones vinculadas, estructura de control y defensas</w:t>
      </w:r>
    </w:p>
    <w:p>
      <w:pPr>
        <w:spacing w:after="100"/>
      </w:pPr>
      <w:r>
        <w:t xml:space="preserve">B3 cotiza en el Novo Mercado: una sola clase de acciones ordinarias con voto, capital disperso y sin accionista de control ni pacto conocido; los estatutos limitan el derecho de voto de un accionista (no verificado el porcentaje en esta iteración) [4]. Como infraestructura del mercado, los cambios de control y de consejeros están sometidos a la CVM y al Banco Central.</w:t>
      </w:r>
    </w:p>
    <w:p>
      <w:pPr>
        <w:pStyle w:val="Heading2"/>
      </w:pPr>
      <w:r>
        <w:t xml:space="preserve">Señales de alerta</w:t>
      </w:r>
    </w:p>
    <w:p>
      <w:pPr>
        <w:pStyle w:val="ListParagraph"/>
        <w:numPr>
          <w:ilvl w:val="0"/>
          <w:numId w:val="2"/>
        </w:numPr>
        <w:spacing w:after="60"/>
      </w:pPr>
      <w:r>
        <w:t xml:space="preserve">Cambio de consejero delegado en 2026 tras nueve años, con 40,5 M de costes extraordinarios [5].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(diciembre de 2025): gastos ajustados de 2.400-2.600 M BRL, capex de 260-350 M, desembolsos totales de 3.170-3.610 M y reparto del 90-110 % del beneficio, con un programa de recompra de hasta 230 M de acciones [22]. B3 no da guía de ingresos ni de beneficio. En el 1S26 los gastos ajustados fueron de 1.192,4 M (+5,7 %) y el capex de 112 M [5]. La guía de 2027 se publica normalmente en diciembre.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8 analistas (anterior a las elecciones)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8 analistas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30,00</w:t>
            </w:r>
          </w:p>
        </w:tc>
      </w:tr>
    </w:tbl>
    <w:p>
      <w:pPr>
        <w:spacing w:after="160" w:before="0"/>
      </w:pPr>
    </w:p>
    <w:p>
      <w:pPr>
        <w:pStyle w:val="Heading2"/>
      </w:pPr>
      <w:r>
        <w:t xml:space="preserve">Revisiones de estimaciones</w:t>
      </w:r>
    </w:p>
    <w:p>
      <w:pPr>
        <w:spacing w:after="100"/>
      </w:pPr>
      <w:r>
        <w:t xml:space="preserve">Las estimaciones de Yahoo son anteriores al 25-oct: el BPA de 2026 apenas cambió en 90 días (1,207 → 1,202) y el de 2027 subió (1,308 → 1,346) [19]. El objetivo medio (22,64 BRL, 14 analistas, 10 comprar y 4 mantener) es de antes de la caída del 26-oct y queda un 50 % por encima del precio: es de esperar que se revise a la baja con la Selic más alta y el real más débil. Solo hay un proveedor gratuito con estimaciones; no se ha podido contrastar con MarketScreener ni con notas de bancos posteriores a las elecciones (hueco temporal).</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36,3 % el 26-oct (hasta −50 % en la apertura, con circuit breaker del Ibovespa, −13,9 %) y pierde un 15,4 % en un mes, pero aún gana un 19,0 % en 12 meses: el 5-oct había subido a 23,30 con la primera vuelta y el 23-oct cerró a 23,65 [18, 26, 27]. Beta de 5 años de 1,57 frente al BOVA11, volatilidad de 60 días del 106 % y caída máxima del 38,4 % [18].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 / -4,1 % / -19,5 % / +19,0 %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-36,4 % / +22,2 %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que el gobierno electo concrete la tributación de dividendos y JCP y el marco fiscal de 2027, o hasta un precio que lo descuente (≤ 10,50 BRL, nuestro valor intrínseco). No aplaza por los resultados del 12-nov (regla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(26-oct)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Lula gana la segunda vuelta del 25-oct con el 51,79 % frente a Flávio Bolsonaro: el mercado había comprado la alternancia tras la primera vuelta. El 26-oct el EWZ cayó un 18-27 % antes de abrir, el Ibovespa un 13,9 % con circuit breaker, los bancos un 14-29 %, el real un 8-10 % (5,403 por dólar) y el bono a 10 años subió del 12,98 % al 15,44 % [20, 25, 27, 29]. B3, como valor más líquido y termómetro del mercado de capitales, cayó un 36 % sin noticia propia; se temen impuestos sobre dividendos y JCP, un impuesto a las grandes fortunas y más control estatal [26,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el gobierno electo concrete su política fiscal (tributación de dividendos y JCP, marco fiscal de 2027) o hasta un precio que lo descuente; nuestro límite de compra (10,50) ya lo hace.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(5-oct a 23-oct)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tras la primera vuelta (4-oct), que el mercado leyó como probable cambio de gobierno: de 19,00 el 2-oct a 23,30 el 5-oct y 23,65 el 23-oct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un mes hasta el 19-may con los primeros sondeos favorables a Lula, la subida del CSLL (LC 224/2025) y el relevo de consejero delegado (Christian Egan sustituye a Gilson Finkelsztain) [5, 6,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y reguladores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Victoria de Lula: posibles impuestos sobre dividendos y JCP, impuesto a las grandes fortunas y más intervención; sin medidas concretas anunciadas [26,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las medidas fiscales del gobierno electo.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una subida de la Selic en noviembre; el Focus la tenía en el 13,25 % para final de 2026 antes de la elección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ingresos netos de 2.766 M (+8,8 %), lucro recurrente de 1.377 M; los mercados de derivados cayeron un 8 % en contratos [5, 34,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George Egan, nuevo consejero delegado; sustituye a Gilson Finkelsztain [5,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Dimensa (plusvalía de 124 M en el 1S26) y recompra de hasta 230 M de acciones [4,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12-nov-2026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tiene una causa conocida (la elección) que nuestra tesis recoge a través de la tasa en BRL: el bono a 10 años al 15,4 % es lo que hunde el DCF. Lo que no recoge aún es el cambio fiscal: si se gravan los dividendos o desaparecen los JCP, el tipo efectivo de B3 sube y los inversores locales pierden interés en la bolsa. Para B3, Lula cambia cuatro cosas: (1) Selic más alta más tiempo, que desplaza el ahorro a renta fija (B3 cobra menos por renta fija que por contado) y sube la tasa de descuento; (2) real más débil, que abarata la acción para el extranjero pero ahuyenta flujos; (3) riesgo fiscal, que es la causa del salto del bono; (4) regulación y tributación del capital, que puede tocar los JCP (≈ 3 puntos de tipo efectivo) y el volumen. Global: retrasa, aunque la señal ya es «No mantener» por el valor intrínseco.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El PER adelantado sobre beneficio recurrente es de 12,8 veces frente a una mediana de 13,8 en 2021-2025 y un mínimo de 10,4 (cierre de 2024, con la Selic subiendo hacia el 15 %) [18]. Con el beneficio publicado, que en 2021-2024 cargaba la amortización de Cetip, el PER parece más alto; no se usa. La acción ya cotizó así: en diciembre de 2024 cayó a 10,32 con el miedo fiscal.</w:t>
      </w:r>
    </w:p>
    <w:p>
      <w:pPr>
        <w:pStyle w:val="Heading1"/>
      </w:pPr>
      <w:r>
        <w:t xml:space="preserve">18. Comparables cotizados</w:t>
      </w:r>
    </w:p>
    <w:p>
      <w:pPr>
        <w:pStyle w:val="Confianza"/>
        <w:spacing w:after="100"/>
      </w:pPr>
      <w:r>
        <w:t xml:space="preserve">Confianza: Media</w:t>
      </w:r>
    </w:p>
    <w:p>
      <w:pPr>
        <w:spacing w:after="100"/>
      </w:pPr>
      <w:r>
        <w:t xml:space="preserve">Nueve bolsas cotizadas con cámara o depositaria propias: CME, ICE, Nasdaq y Cboe (EE. UU.), HKEX, LSEG, Bolsa Mexicana (la más parecida por país emergente y tipos altos), Singapur y ASX. Fuera Deutsche Börse (Yahoo no da valor empresa), Euronext (sin capitalización) y JPX (consenso de un solo analista para 2026). Cifras de Yahoo Finance al cierre del 26-oct-2026: PER de los próximos 12 meses con 2/12 del BPA de 2026 y 10/12 del de 2027 del consenso; EV/EBITDA de los próximos 12 meses estimado con el crecimiento de ventas del consenso (estimación propia); capitalización en M BRL al cambio del 26-oct [19, 24]. Las bolsas de países con tipos bajos cotizan a 18-25 veces: su PER no se puede aplicar a una empresa que descuenta con un bono al 15,4 %; por eso pesan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B3</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316.271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 Mexicana de Valores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Singapore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17,7x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22,6x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 / 9,7x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B3 cotiza a 11,4 veces el beneficio de los próximos 12 meses y a 10,0 veces el EBITDA de los últimos 12 meses, frente a medianas de 22,6 y ≈ 17 veces de nueve bolsas (CME, ICE, Nasdaq, Cboe, HKEX, LSEG, Bolsa Mexicana, SGX y ASX) [19, 24]. El descuento del 50 % es el precio del riesgo Brasil: la comparación útil es la Bolsa Mexicana (11,3 veces) [14]. Por eso los comparables pesan poco.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El 8-K no da ingresos ni EBITDA, así que no hay múltiplo verificado.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Anunciada en agosto de 2019 y cerrada en enero de 2021, al límite del periodo de siete años. Valor empresa pasado a BRL a 5,403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Valor empresa pasado a BRL a 5,403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19,63 – 38,55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No hay transacciones de bolsas recientes comparables con datos; las del repositorio son de datos financieros (Refinitiv, IHS Markit, Adenza) a 13-31 veces el EBITDA en USD [23]. Peso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netos +12 % en 2026e: el 1S26 creció un 14,4 % (5.639 M) con récord de contado (+20 % de volumen medio diario en el 2T26) y de los negocios recurrentes (+17 %), y suponemos un segundo semestre al +8-9 % [4, 5]. Después +6 % en 2027e (normalización de volúmenes y Selic alta), +7 % en 2028e y hacia el 5,5 %, cerca del crecimiento nominal del PIB brasileño. El crecimiento medio de 2018-2025 fue del 11 % anual, con la fusión de Cetip completa desde 2018 [1].</w:t>
      </w:r>
    </w:p>
    <w:p>
      <w:pPr>
        <w:keepNext/>
        <w:spacing w:after="100"/>
      </w:pPr>
      <w:r>
        <w:rPr>
          <w:b/>
          <w:bCs/>
        </w:rPr>
        <w:t xml:space="preserve">Márgenes.</w:t>
      </w:r>
    </w:p>
    <w:p>
      <w:pPr>
        <w:spacing w:after="100"/>
      </w:pPr>
      <w:r>
        <w:t xml:space="preserve">Margen EBITDA recurrente del 69,5 % en 2026e y del 69-70 % después, frente al 69,7 % de 2025 y el 70,8 % del 1S26 (sin la plusvalía de Dimensa) [1, 5]. La guía de gastos ajustados de 2026 (2.400-2.600 M) es compatible [22].</w:t>
      </w:r>
    </w:p>
    <w:p>
      <w:pPr>
        <w:keepNext/>
        <w:spacing w:after="100"/>
      </w:pPr>
      <w:r>
        <w:rPr>
          <w:b/>
          <w:bCs/>
        </w:rPr>
        <w:t xml:space="preserve">Inversión y circulante.</w:t>
      </w:r>
    </w:p>
    <w:p>
      <w:pPr>
        <w:spacing w:after="100"/>
      </w:pPr>
      <w:r>
        <w:t xml:space="preserve">Capex del 2,8-3,0 % de los ingresos (guía de 260-350 M en 2026) y amortización del 3,0-3,4 %, ya sin la de los intangibles de Cetip, que terminó en 2024-2025 (1.090 M en 2023, 572 M en 2024, 387 M en 2025) [1, 22]. Circulante del 2 % de los ingresos.</w:t>
      </w:r>
    </w:p>
    <w:p>
      <w:pPr>
        <w:keepNext/>
        <w:spacing w:after="100"/>
      </w:pPr>
      <w:r>
        <w:rPr>
          <w:b/>
          <w:bCs/>
        </w:rPr>
        <w:t xml:space="preserve">Coste del capital.</w:t>
      </w:r>
    </w:p>
    <w:p>
      <w:pPr>
        <w:spacing w:after="100"/>
      </w:pPr>
      <w:r>
        <w:t xml:space="preserve">Tasa libre del 15,435 %: bono a 10 años de Brasil el 26-oct-2026 (12,98 % el día anterior; DI1F31 15,24 %) [20, 25]. Beta de 1,10: la mensual de 5 años frente al BOVA11 es de 1,57 (ajustada 1,38) [18], pero esa beta mide la sensibilidad de B3 al ciclo brasileño, que ya está en la tasa en BRL; el sector de bolsas mundial está en ≈ 1,0. Prima de mercado del 5,5 % y prima adicional de 0: el riesgo país ya está en la tasa en reales. El escáner del 26-oct sumaba 3 puntos más de prima país sobre una tasa en BRL: contaba el riesgo país dos veces. Coste de la deuda del 15,5 % (debentures ligadas al CDI y bonos en USD cubiertos) y peso del 16,6 % (14.933 M de deuda frente a 75.324 M de capitalización). WACC del 19,75 %.</w:t>
      </w:r>
    </w:p>
    <w:p>
      <w:pPr>
        <w:keepNext/>
        <w:spacing w:after="100"/>
      </w:pPr>
      <w:r>
        <w:rPr>
          <w:b/>
          <w:bCs/>
        </w:rPr>
        <w:t xml:space="preserve">Valor terminal.</w:t>
      </w:r>
    </w:p>
    <w:p>
      <w:pPr>
        <w:spacing w:after="100"/>
      </w:pPr>
      <w:r>
        <w:t xml:space="preserve">Gordon con un crecimiento del 5,5 % nominal en BRL: inflación del Focus para 2027 del 4,1 % más ≈ 1,4 puntos reales [36]. El valor terminal pesa un 44 % del DCF, poco porque el WACC es alto. Implica ≈ 5,7 veces el EBITDA terminal, frente a 10,0 veces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(reinvierte el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frente al 6,9 %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-95 M, con un capex bruto medio del 3,0 % de las ventas). En un negocio de activos ligeros, el crecimiento medio del 6,9 %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récord de contado, renta fija y Tesouro Direto en el 1S26 (+14,4 % de ingresos netos) [5]; precio ≈ 1,5 puntos por mezcla y tarifas; perímetro −0,5 (venta de Dimensa).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más normales tras el año electoral; la Selic alta resta contado y suma renta fija.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precio 2,5 %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PIB nominal.</w:t>
            </w:r>
          </w:p>
        </w:tc>
      </w:tr>
    </w:tbl>
    <w:p>
      <w:pPr>
        <w:spacing w:after="160" w:before="0"/>
      </w:pPr>
    </w:p>
    <w:p>
      <w:pPr>
        <w:spacing w:after="100"/>
      </w:pPr>
      <w:r>
        <w:t xml:space="preserve">Sí: el crecimiento medio proyectado (6,9 % nominal en BRL, ≈ 3 % real) está por debajo del de 2018-2025 (11 % anual) y del PIB nominal más la penetración de la renta variable en Brasil, y no necesita capital nuevo: capex del 3 % de los ingresos. B3 es el monopolio de hecho de la bolsa, la compensación y el depósito en Brasil [5,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100 % justifica el precio (base: 70,0 %)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(WACC: 19,8 %)</w:t>
            </w:r>
          </w:p>
        </w:tc>
      </w:tr>
    </w:tbl>
    <w:p>
      <w:pPr>
        <w:spacing w:after="160" w:before="0"/>
      </w:pPr>
    </w:p>
    <w:p>
      <w:pPr>
        <w:spacing w:after="100"/>
      </w:pPr>
      <w:r>
        <w:t xml:space="preserve">El DCF da 8,46 por acción, un 43,9 % por debajo del precio, con un WACC del 19,75 % y un valor terminal del 44 %. El DCF inverso dice que el precio descuenta un crecimiento del 20,5 % anual en 2027-2032 frente al 6,1 % de nuestro base, o una rentabilidad implícita del 13,3 %, por debajo de la propia tasa libre (15,4 %): el mercado no cree que el bono a 10 años se quede en el 15 % o descuenta a B3 con una tasa menor que la del Estado. Es el problema de fondo de valorar en BRL con la curva del día de la elección: cualquier activo brasileño de duración larga sale caro.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gobierno grava dividendos y elimina los JCP, la Selic sube al 16-17 % y los extranjeros (≈ 50 % del volumen de contado) salen: volumen de contado a la baja, menos salidas a bolsa y margen 3 puntos menor. Crecimiento terminal del 4,5 % y WACC un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sigue con tipos altos pero sin ruptura: B3 crece con la inflación más un poco de volumen, mantiene el margen del 70 % y devuelve casi todo 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volatilidad y la renta fija sostienen volúmenes récord y los nuevos negocios (datos, Tesouro Direto, derivados de cripto y de renta fija) crecen: +2 puntos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BRL) · precio actual 1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8,20 BRL (-45,6 %).</w:t>
      </w:r>
    </w:p>
    <w:p>
      <w:pPr>
        <w:spacing w:after="100"/>
      </w:pPr>
      <w:r>
        <w:t xml:space="preserve">Los tres escenarios del DCF quedan por debajo del precio (6,56, 8,46 y 9,31): la asimetría es negativa (−0,68 veces). Lo que mueve el valor no es el negocio sino la tasa: con 2,5 puntos menos de tasa libre (la de antes de la elección) el base sube a 10,03. A 12 meses, el bajista con PER de 10,4 veces da 11,44 (−24 %) y el alcista 24,34 (+62 %).</w:t>
      </w:r>
    </w:p>
    <w:p>
      <w:pPr>
        <w:pStyle w:val="Heading1"/>
      </w:pPr>
      <w:r>
        <w:t xml:space="preserve">22. Suma de partes</w:t>
      </w:r>
    </w:p>
    <w:p>
      <w:pPr>
        <w:pStyle w:val="Confianza"/>
        <w:spacing w:after="100"/>
      </w:pPr>
      <w:r>
        <w:t xml:space="preserve">Confianza: Media</w:t>
      </w:r>
    </w:p>
    <w:p>
      <w:pPr>
        <w:spacing w:after="100"/>
      </w:pPr>
      <w:r>
        <w:t xml:space="preserve">No aplica: contado, derivados, renta fija y datos comparten la misma infraestructura de negociación, compensación y depósito.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BRL) · precio actual 1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10,50 BRL (-30,3 % sobre 15,07).</w:t>
      </w:r>
    </w:p>
    <w:p>
      <w:pPr>
        <w:spacing w:after="100"/>
      </w:pPr>
      <w:r>
        <w:t xml:space="preserve">El DCF pesa un 50 % y los escenarios un 40 % porque es un negocio de caja estable con un margen EBITDA del 70 %; los comparables solo un 10 %: las bolsas desarrolladas cotizan con tasas libres del 3-5 %, no del 15,4 %, y su PER (22,6 de mediana) no se puede trasladar a Brasil sin la prima país. Transacciones, cero: son del sector de datos (Refinitiv, IHS Markit), en dólares y con otra tasa. La señal la decide el DCF en BRL: 8,46 en el base, 10,50 ponderado, 11,14 con la prima implícita del mercado. Con la tasa libre previa a la elección (12,98 %, WACC 17,41 %) el ponderado sube a 11,88; con el 13,5 % del encargo (WACC 17,90 %), a 11,54. En ningún caso llega al precio, ni al de antes de la elección (23,65).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(12.8x) a mitad de camino hacia la mediana de 5 años (13.8x)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r>
    </w:tbl>
    <w:p>
      <w:pPr>
        <w:spacing w:after="160" w:before="0"/>
      </w:pPr>
    </w:p>
    <w:p>
      <w:pPr>
        <w:spacing w:after="100"/>
      </w:pPr>
      <w:r>
        <w:rPr>
          <w:b/>
          <w:bCs/>
        </w:rPr>
        <w:t xml:space="preserve">Objetivo a 12 meses (ponderado):</w:t>
      </w:r>
      <w:r>
        <w:t xml:space="preserve"> 17,52 BRL · rentabilidad +18,2 % (base +15,8 %) · señal Mantener.</w:t>
      </w:r>
    </w:p>
    <w:p>
      <w:pPr>
        <w:spacing w:after="100"/>
      </w:pPr>
      <w:r>
        <w:t xml:space="preserve">Para comparar, con la regla v2 (historia al cierre, mismo precio): 11,8x / 12,8x / 16,6x, 15,7 %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(1,14) queda un 5 % por debajo del consenso (1,20) y el de 2027e (1,18), un 12 % por debajo (1,35) [19]. La diferencia viene de tres cosas: el tipo nominal del 37 % desde el 2T26 (LC 224/2025), que el consenso de antes del verano quizá no recoge del todo; que no contamos créditos extraordinarios de JCP antiguos (510 M en el 4T25 y 277,5 M en el 2T26) como recurrentes; y menos recompras. El consenso es anterior a la segunda vuelta y no recoge la caída.</w:t>
      </w:r>
    </w:p>
    <w:p>
      <w:pPr>
        <w:keepNext/>
        <w:spacing w:after="100"/>
      </w:pPr>
      <w:r>
        <w:rPr>
          <w:b/>
          <w:bCs/>
        </w:rPr>
        <w:t xml:space="preserve">Del valor intrínseco al objetivo a 12 meses.</w:t>
      </w:r>
    </w:p>
    <w:p>
      <w:pPr>
        <w:spacing w:after="100"/>
      </w:pPr>
      <w:r>
        <w:t xml:space="preserve">El objetivo a 12 meses (17,52) sale de un PER base de 13,3 veces sobre un BPA de 2028e de 1,29: la mitad del camino entre el PER adelantado de hoy (12,8) y la mediana de 2021-2025 (13,8). Da un 18,2 % ponderado y un 15,8 % en el base, pero el valor intrínseco (10,50) queda un 30 % por debajo del precio: con un bono a 10 años del 15,4 % el DCF no sostiene ni el precio de después de la caída. Con la regla v2 (historia al cierre) 15,8 % / 11,6 %. Con un BPA un 10 % peor, 6,7 % / 4,5 %: la rentabilidad depende de que el beneficio aguante con la Selic y los impuestos nuevos.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de septiembre-octubre récord por la volatilidad; tipo efectivo con el CSLL nuevo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medidas fiscales del gobierno electo (presupuesto de 2027, dividendos, JCP)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bajista: tipo efectivo +3-5 puntos y salida de inversores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Copom: subida de la Selic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tasa de descuento; más renta fija y menos contado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del 90-110 %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 del bono a 10 años hacia el 13 %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sube ≈ 1,5 BRL y el ROIC − WACC pasa de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Tributación de dividendos y fin de los JCP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(bajista a 12 meses: 11,44, −24 %)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vía recompras; los JCP antiguos (≈ 3.250 M) ya reconocidos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ley con fecha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Selic y bono a 10 años por encima del 15 % durante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 tipos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en el DCF por cada 2,5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ingresos de renta fija y de la caja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DI1F31 por encima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inversores extranjeros y caída del contado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Negocios recurrentes (datos, depósito, OTC) del ≈ 40 %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de contado por debajo de 25.000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una segunda bolsa (ATS, A5X) y presión de tarifas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Cámara y depósito integrados, red de participantes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la CVM a un competidor con cámara propia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Fallo de la cámara en un día extremo como el 26-oct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Garantías de los participantes y salvaguardas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Llamadas de margen extraordinarias</w:t>
            </w:r>
          </w:p>
        </w:tc>
      </w:tr>
    </w:tbl>
    <w:p>
      <w:pPr>
        <w:spacing w:after="160" w:before="0"/>
      </w:pPr>
    </w:p>
    <w:p>
      <w:pPr>
        <w:pStyle w:val="Heading2"/>
      </w:pPr>
      <w:r>
        <w:t xml:space="preserve">Pre-mortem</w:t>
      </w:r>
    </w:p>
    <w:p>
      <w:pPr>
        <w:spacing w:after="100"/>
      </w:pPr>
      <w:r>
        <w:t xml:space="preserve">Octubre de 2027: B3 vale 9 BRL. El gobierno gravó los dividendos al 15 % y eliminó los JCP en 2027; la Selic subió al 16,5 % y la renta variable perdió un 20 % de volumen frente a la renta fija. El tipo efectivo de B3 pasó del 29 % al 34 % y el beneficio bajó un 8 %. El PER cayó a 9 veces, el mínimo de 2015-2016.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Pequeño</w:t>
      </w:r>
    </w:p>
    <w:p>
      <w:pPr>
        <w:spacing w:after="100"/>
      </w:pPr>
      <w:r>
        <w:t xml:space="preserve">La IA no sustituye una bolsa con monopolio de compensación y depósito; puede aumentar la negociación algorítmica (más volumen) y competir en datos, una parte pequeña de los ingresos.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resiliencia operativa y la ciberseguridad de una infraestructura sistémica (cámara y depositaria) y la gobernanza de los datos de inversores. En 2026 B3 entró en el Dow Jones Best in Class global y de mercados emergentes, y registra más de 6,4 M de créditos de carbono [5].</w:t>
      </w:r>
    </w:p>
    <w:p>
      <w:pPr>
        <w:pStyle w:val="Heading2"/>
      </w:pPr>
      <w:r>
        <w:t xml:space="preserve">Controversias</w:t>
      </w:r>
    </w:p>
    <w:p>
      <w:pPr>
        <w:spacing w:after="100"/>
      </w:pPr>
      <w:r>
        <w:t xml:space="preserve">Sin sanciones relevantes en los tres últimos años en las fuentes leídas (releases 2025-2026).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el fin de los JCP en el tipo efectivo y en el reparto?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la victoria de Lula para B3.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Cámara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recursos propios dedica B3 a las salvaguardas de la cámara y cuánto de la caja es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hoy suponemos libre toda la caja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fueron los volúmenes y la salida de extranjeros en las semanas tras la elección?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miedo de un cambio de negocio.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 fija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compensa la renta fija y el Tesouro Direto la caída del contado con la Selic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Define el crecimiento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InfoMoney (noticia del día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B3 (−36 %, hasta −50 % en la apertura) se lee como apuesta contra el mercado de capitales brasileño tras la victoria de Lula, sin una noticia propia de la empresa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 Money (noticia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del sector financiero a la reelección; sin explicación específica para B3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Traders Union (análisis para particulares, EWZ)</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comentaristas ve oportunidad en el desplome de Brasil (EWZ) y otros esperan más salidas de capital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 Quero Investir y Genial (análisis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las elecciones el debate era la pérdida de fuerza de los volúmenes compensada por la diversificación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y fiscal (dividendos, JCP, riqueza)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ahorro fiscal de los JCP vale ≈ 0,10-0,11 BRL por acción y año y quedan ≈ 3.250 M de saldos por usar (releases de B3): si se eliminaran, el BPA bajaría ≈ 8 % (estimación propia).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Volúmenes con la Selic al alza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2021-2023 la subida de la Selic bajó los ingresos un 3,4 % en dos años, no un 36 %; los derivados de tipos suben con la volatilidad (releases de B3).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Diversificación y recurrentes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+17,3 % en el 2T26 (release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Oportunidad tras el desplome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15,07 BRL el PER sobre nuestro BPA de 2027 es de 12,7 veces, frente a 13,8 de mediana adelantada en 2021-2025.</w:t>
            </w:r>
          </w:p>
        </w:tc>
      </w:tr>
    </w:tbl>
    <w:p>
      <w:pPr>
        <w:spacing w:after="160" w:before="0"/>
      </w:pPr>
    </w:p>
    <w:p>
      <w:pPr>
        <w:spacing w:after="100"/>
      </w:pPr>
      <w:r>
        <w:t xml:space="preserve">Lo leído son noticias con comentarios y análisis para particulares, no hilos de foro (los foros brasileños y Reddit no abren desde este entorno): confianza baja. El tono pasó en un día de dividido a negativo, con capitulación en la apertura (−50 %) y rebote parcial al cierre. Los inversores ven a B3 como la forma más directa de vender el mercado brasileño, que es lo que mide su beta de 1,57 frente al Ibovespa. El riesgo que señalan (impuestos sobre dividendos y JCP) está en el informe como bajista; no hay una noticia propia de B3 que explique la diferencia con el Ibovespa (−36 % frente a −14 %).</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36 (11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2,3 %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5,50 %. Explicación: El 5,5 % es nominal en BRL: inflación esperada del Focus del 4,1 % para 2027 (3,5-3,7 % para 2028-2029) más ≈ 1,4 puntos reales, dentro del rango del encargo (inflación más 0-1,5 puntos) y muy por debajo de la tasa libre (15,4 %) [36]. El control está pensado para divisas de inflación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Datos abiertos de la CVM (sin nota de deuda); 2) release 2T26 (solo el 83 % a largo plazo); 3) notas explicativas de la DFP 2025 (PDF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Release 2T26 y 4T25 (no lo citan); 2) datos abiertos de la CVM (no lo traen); 3) no se buscó en Moody's o S&amp;P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(2018-2023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DFP 2025 (segmentación nueva desde 2024); 2) releases 4T25 y 2T26 (solo ingresos); 3) DFP 2023 con la segmentación antigua,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Releases de B3 (volúmenes, no tamaño en BRL); 2) ficha sectorial del repo (no hay de bolsas emergentes); 3) informes de las comparables (otro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Release 2T26 (solo índices DJSI); 2) release 4T25; 3) no se buscó en MSCI/Sustainalytics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ri.b3.com.br (Formulário de Referência no descargado por tiempo); 2) datos abiertos de la CVM (FRE no bajado); 3) prensa (solo el presidente del consejo)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Composición de capital de la CVM (solo totales y tesorería); 2) Yahoo (68 % institucional, sin nombres); 3) Formulário de Referência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Formulários consolidados del art. 11 (CVM) no descargados; 2) prensa: sin compras o ventas relevantes citadas; 3) releases: no las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DFP 2025 consolidada de B3 S.A. (DRE, balance, DFC, DVA; versión 1 recibida el 26-feb-2026), datos abiertos de la CVM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CVM, Portal de Dados Abertos (dfp_cia_aberta_2025.zip)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https://dados.cvm.gov.br/dados/CIA_ABERTA/DOC/DFP/DADOS/dfp_cia_aberta_2025.zip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DFP 2023 consolidada de B3 S.A. (ejercicios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CVM, Portal de Dados Abertos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https://dados.cvm.gov.br/dados/CIA_ABERTA/DOC/DFP/DADOS/dfp_cia_aberta_2023.zip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DFP 2021 y DFP 2019 consolidadas de B3 S.A. (ejercicios 2018-2021)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CVM, Portal de Dados Abertos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https://dados.cvm.gov.br/dados/CIA_ABERTA/DOC/DFP/DADOS/dfp_cia_aberta_2021.zip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ITR 1T26 y 2T26 consolidados de B3 S.A. (recibidos el 7-may y el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CVM, Portal de Dados Abertos (itr_cia_aberta_2026.zip)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https://dados.cvm.gov.br/dados/CIA_ABERTA/DOC/ITR/DADOS/itr_cia_aberta_2026.zip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de Resultados 2T26 (ingresos por segmento, despesas ajustadas, EBITDA recurrente, lucro recurrente, deuda, JCP, Dimensa)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(ri.b3.com.br; copia en Poder360)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https://static.poder360.com.br/uploads/2026/08/Release-de-Resultados-2T26.pdf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de Resultados 4T25 (imposto diferido de R$ 1,04 bi por la subida de la CSLL, JCP extraordinario, payout 2025, guía de gastos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(copia en Poder360)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https://static.poder360.com.br/2026/02/B3-4T25.pdf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Demonstrações Financeiras 2023 y Relatório da Administração (lucro recurrente 2022 y 2023, fin del beneficio fiscal del ágio de Cetip en el 2T22)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(ri.b3.com.br, mziq)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https://api.mziq.com/mzfilemanager/v2/d/5fd7b7d8-54a1-472d-8426-eb896ad8a3c4/d1122f03-9e28-8411-262d-fb93ae66aa9f?origin=1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de Resultados 4T24 (lucro recurrente del 4T24 y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(copia en Poder360)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https://static.poder360.com.br/2025/02/balanco-financeiro-b3-4o-tri-2024.pdf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de Resultados 4T23 (lucro recurrente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(ri.b3.com.br, mziq)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https://api.mziq.com/mzfilemanager/v2/d/5fd7b7d8-54a1-472d-8426-eb896ad8a3c4/cd9d7c4b-7079-cb54-752e-795c07debea4?origin=1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bate recorde com receita de R$ 3,2 bi no primeiro trimestre de 2026 (lucro recurrente 1T26 +33,1 %)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Quero Investir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https://euqueroinvestir.com/acoes/b3-bate-recorde-com-receita-de-r-32-bi-no-primeiro-trimestre-de-2026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Lucro líquido recorrente da B3 cai 7,1 % em 12 meses para R$ 1,130 bi no 1º trimestre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Folha Vitória / Estadão Conteúdo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https://www.folhavitoria.com.br/economia/lucro-liquido-recorrente-da-b3-cai-7-1-em-12-meses-para-r-1-130-bi-no-1-trimestre/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(B3SA3) lucra R$ 1,22 bilhão no segundo trimestre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Suno Notícias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https://www.suno.com.br/noticias/?p=569873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de Resultados 4T20 (conciliación del lucro recurrente: amortización de intangibles de Cetip e imposto diferido do ágio)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S.A. (ri.b3.com.br, mziq)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https://api.mziq.com/mzfilemanager/v2/d/5fd7b7d8-54a1-472d-8426-eb896ad8a3c4/5c816e59-e27a-60b3-3b44-17ecc9afa153?origin=1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los comparables (márgenes y crecimiento) de Yahoo Finance quoteSummary,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(notas/yahoo-datos.json)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https://finance.yahoo.com/quote/B3SA3.SA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value del repositorio de bolsas (HKEX 16-oct, CME 26-oct, LSEG 26-oct): estructura del sector de infraestructura de mercados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Egan é escolhido como novo CEO da B3 (19-may-2026)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Bora Investir (B3)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https://borainvestir.b3.com.br/noticias/empresas/christian-egan-e-escolhido-como-novo-ceo-da-b3/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George Egan é eleito novo diretor-presidente de B3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&amp; Consumo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https://mercadoeconsumo.com.br/19/05/2026/gestao/christian-george-egan-e-eleito-novo-diretor-presidente-de-b3/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B3SA3.SA, BOVA11.SA, ^BVSP: históricos diarios hasta el 26-oct-2026 (precio, rango, volumen, beta, rentabilidades, cierres de año;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 y 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https://finance.yahoo.com/quote/B3SA3.SA/history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B3SA3.SA y comparables: consenso de BPA (earningsTrend), objetivo medio, recomendaciones, valor empresa y EBITDA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(notas/yahoo-datos.json)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https://finance.yahoo.com/quote/B3SA3.SA/analysis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10Y government bond yield: 15,435 % el 26-oct-2026 (anterior 12,98 %)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promete payout elevado em 2026, mas guidance de custos acende alerta (guía 2026: gastos ajustados de 2.400-2.600 M, capex de 260-350 M, payout del 90-110 %, recompra de hasta 230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https://www.infomoney.com.br/?p=3141347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informe de S&amp;P Global del repo (Refinitiv, IHS Markit, Adenza, MarketAxess, With Intelligence, Preqin, Black Knight)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(informes/sp-global-2026-10-12)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frente al real al cierre del 26-oct-2026 (USDBRL, HKDBRL, EURBRL, GBPBRL, JPYBRL, MXNBRL, SGDBRL, AUDBRL)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Ibovespa desaba 13 % após eleição, em dia de circuit breaker; dólar dispara 8 % (cierre del 26-oct: Ibovespa 176.608 puntos, −13,88 %; dólar 5,403; DI1F27 13,723 %, DI1F31 15,240 %, DI1F35 15,195 %; B3 −36,28 %)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https://www.infomoney.com.br/mercados/ibovespa-hoje-bolsa-de-valores-ao-vivo-26102026/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(B3SA3): ação chega a cair 50 % após reeleição de Lula, mas fecha em queda de 36 % (Lula 51,79 % frente a 48,21 %)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https://www.infomoney.com.br/mercados/b3-b3sa3-desempenho-eleicoes-segundo-turno-26102026/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Stocks Plunge 13.88 % After Lula Win (circuit breaker, bancos −13 a −22 %, temores fiscales y de control estatal)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Rio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https://www.riotimesonline.com/brazil-markets-ibovespa-real-monday-october-26-2026/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Ação da B3 despenca após vitória de Lula (temor a impuestos sobre dividendos o a la riqueza; nota de B3 de que sigue el escenario)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 em Folhas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https://brasilemfolhas.com.br/2026/10/acao-da-b3-despenca-apos-vitoria-de-lula/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stocks brace for selloff after Lula's win; EWZ ETF falls 27 % in premarket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Invezz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https://invezz.com/news/2026/10/26/brazil-stocks-brace-for-selloff-after-lulas-win-ewz-etf-falls-27-in-premarket/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resultados del 3T26: B3 publica el 12-nov-2026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 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https://www.bpmoney.com.br/negocios/empresas-na-bolsa/resultados-3t26-calendario-balancos-b3/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BOLSY (ADR de B3 en OTC, 1 ADR = 3 acciones): cierre del 26-oct-2026 en 8,38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https://finance.yahoo.com/quote/BOLSY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Ação da B3 derrete até 50 % e fecha com queda de 36 % após reeleição de Lula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 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https://bpmoney.com.br/mercado/acoes/b3-b3sa3-queda-36-apos-reeleicao-lula-segundo-turno/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stocks sell off after Lula win as Weiss Ratings flags Nu Holdings, EWZ opportunity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https://tradersunion.com/news/stocks/show/3974620-brazil-stocks-selloff-lula-win-nu-ewz/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(B3SA3): resultado do 2T26 acende alerta no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Quero Investir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https://euqueroinvestir.com/acoes/b3-resultado-acende-alerta-no-mercado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B3 (B3SA3) resultado 2T26: diversificação amortece a perda de força dos volumes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Genial Investimentos (Analisa)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https://analisa.genialinvestimentos.com.br/acoes/b3/b3-b3sa3-resultado-2t26-diversificacao-amortece-a-perda-de-forca-dos-volumes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mercado vê IPCA e Selic maiores em 2026 e 2027 (Focus del 15-jun-2026: IPCA 2027 4,10 %, 2028 3,68 %, 2029 3,50 %)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Quero Investir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https://euqueroinvestir.com/economia/focus-mercado-ve-ipca-e-selic-maiores-em-2026-e-2027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gobierno</w:t>
      </w:r>
      <w:r>
        <w:t xml:space="preserve"> · Generado el 27 oct 2026.</w:t>
      </w:r>
    </w:p>
    <w:p>
      <w:pPr>
        <w:pStyle w:val="Nota"/>
        <w:spacing w:after="100"/>
      </w:pPr>
      <w:r>
        <w:t xml:space="preserve">Divisa de las cuentas, de la valoración y de la cotización: BRL (B3SA3, Novo Mercado). Precio: cierre de São Paulo del 26-oct-2026 (15,07 BRL), el día de la caída tras la victoria de Lula del 25-oct; a la hora del análisis no había cierre del 27-oct. El ADR BOLSY (OTC, 1 ADR = 3 acciones) cerró a 8,38 USD, equivalente a 15,10 BRL con 5,403 BRL/USD [24, 31]. B3 no presenta 20-F: cuentas de la CVM (DFP 2018-2025 e ITR 1T26-2T26, datos abiertos) y releases de la empresa. 2016-2017 no son comparables (fusión con Cetip en marzo de 2017 y cambio de presentación de ingresos): la serie empieza en 2018. BPA de 2018-2019 divididos por 3 por el desdoblamiento de 2021. El balance quita de la caja, del activo y del pasivo las garantías en efectivo de los participantes de la cámara (2.655 M) y los proventos en custodia (184 M), dinero de clientes, como en HKEX, CME y LSEG. La historia del PER usa el beneficio recurrente de B3 (suma la amortización de intangibles de Cetip y quita no recurrentes), con 2024 y 2025 estimados con los trimestres publicados. Consenso y objetivos de los analistas anteriores a la segunda vuelta. No se ajustan los recursos propios que B3 dedica a las salvaguardas de la cámara (importe no localizado). Los comparables son de Yahoo Finance del 26-oct en BRL a los cambios del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B3 S.A. – Brasil, Bolsa, Balcão (B3SA3)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15,07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(11,83 – 24,28)</c:v>
                </c:pt>
                <c:pt idx="1">
                  <c:v>Precio objetivo de los analistas (16,00 – 30,00)</c:v>
                </c:pt>
                <c:pt idx="2">
                  <c:v>Comparables: PER NTM (24,22 – 31,23)</c:v>
                </c:pt>
                <c:pt idx="3">
                  <c:v>Transacciones precedentes (EV/EBITDA) (19,63 – 38,55)</c:v>
                </c:pt>
                <c:pt idx="4">
                  <c:v>DCF (WACC y g ± 0,5) (8,06 – 8,92)</c:v>
                </c:pt>
                <c:pt idx="5">
                  <c:v>Escenarios (bajista – alcista) (6,56 – 9,31)</c:v>
                </c:pt>
                <c:pt idx="6">
                  <c:v>DCF con la prima implícita del mercado (4,2 %)</c:v>
                </c:pt>
                <c:pt idx="7">
                  <c:v>Precio actual (15,07)</c:v>
                </c:pt>
              </c:strCache>
            </c:strRef>
          </c:cat>
          <c:val>
            <c:numRef>
              <c:f>Hoja1!$B$2:$B$9</c:f>
              <c:numCache>
                <c:formatCode>#,##0.0</c:formatCode>
                <c:ptCount val="8"/>
                <c:pt idx="0">
                  <c:v>11.83</c:v>
                </c:pt>
                <c:pt idx="1">
                  <c:v>16</c:v>
                </c:pt>
                <c:pt idx="2">
                  <c:v>24.22</c:v>
                </c:pt>
                <c:pt idx="3">
                  <c:v>19.63</c:v>
                </c:pt>
                <c:pt idx="4">
                  <c:v>8.06</c:v>
                </c:pt>
                <c:pt idx="5">
                  <c:v>6.56</c:v>
                </c:pt>
                <c:pt idx="6">
                  <c:v>8.87</c:v>
                </c:pt>
                <c:pt idx="7">
                  <c:v>14.99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(11,83 – 24,28)</c:v>
                </c:pt>
                <c:pt idx="1">
                  <c:v>Precio objetivo de los analistas (16,00 – 30,00)</c:v>
                </c:pt>
                <c:pt idx="2">
                  <c:v>Comparables: PER NTM (24,22 – 31,23)</c:v>
                </c:pt>
                <c:pt idx="3">
                  <c:v>Transacciones precedentes (EV/EBITDA) (19,63 – 38,55)</c:v>
                </c:pt>
                <c:pt idx="4">
                  <c:v>DCF (WACC y g ± 0,5) (8,06 – 8,92)</c:v>
                </c:pt>
                <c:pt idx="5">
                  <c:v>Escenarios (bajista – alcista) (6,56 – 9,31)</c:v>
                </c:pt>
                <c:pt idx="6">
                  <c:v>DCF con la prima implícita del mercado (4,2 %)</c:v>
                </c:pt>
                <c:pt idx="7">
                  <c:v>Precio actual (15,07)</c:v>
                </c:pt>
              </c:strCache>
            </c:strRef>
          </c:cat>
          <c:val>
            <c:numRef>
              <c:f>Hoja1!$C$2:$C$9</c:f>
              <c:numCache>
                <c:formatCode>#,##0.0</c:formatCode>
                <c:ptCount val="8"/>
                <c:pt idx="0">
                  <c:v>12.450000000000001</c:v>
                </c:pt>
                <c:pt idx="1">
                  <c:v>14</c:v>
                </c:pt>
                <c:pt idx="2">
                  <c:v>7.010000000000002</c:v>
                </c:pt>
                <c:pt idx="3">
                  <c:v>18.919999999999998</c:v>
                </c:pt>
                <c:pt idx="4">
                  <c:v>0.8599999999999994</c:v>
                </c:pt>
                <c:pt idx="5">
                  <c:v>2.750000000000001</c:v>
                </c:pt>
                <c:pt idx="6">
                  <c:v>0.6699999999999999</c:v>
                </c:pt>
                <c:pt idx="7">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(BRL, millones)</a:t>
            </a:r>
          </a:p>
        </c:rich>
      </c:tx>
      <c:overlay val="0"/>
    </c:title>
    <c:autoTitleDeleted val="0"/>
    <c:plotArea>
      <c:layout/>
      <c:barChart>
        <c:barDir val="col"/>
        <c:grouping val="stacked"/>
        <c:varyColors val="0"/>
        <c:ser>
          <c:idx val="0"/>
          <c:order val="0"/>
          <c:tx>
            <c:strRef>
              <c:f>Hoja1!$B$1</c:f>
              <c:strCache>
                <c:ptCount val="1"/>
                <c:pt idx="0">
                  <c:v>Mercados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7196</c:v>
                </c:pt>
                <c:pt idx="1">
                  <c:v>7415</c:v>
                </c:pt>
              </c:numCache>
            </c:numRef>
          </c:val>
        </c:ser>
        <c:ser>
          <c:idx val="1"/>
          <c:order val="1"/>
          <c:tx>
            <c:strRef>
              <c:f>Hoja1!$C$1</c:f>
              <c:strCache>
                <c:ptCount val="1"/>
                <c:pt idx="0">
                  <c:v>Soluções para Mercado de Capitais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611</c:v>
                </c:pt>
                <c:pt idx="1">
                  <c:v>672</c:v>
                </c:pt>
              </c:numCache>
            </c:numRef>
          </c:val>
        </c:ser>
        <c:ser>
          <c:idx val="2"/>
          <c:order val="2"/>
          <c:tx>
            <c:strRef>
              <c:f>Hoja1!$D$1</c:f>
              <c:strCache>
                <c:ptCount val="1"/>
                <c:pt idx="0">
                  <c:v>Soluções Analíticas de Dados (Trillia)</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1018</c:v>
                </c:pt>
                <c:pt idx="1">
                  <c:v>1124</c:v>
                </c:pt>
              </c:numCache>
            </c:numRef>
          </c:val>
        </c:ser>
        <c:ser>
          <c:idx val="3"/>
          <c:order val="3"/>
          <c:tx>
            <c:strRef>
              <c:f>Hoja1!$E$1</c:f>
              <c:strCache>
                <c:ptCount val="1"/>
                <c:pt idx="0">
                  <c:v>Tecnologia e Plataformas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1664</c:v>
                </c:pt>
                <c:pt idx="1">
                  <c:v>1909</c:v>
                </c:pt>
              </c:numCache>
            </c:numRef>
          </c:val>
        </c:ser>
        <c:ser>
          <c:idx val="4"/>
          <c:order val="4"/>
          <c:tx>
            <c:strRef>
              <c:f>Hoja1!$F$1</c:f>
              <c:strCache>
                <c:ptCount val="1"/>
                <c:pt idx="0">
                  <c:v>Otros e impuestos sobre ingresos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-976</c:v>
                </c:pt>
                <c:pt idx="1">
                  <c:v>-1053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Mercados</c:v>
                </c:pt>
                <c:pt idx="1">
                  <c:v>Soluções para Mercado de Capitais</c:v>
                </c:pt>
                <c:pt idx="2">
                  <c:v>Soluções Analíticas de Dados (Trillia)</c:v>
                </c:pt>
                <c:pt idx="3">
                  <c:v>Tecnologia e Plataformas</c:v>
                </c:pt>
                <c:pt idx="4">
                  <c:v>Otros e impuestos sobre ingresos</c:v>
                </c:pt>
              </c:strCache>
            </c:strRef>
          </c:cat>
          <c:val>
            <c:numRef>
              <c:f>Hoja1!$B$2:$B$6</c:f>
              <c:numCache>
                <c:formatCode>General</c:formatCode>
                <c:ptCount val="5"/>
                <c:pt idx="0">
                  <c:v>73.7</c:v>
                </c:pt>
                <c:pt idx="1">
                  <c:v>6.7</c:v>
                </c:pt>
                <c:pt idx="2">
                  <c:v>11.2</c:v>
                </c:pt>
                <c:pt idx="3">
                  <c:v>19</c:v>
                </c:pt>
                <c:pt idx="4">
                  <c:v>-10.5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B3</c:v>
                </c:pt>
                <c:pt idx="1">
                  <c:v>CME Group</c:v>
                </c:pt>
                <c:pt idx="2">
                  <c:v>Intercontinental Exchange</c:v>
                </c:pt>
                <c:pt idx="3">
                  <c:v>Nasdaq</c:v>
                </c:pt>
                <c:pt idx="4">
                  <c:v>HKEX</c:v>
                </c:pt>
                <c:pt idx="5">
                  <c:v>LSEG</c:v>
                </c:pt>
                <c:pt idx="6">
                  <c:v>Bolsa Mexicana de Valores</c:v>
                </c:pt>
              </c:strCache>
            </c:strRef>
          </c:cat>
          <c:val>
            <c:numRef>
              <c:f>Hoja1!$B$2:$B$8</c:f>
              <c:numCache>
                <c:formatCode>0.0"%"</c:formatCode>
                <c:ptCount val="7"/>
                <c:pt idx="0">
                  <c:v>65.9</c:v>
                </c:pt>
                <c:pt idx="1">
                  <c:v>65.9</c:v>
                </c:pt>
                <c:pt idx="2">
                  <c:v>52.6</c:v>
                </c:pt>
                <c:pt idx="3">
                  <c:v>50.6</c:v>
                </c:pt>
                <c:pt idx="4">
                  <c:v>76</c:v>
                </c:pt>
                <c:pt idx="5">
                  <c:v>29</c:v>
                </c:pt>
                <c:pt idx="6">
                  <c:v>47.8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(BRL,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strCache>
            </c:strRef>
          </c:cat>
          <c:val>
            <c:numRef>
              <c:f>Hoja1!$B$2:$B$16</c:f>
              <c:numCache>
                <c:formatCode>#,##0</c:formatCode>
                <c:ptCount val="15"/>
                <c:pt idx="0">
                  <c:v>4832</c:v>
                </c:pt>
                <c:pt idx="1">
                  <c:v>5908</c:v>
                </c:pt>
                <c:pt idx="2">
                  <c:v>8383</c:v>
                </c:pt>
                <c:pt idx="3">
                  <c:v>9248</c:v>
                </c:pt>
                <c:pt idx="4">
                  <c:v>9092</c:v>
                </c:pt>
                <c:pt idx="5">
                  <c:v>8930</c:v>
                </c:pt>
                <c:pt idx="6">
                  <c:v>9513</c:v>
                </c:pt>
                <c:pt idx="7">
                  <c:v>10068</c:v>
                </c:pt>
                <c:pt idx="8">
                  <c:v>11276</c:v>
                </c:pt>
                <c:pt idx="9">
                  <c:v>11953</c:v>
                </c:pt>
                <c:pt idx="10">
                  <c:v>12789</c:v>
                </c:pt>
                <c:pt idx="11">
                  <c:v>13621</c:v>
                </c:pt>
                <c:pt idx="12">
                  <c:v>14438</c:v>
                </c:pt>
                <c:pt idx="13">
                  <c:v>15232</c:v>
                </c:pt>
                <c:pt idx="14">
                  <c:v>16070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strCache>
            </c:strRef>
          </c:cat>
          <c:val>
            <c:numRef>
              <c:f>Hoja1!$C$2:$C$16</c:f>
              <c:numCache>
                <c:formatCode>#,##0</c:formatCode>
                <c:ptCount val="15"/>
                <c:pt idx="0">
                  <c:v>3352</c:v>
                </c:pt>
                <c:pt idx="1">
                  <c:v>4259</c:v>
                </c:pt>
                <c:pt idx="2">
                  <c:v>6721</c:v>
                </c:pt>
                <c:pt idx="3">
                  <c:v>7378</c:v>
                </c:pt>
                <c:pt idx="4">
                  <c:v>6628</c:v>
                </c:pt>
                <c:pt idx="5">
                  <c:v>6335</c:v>
                </c:pt>
                <c:pt idx="6">
                  <c:v>6691</c:v>
                </c:pt>
                <c:pt idx="7">
                  <c:v>7019</c:v>
                </c:pt>
                <c:pt idx="8">
                  <c:v>7837</c:v>
                </c:pt>
                <c:pt idx="9">
                  <c:v>8247</c:v>
                </c:pt>
                <c:pt idx="10">
                  <c:v>8889</c:v>
                </c:pt>
                <c:pt idx="11">
                  <c:v>9535</c:v>
                </c:pt>
                <c:pt idx="12">
                  <c:v>10107</c:v>
                </c:pt>
                <c:pt idx="13">
                  <c:v>10662</c:v>
                </c:pt>
                <c:pt idx="14">
                  <c:v>11249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69.4</c:v>
                </c:pt>
                <c:pt idx="1">
                  <c:v>72.1</c:v>
                </c:pt>
                <c:pt idx="2">
                  <c:v>80.2</c:v>
                </c:pt>
                <c:pt idx="3">
                  <c:v>79.8</c:v>
                </c:pt>
                <c:pt idx="4">
                  <c:v>72.9</c:v>
                </c:pt>
                <c:pt idx="5">
                  <c:v>70.9</c:v>
                </c:pt>
                <c:pt idx="6">
                  <c:v>70.3</c:v>
                </c:pt>
                <c:pt idx="7">
                  <c:v>69.7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49.6</c:v>
                </c:pt>
                <c:pt idx="1">
                  <c:v>54.7</c:v>
                </c:pt>
                <c:pt idx="2">
                  <c:v>67.8</c:v>
                </c:pt>
                <c:pt idx="3">
                  <c:v>68.3</c:v>
                </c:pt>
                <c:pt idx="4">
                  <c:v>61.3</c:v>
                </c:pt>
                <c:pt idx="5">
                  <c:v>58.7</c:v>
                </c:pt>
                <c:pt idx="6">
                  <c:v>64.3</c:v>
                </c:pt>
                <c:pt idx="7">
                  <c:v>65.9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43.2</c:v>
                </c:pt>
                <c:pt idx="1">
                  <c:v>45.9</c:v>
                </c:pt>
                <c:pt idx="2">
                  <c:v>49.5</c:v>
                </c:pt>
                <c:pt idx="3">
                  <c:v>51</c:v>
                </c:pt>
                <c:pt idx="4">
                  <c:v>46.5</c:v>
                </c:pt>
                <c:pt idx="5">
                  <c:v>46.3</c:v>
                </c:pt>
                <c:pt idx="6">
                  <c:v>48.1</c:v>
                </c:pt>
                <c:pt idx="7">
                  <c:v>45.6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10.5</c:v>
                </c:pt>
                <c:pt idx="5">
                  <c:v>20.3</c:v>
                </c:pt>
                <c:pt idx="6">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c:v>
                </c:pt>
                <c:pt idx="1">
                  <c:v>21</c:v>
                </c:pt>
                <c:pt idx="2">
                  <c:v>18</c:v>
                </c:pt>
                <c:pt idx="3">
                  <c:v>17</c:v>
                </c:pt>
                <c:pt idx="4">
                  <c:v>20</c:v>
                </c:pt>
                <c:pt idx="5">
                  <c:v>23</c:v>
                </c:pt>
                <c:pt idx="6">
                  <c:v>19</c:v>
                </c:pt>
                <c:pt idx="7">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(BRL,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3340</c:v>
                </c:pt>
                <c:pt idx="1">
                  <c:v>3981</c:v>
                </c:pt>
                <c:pt idx="2">
                  <c:v>4987</c:v>
                </c:pt>
                <c:pt idx="3">
                  <c:v>5495</c:v>
                </c:pt>
                <c:pt idx="4">
                  <c:v>4289</c:v>
                </c:pt>
                <c:pt idx="5">
                  <c:v>3701</c:v>
                </c:pt>
                <c:pt idx="6">
                  <c:v>3693</c:v>
                </c:pt>
                <c:pt idx="7">
                  <c:v>4626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2087</c:v>
                </c:pt>
                <c:pt idx="1">
                  <c:v>2714</c:v>
                </c:pt>
                <c:pt idx="2">
                  <c:v>4152</c:v>
                </c:pt>
                <c:pt idx="3">
                  <c:v>4717</c:v>
                </c:pt>
                <c:pt idx="4">
                  <c:v>4226</c:v>
                </c:pt>
                <c:pt idx="5">
                  <c:v>4132</c:v>
                </c:pt>
                <c:pt idx="6">
                  <c:v>4577</c:v>
                </c:pt>
                <c:pt idx="7">
                  <c:v>4586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9.4</c:v>
                </c:pt>
                <c:pt idx="1">
                  <c:v>11.9</c:v>
                </c:pt>
                <c:pt idx="2">
                  <c:v>21</c:v>
                </c:pt>
                <c:pt idx="3">
                  <c:v>22.6</c:v>
                </c:pt>
                <c:pt idx="4">
                  <c:v>20.1</c:v>
                </c:pt>
                <c:pt idx="5">
                  <c:v>19.9</c:v>
                </c:pt>
                <c:pt idx="6">
                  <c:v>23.1</c:v>
                </c:pt>
                <c:pt idx="7">
                  <c:v>23.3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19.7</c:v>
                </c:pt>
                <c:pt idx="1">
                  <c:v>19.7</c:v>
                </c:pt>
                <c:pt idx="2">
                  <c:v>19.7</c:v>
                </c:pt>
                <c:pt idx="3">
                  <c:v>19.7</c:v>
                </c:pt>
                <c:pt idx="4">
                  <c:v>19.7</c:v>
                </c:pt>
                <c:pt idx="5">
                  <c:v>19.7</c:v>
                </c:pt>
                <c:pt idx="6">
                  <c:v>19.7</c:v>
                </c:pt>
                <c:pt idx="7">
                  <c:v>19.7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8.3</c:v>
                </c:pt>
                <c:pt idx="1">
                  <c:v>10.8</c:v>
                </c:pt>
                <c:pt idx="2">
                  <c:v>16.6</c:v>
                </c:pt>
                <c:pt idx="3">
                  <c:v>20.1</c:v>
                </c:pt>
                <c:pt idx="4">
                  <c:v>19.8</c:v>
                </c:pt>
                <c:pt idx="5">
                  <c:v>20.4</c:v>
                </c:pt>
                <c:pt idx="6">
                  <c:v>23.7</c:v>
                </c:pt>
                <c:pt idx="7">
                  <c:v>25.6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-0.65</c:v>
                </c:pt>
                <c:pt idx="1">
                  <c:v>-0.95</c:v>
                </c:pt>
                <c:pt idx="2">
                  <c:v>-0.76</c:v>
                </c:pt>
                <c:pt idx="3">
                  <c:v>-0.2</c:v>
                </c:pt>
                <c:pt idx="4">
                  <c:v>-0.11</c:v>
                </c:pt>
                <c:pt idx="5">
                  <c:v>-0.1</c:v>
                </c:pt>
                <c:pt idx="6">
                  <c:v>0.23</c:v>
                </c:pt>
                <c:pt idx="7">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(BRL,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51</c:v>
                </c:pt>
                <c:pt idx="2">
                  <c:v>12</c:v>
                </c:pt>
                <c:pt idx="3">
                  <c:v>1868</c:v>
                </c:pt>
                <c:pt idx="4">
                  <c:v>22</c:v>
                </c:pt>
                <c:pt idx="5">
                  <c:v>646</c:v>
                </c:pt>
                <c:pt idx="6">
                  <c:v>8</c:v>
                </c:pt>
                <c:pt idx="7">
                  <c:v>44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1529</c:v>
                </c:pt>
                <c:pt idx="1">
                  <c:v>2062</c:v>
                </c:pt>
                <c:pt idx="2">
                  <c:v>3884</c:v>
                </c:pt>
                <c:pt idx="3">
                  <c:v>6705</c:v>
                </c:pt>
                <c:pt idx="4">
                  <c:v>2643</c:v>
                </c:pt>
                <c:pt idx="5">
                  <c:v>2036</c:v>
                </c:pt>
                <c:pt idx="6">
                  <c:v>2044</c:v>
                </c:pt>
                <c:pt idx="7">
                  <c:v>1445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76</c:v>
                </c:pt>
                <c:pt idx="2">
                  <c:v>798</c:v>
                </c:pt>
                <c:pt idx="3">
                  <c:v>729</c:v>
                </c:pt>
                <c:pt idx="4">
                  <c:v>3746</c:v>
                </c:pt>
                <c:pt idx="5">
                  <c:v>2150</c:v>
                </c:pt>
                <c:pt idx="6">
                  <c:v>3835</c:v>
                </c:pt>
                <c:pt idx="7">
                  <c:v>3008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Autocartera</c:v>
                </c:pt>
              </c:strCache>
            </c:strRef>
          </c:cat>
          <c:val>
            <c:numRef>
              <c:f>Hoja1!$B$2</c:f>
              <c:numCache>
                <c:formatCode>0.0"%"</c:formatCode>
                <c:ptCount val="1"/>
                <c:pt idx="0">
                  <c:v>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51.5</c:v>
                </c:pt>
                <c:pt idx="1">
                  <c:v>38.1</c:v>
                </c:pt>
                <c:pt idx="2">
                  <c:v>17.7</c:v>
                </c:pt>
                <c:pt idx="3">
                  <c:v>60.3</c:v>
                </c:pt>
                <c:pt idx="4">
                  <c:v>44.2</c:v>
                </c:pt>
                <c:pt idx="5">
                  <c:v>-46.1</c:v>
                </c:pt>
                <c:pt idx="6">
                  <c:v>18.6</c:v>
                </c:pt>
                <c:pt idx="7">
                  <c:v>10.1</c:v>
                </c:pt>
                <c:pt idx="8">
                  <c:v>-29.1</c:v>
                </c:pt>
                <c:pt idx="9">
                  <c:v>34.6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38.2</c:v>
                </c:pt>
                <c:pt idx="1">
                  <c:v>26.8</c:v>
                </c:pt>
                <c:pt idx="2">
                  <c:v>14.6</c:v>
                </c:pt>
                <c:pt idx="3">
                  <c:v>31.5</c:v>
                </c:pt>
                <c:pt idx="4">
                  <c:v>3.1</c:v>
                </c:pt>
                <c:pt idx="5">
                  <c:v>-12.1</c:v>
                </c:pt>
                <c:pt idx="6">
                  <c:v>5.1</c:v>
                </c:pt>
                <c:pt idx="7">
                  <c:v>23.1</c:v>
                </c:pt>
                <c:pt idx="8">
                  <c:v>-10.1</c:v>
                </c:pt>
                <c:pt idx="9">
                  <c:v>34.7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15.8</c:v>
                </c:pt>
                <c:pt idx="1">
                  <c:v>19.8</c:v>
                </c:pt>
                <c:pt idx="2">
                  <c:v>18.1</c:v>
                </c:pt>
                <c:pt idx="3">
                  <c:v>9</c:v>
                </c:pt>
                <c:pt idx="4">
                  <c:v>11.7</c:v>
                </c:pt>
                <c:pt idx="5">
                  <c:v>13</c:v>
                </c:pt>
                <c:pt idx="6">
                  <c:v>8.7</c:v>
                </c:pt>
                <c:pt idx="7">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11.7</c:v>
                </c:pt>
                <c:pt idx="1">
                  <c:v>11.7</c:v>
                </c:pt>
                <c:pt idx="2">
                  <c:v>11.7</c:v>
                </c:pt>
                <c:pt idx="3">
                  <c:v>11.7</c:v>
                </c:pt>
                <c:pt idx="4">
                  <c:v>11.7</c:v>
                </c:pt>
                <c:pt idx="5">
                  <c:v>11.7</c:v>
                </c:pt>
                <c:pt idx="6">
                  <c:v>11.7</c:v>
                </c:pt>
                <c:pt idx="7">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B3</c:v>
                </c:pt>
                <c:pt idx="1">
                  <c:v>CME Group</c:v>
                </c:pt>
                <c:pt idx="2">
                  <c:v>Intercontinental Exchange</c:v>
                </c:pt>
                <c:pt idx="3">
                  <c:v>Nasdaq</c:v>
                </c:pt>
                <c:pt idx="4">
                  <c:v>Cboe Global Markets</c:v>
                </c:pt>
                <c:pt idx="5">
                  <c:v>HKEX</c:v>
                </c:pt>
                <c:pt idx="6">
                  <c:v>LSEG</c:v>
                </c:pt>
                <c:pt idx="7">
                  <c:v>Bolsa Mexicana de Valores</c:v>
                </c:pt>
                <c:pt idx="8">
                  <c:v>Singapore Exchange</c:v>
                </c:pt>
                <c:pt idx="9">
                  <c:v>ASX</c:v>
                </c:pt>
              </c:strCache>
            </c:strRef>
          </c:cat>
          <c:val>
            <c:numRef>
              <c:f>Hoja1!$B$2:$B$11</c:f>
              <c:numCache>
                <c:formatCode>0.0"x"</c:formatCode>
                <c:ptCount val="10"/>
                <c:pt idx="1">
                  <c:v>21.5</c:v>
                </c:pt>
                <c:pt idx="2">
                  <c:v>15.4</c:v>
                </c:pt>
                <c:pt idx="3">
                  <c:v>17.6</c:v>
                </c:pt>
                <c:pt idx="4">
                  <c:v>17.2</c:v>
                </c:pt>
                <c:pt idx="5">
                  <c:v>12.4</c:v>
                </c:pt>
                <c:pt idx="6">
                  <c:v>17.3</c:v>
                </c:pt>
                <c:pt idx="7">
                  <c:v>8</c:v>
                </c:pt>
                <c:pt idx="8">
                  <c:v>21.2</c:v>
                </c:pt>
                <c:pt idx="9">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CME Group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21.5</c:v>
                </c:pt>
              </c:numCache>
            </c:numRef>
          </c:yVal>
          <c:smooth val="0"/>
        </c:ser>
        <c:ser>
          <c:idx val="1"/>
          <c:order val="1"/>
          <c:tx>
            <c:strRef>
              <c:f>Hoja1!$A$3</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15.4</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c:v>
                </c:pt>
              </c:numCache>
            </c:numRef>
          </c:xVal>
          <c:yVal>
            <c:numRef>
              <c:f>Hoja1!$C$4</c:f>
              <c:numCache>
                <c:formatCode>0.0"x"</c:formatCode>
                <c:ptCount val="1"/>
                <c:pt idx="0">
                  <c:v>17.6</c:v>
                </c:pt>
              </c:numCache>
            </c:numRef>
          </c:yVal>
          <c:smooth val="0"/>
        </c:ser>
        <c:ser>
          <c:idx val="3"/>
          <c:order val="3"/>
          <c:tx>
            <c:strRef>
              <c:f>Hoja1!$A$5</c:f>
              <c:strCache>
                <c:ptCount val="1"/>
                <c:pt idx="0">
                  <c:v>Cboe Global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3.2</c:v>
                </c:pt>
              </c:numCache>
            </c:numRef>
          </c:xVal>
          <c:yVal>
            <c:numRef>
              <c:f>Hoja1!$C$5</c:f>
              <c:numCache>
                <c:formatCode>0.0"x"</c:formatCode>
                <c:ptCount val="1"/>
                <c:pt idx="0">
                  <c:v>17.2</c:v>
                </c:pt>
              </c:numCache>
            </c:numRef>
          </c:yVal>
          <c:smooth val="0"/>
        </c:ser>
        <c:ser>
          <c:idx val="4"/>
          <c:order val="4"/>
          <c:tx>
            <c:strRef>
              <c:f>Hoja1!$A$6</c:f>
              <c:strCache>
                <c:ptCount val="1"/>
                <c:pt idx="0">
                  <c:v>HKEX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12.4</c:v>
                </c:pt>
              </c:numCache>
            </c:numRef>
          </c:yVal>
          <c:smooth val="0"/>
        </c:ser>
        <c:ser>
          <c:idx val="5"/>
          <c:order val="5"/>
          <c:tx>
            <c:strRef>
              <c:f>Hoja1!$A$7</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6.7</c:v>
                </c:pt>
              </c:numCache>
            </c:numRef>
          </c:xVal>
          <c:yVal>
            <c:numRef>
              <c:f>Hoja1!$C$7</c:f>
              <c:numCache>
                <c:formatCode>0.0"x"</c:formatCode>
                <c:ptCount val="1"/>
                <c:pt idx="0">
                  <c:v>17.3</c:v>
                </c:pt>
              </c:numCache>
            </c:numRef>
          </c:yVal>
          <c:smooth val="0"/>
        </c:ser>
        <c:ser>
          <c:idx val="6"/>
          <c:order val="6"/>
          <c:tx>
            <c:strRef>
              <c:f>Hoja1!$A$8</c:f>
              <c:strCache>
                <c:ptCount val="1"/>
                <c:pt idx="0">
                  <c:v>Bolsa Mexicana de Valores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7.8</c:v>
                </c:pt>
              </c:numCache>
            </c:numRef>
          </c:xVal>
          <c:yVal>
            <c:numRef>
              <c:f>Hoja1!$C$8</c:f>
              <c:numCache>
                <c:formatCode>0.0"x"</c:formatCode>
                <c:ptCount val="1"/>
                <c:pt idx="0">
                  <c:v>8</c:v>
                </c:pt>
              </c:numCache>
            </c:numRef>
          </c:yVal>
          <c:smooth val="0"/>
        </c:ser>
        <c:ser>
          <c:idx val="7"/>
          <c:order val="7"/>
          <c:tx>
            <c:strRef>
              <c:f>Hoja1!$A$9</c:f>
              <c:strCache>
                <c:ptCount val="1"/>
                <c:pt idx="0">
                  <c:v>Singapore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21.2</c:v>
                </c:pt>
              </c:numCache>
            </c:numRef>
          </c:yVal>
          <c:smooth val="0"/>
        </c:ser>
        <c:ser>
          <c:idx val="8"/>
          <c:order val="8"/>
          <c:tx>
            <c:strRef>
              <c:f>Hoja1!$A$10</c:f>
              <c:strCache>
                <c:ptCount val="1"/>
                <c:pt idx="0">
                  <c:v>ASX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4.6</c:v>
                </c:pt>
              </c:numCache>
            </c:numRef>
          </c:xVal>
          <c:yVal>
            <c:numRef>
              <c:f>Hoja1!$C$10</c:f>
              <c:numCache>
                <c:formatCode>0.0"x"</c:formatCode>
                <c:ptCount val="1"/>
                <c:pt idx="0">
                  <c:v>12.2</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(BRL,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5361</c:v>
                </c:pt>
                <c:pt idx="1">
                  <c:v>5613</c:v>
                </c:pt>
                <c:pt idx="2">
                  <c:v>6033</c:v>
                </c:pt>
                <c:pt idx="3">
                  <c:v>6471</c:v>
                </c:pt>
                <c:pt idx="4">
                  <c:v>6852</c:v>
                </c:pt>
                <c:pt idx="5">
                  <c:v>7230</c:v>
                </c:pt>
                <c:pt idx="6">
                  <c:v>7628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(BRL,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23732</c:v>
                </c:pt>
                <c:pt idx="1">
                  <c:v>18552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(BRL) · precio actual 15,07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6.56</c:v>
                </c:pt>
                <c:pt idx="1">
                  <c:v>8.46</c:v>
                </c:pt>
                <c:pt idx="2">
                  <c:v>9.31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15,07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(11,83 – 24,28)</c:v>
                </c:pt>
                <c:pt idx="1">
                  <c:v>Precio objetivo de los analistas (16,00 – 30,00)</c:v>
                </c:pt>
                <c:pt idx="2">
                  <c:v>Comparables: PER NTM (24,22 – 31,23)</c:v>
                </c:pt>
                <c:pt idx="3">
                  <c:v>Transacciones precedentes (EV/EBITDA) (19,63 – 38,55)</c:v>
                </c:pt>
                <c:pt idx="4">
                  <c:v>DCF (WACC y g ± 0,5) (8,06 – 8,92)</c:v>
                </c:pt>
                <c:pt idx="5">
                  <c:v>Escenarios (bajista – alcista) (6,56 – 9,31)</c:v>
                </c:pt>
                <c:pt idx="6">
                  <c:v>DCF con la prima implícita del mercado (4,2 %)</c:v>
                </c:pt>
                <c:pt idx="7">
                  <c:v>Precio actual (15,07)</c:v>
                </c:pt>
              </c:strCache>
            </c:strRef>
          </c:cat>
          <c:val>
            <c:numRef>
              <c:f>Hoja1!$B$2:$B$9</c:f>
              <c:numCache>
                <c:formatCode>#,##0.0</c:formatCode>
                <c:ptCount val="8"/>
                <c:pt idx="0">
                  <c:v>11.83</c:v>
                </c:pt>
                <c:pt idx="1">
                  <c:v>16</c:v>
                </c:pt>
                <c:pt idx="2">
                  <c:v>24.22</c:v>
                </c:pt>
                <c:pt idx="3">
                  <c:v>19.63</c:v>
                </c:pt>
                <c:pt idx="4">
                  <c:v>8.06</c:v>
                </c:pt>
                <c:pt idx="5">
                  <c:v>6.56</c:v>
                </c:pt>
                <c:pt idx="6">
                  <c:v>8.87</c:v>
                </c:pt>
                <c:pt idx="7">
                  <c:v>14.99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(11,83 – 24,28)</c:v>
                </c:pt>
                <c:pt idx="1">
                  <c:v>Precio objetivo de los analistas (16,00 – 30,00)</c:v>
                </c:pt>
                <c:pt idx="2">
                  <c:v>Comparables: PER NTM (24,22 – 31,23)</c:v>
                </c:pt>
                <c:pt idx="3">
                  <c:v>Transacciones precedentes (EV/EBITDA) (19,63 – 38,55)</c:v>
                </c:pt>
                <c:pt idx="4">
                  <c:v>DCF (WACC y g ± 0,5) (8,06 – 8,92)</c:v>
                </c:pt>
                <c:pt idx="5">
                  <c:v>Escenarios (bajista – alcista) (6,56 – 9,31)</c:v>
                </c:pt>
                <c:pt idx="6">
                  <c:v>DCF con la prima implícita del mercado (4,2 %)</c:v>
                </c:pt>
                <c:pt idx="7">
                  <c:v>Precio actual (15,07)</c:v>
                </c:pt>
              </c:strCache>
            </c:strRef>
          </c:cat>
          <c:val>
            <c:numRef>
              <c:f>Hoja1!$C$2:$C$9</c:f>
              <c:numCache>
                <c:formatCode>#,##0.0</c:formatCode>
                <c:ptCount val="8"/>
                <c:pt idx="0">
                  <c:v>12.450000000000001</c:v>
                </c:pt>
                <c:pt idx="1">
                  <c:v>14</c:v>
                </c:pt>
                <c:pt idx="2">
                  <c:v>7.010000000000002</c:v>
                </c:pt>
                <c:pt idx="3">
                  <c:v>18.919999999999998</c:v>
                </c:pt>
                <c:pt idx="4">
                  <c:v>0.8599999999999994</c:v>
                </c:pt>
                <c:pt idx="5">
                  <c:v>2.750000000000001</c:v>
                </c:pt>
                <c:pt idx="6">
                  <c:v>0.6699999999999999</c:v>
                </c:pt>
                <c:pt idx="7">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