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Banco BTG Pactual S.A.</w:t>
      </w:r>
    </w:p>
    <w:p>
      <w:pPr>
        <w:spacing w:after="60"/>
        <w:rPr>
          <w:color w:val="52514E"/>
          <w:sz w:val="22"/>
          <w:szCs w:val="22"/>
        </w:rPr>
      </w:pPr>
      <w:r>
        <w:rPr>
          <w:color w:val="52514E"/>
          <w:sz w:val="22"/>
          <w:szCs w:val="22"/>
        </w:rPr>
        <w:t xml:space="preserve">BPAC11 · B3 (São Paulo), units BPAC11 (1 ON + 2 PNA) · ISIN BRBPACUNT006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27 oct 2026</w:t>
      </w:r>
      <w:r>
        <w:rPr>
          <w:color w:val="52514E"/>
          <w:sz w:val="18"/>
          <w:szCs w:val="18"/>
        </w:rPr>
        <w:t xml:space="preserve"> · Divisa: </w:t>
      </w:r>
      <w:r>
        <w:rPr>
          <w:b/>
          <w:bCs/>
          <w:color w:val="52514E"/>
          <w:sz w:val="18"/>
          <w:szCs w:val="18"/>
        </w:rPr>
        <w:t xml:space="preserve">BRL</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60,00 BRL</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61,80 BRL</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+5,2 % (base +12,4 %)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25,59 BRL · mercado 29,60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231.753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Banco BTG Pactual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BPAC11 / BRBPACUNT006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B3 (São Paulo), units BPAC11 (1 ON + 2 PNA)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Ibovespa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 Banks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São Paulo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https://ri.btgpactual.com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(26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47,53 – 84,58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231.753 M BRL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231.753 M BRL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833,8 M BRL/día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61,80 BRL</w:t>
      </w:r>
      <w:r>
        <w:t xml:space="preserve"> frente a 60,00 · Rentabilidad a 12 meses </w:t>
      </w:r>
      <w:r>
        <w:rPr>
          <w:b/>
          <w:bCs/>
        </w:rPr>
        <w:t xml:space="preserve">+5,2 % (base +12,4 %)</w:t>
      </w:r>
      <w:r>
        <w:t xml:space="preserve"> · Valor intrínseco 25,59 BRL · con la prima implícita del mercado: 29,60 (-50,7 %) · Alcista / bajista -49,9 % / -68,4 %</w:t>
      </w:r>
    </w:p>
    <w:p>
      <w:pPr>
        <w:spacing w:after="100"/>
      </w:pPr>
      <w:r>
        <w:rPr>
          <w:b/>
        </w:rPr>
        <w:t xml:space="preserve">La recomendación y por qué.</w:t>
      </w:r>
      <w:r>
        <w:t xml:space="preserve"> Mantener, con convicción baja; para quien no la tiene, no comprar. El objetivo a 12 meses es de 61,80 BRL (nuestro BPA de 2028e × el PER de la regla común), un +5,2 % ponderado y un +12,4 % en el base: por debajo del 15 % de compra. El valor intrínseco (25,59 BRL; 26,37 con el modelo de exceso de rentabilidad) está un 57 % por debajo del precio de 60,00 BRL (cierre de B3 del 26-oct-2026). Y la calidad no pasa: el ROE ajustado (26,2 %) supera al Ke (22,48 %) en solo 3,7 puntos, menos de 4,5. </w:t>
      </w:r>
      <w:r>
        <w:rPr>
          <w:b/>
        </w:rPr>
        <w:t xml:space="preserve">El método no da una señal fiable</w:t>
      </w:r>
      <w:r>
        <w:t xml:space="preserve">: con un Ke en BRL de este nivel casi ningún banco brasileño vale su precio, y el precio solo se explica con un Ke del 12-15 %. La convicción es baja, y no media como sugieren los criterios, porque las reglas coinciden en Mantener pero apuntan en sentidos opuestos (+5 % a 12 meses frente a −57 % de valor intrínseco) y todo depende de un Ke tomado el día de mayor tensión de los tipos; subiría la convicción un bono a 10 años estable (en el 13 % o en el 15 %) y unos resultados del 3T26 con un ROAE por encima del 26 %, y la bajaría un Copom que sube la Selic con un ROE a la baja.</w:t>
      </w:r>
    </w:p>
    <w:p>
      <w:pPr>
        <w:spacing w:after="100"/>
      </w:pPr>
      <w:r>
        <w:rPr>
          <w:b/>
        </w:rPr>
        <w:t xml:space="preserve">El negocio.</w:t>
      </w:r>
      <w:r>
        <w:t xml:space="preserve"> BTG es el mayor banco de inversión de América Latina, con banca privada, gestión de activos, crédito a empresas, tesorería y, desde 2026, Banco Pan al 100 % [1, 30]. Ingresos ajustados de 33.039 M BRL en 2025 y beneficio de 16.685 M (BPA de 4,32 BRL por unit) [2]. La calidad sostiene el crecimiento proyectado solo en parte: el ROE del 24-26 % es el máximo de su historia y en parte viene de la propia Selic.</w:t>
      </w:r>
    </w:p>
    <w:p>
      <w:pPr>
        <w:spacing w:after="100"/>
      </w:pPr>
      <w:r>
        <w:rPr>
          <w:b/>
        </w:rPr>
        <w:t xml:space="preserve">Finanzas.</w:t>
      </w:r>
      <w:r>
        <w:t xml:space="preserve"> El ROE ajustado subió del 17,4 % de 2021 al 26,2 % de 2025, con menos trading y más comisiones [1, 2]. Capital justo: CET1 del 11,6 % y Basilea del 16,0 %; liquidez holgada (LCR del 160 %); VaR medio del 0,22 % del patrimonio; fase 3 del 3,7 % [1].</w:t>
      </w:r>
    </w:p>
    <w:p>
      <w:pPr>
        <w:spacing w:after="100"/>
      </w:pPr>
      <w:r>
        <w:rPr>
          <w:b/>
        </w:rPr>
        <w:t xml:space="preserve">Equipo y gobierno.</w:t>
      </w:r>
      <w:r>
        <w:t xml:space="preserve"> Lo controlan sus socios (68,6 % del capital, 79,6 % de los votos); André Esteves, detenido en 2015 y absuelto en 2018, preside el consejo y Roberto Sallouti es el consejero delegado desde 2016 [9, 15, 17]. La crisis de 2015 enseñó el riesgo de persona clave: salida de depósitos y venta de activos.</w:t>
      </w:r>
    </w:p>
    <w:p>
      <w:pPr>
        <w:spacing w:after="100"/>
      </w:pPr>
      <w:r>
        <w:rPr>
          <w:b/>
        </w:rPr>
        <w:t xml:space="preserve">Valoración.</w:t>
      </w:r>
      <w:r>
        <w:t xml:space="preserve"> Ke = 15,44 % (bono a 10 años del 26-oct [20]) + 1,28 × 5,5 = 22,48 %; sin prima país, que ya está en el bono. El modelo de exceso de rentabilidad da 26,37 BRL (1,28 veces el valor contable) y el P/VC justificado, 1,14 veces frente a las 2,91 del precio. Con la tasa del 23-oct (Ke del 20,0 %) daría 32,77 y con la prima del mercado (4,2 %), 29,60. El DCF inverso descuenta una rentabilidad exigida del 14,6 %.</w:t>
      </w:r>
    </w:p>
    <w:p>
      <w:pPr>
        <w:spacing w:after="100"/>
      </w:pPr>
      <w:r>
        <w:rPr>
          <w:b/>
        </w:rPr>
        <w:t xml:space="preserve">El efecto Lula.</w:t>
      </w:r>
      <w:r>
        <w:t xml:space="preserve"> La reelección del 25-oct subió 2,46 puntos el bono a 10 años y BTG cayó un 24,8 % en un día [14, 20]. Para el banco cambia sobre todo el Ke (−20 % de valor); el beneficio, menos: más Selic sobre el patrimonio, menos mercado de capitales y más morosidad (BPA de 2027e −3,6 % frente al consenso). Contexto: retrasa hasta el Copom y los resultados del 10-nov [25].</w:t>
      </w:r>
    </w:p>
    <w:p>
      <w:pPr>
        <w:spacing w:after="100"/>
      </w:pPr>
      <w:r>
        <w:rPr>
          <w:b/>
        </w:rPr>
        <w:t xml:space="preserve">Qué cambiaría la decisión.</w:t>
      </w:r>
      <w:r>
        <w:t xml:space="preserve"> Comprar exige a la vez un precio por debajo de 25,59 BRL y un diferencial ROE − Ke de al menos 4,5 puntos (con el Ke de hoy, un ROE del 27 % sostenido); vender, por encima de 70,11 BRL. Un bono a 10 años de vuelta al 13 % subiría el valor a ≈ 33 BRL, todavía lejos del precio.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61,80 BRL</w:t>
      </w:r>
      <w:r>
        <w:t xml:space="preserve"> (rentabilidad +5,2 % (base +12,4 %)) · Valor intrínseco: 25,59 BRL (-57,3 % sobre 60,00) · con la prima implícita del mercado: 29,60 (-50,7 %)</w:t>
      </w:r>
    </w:p>
    <w:p>
      <w:pPr>
        <w:spacing w:after="100"/>
      </w:pPr>
      <w:r>
        <w:t xml:space="preserve">BTG es un banco de muy alta calidad para Brasil (ROE ajustado del 26 %, menos dependiente del trading, banca privada que capta) que cotiza a 2,9 veces su valor contable. Con un coste del capital en BRL del 22,5 % tras la elección, esa calidad apenas supera el coste y el valor intrínseco es de 26 BRL: el precio descuenta tipos mucho más bajos o un ROE alto durante décadas.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61,80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5,41 = 34,08 · 9,9x × 6,68 = 66,13 · 11,0x × 7,35 = 80,85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 12,4 %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75,31 (nuestro base -12,2 %)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 / -68,4 %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 frente a 22,5 % y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20,8 %)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 BRL</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(14,2 % anual proyectado; financiable al ROIC actual: 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25,59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25,59 y 70,11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70,11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25,59 BRL con un ROE − Ke ≥ 4,5 puntos: Comprar.</w:t>
      </w:r>
    </w:p>
    <w:p>
      <w:pPr>
        <w:pStyle w:val="ListParagraph"/>
        <w:numPr>
          <w:ilvl w:val="0"/>
          <w:numId w:val="2"/>
        </w:numPr>
        <w:spacing w:after="60"/>
      </w:pPr>
      <w:r>
        <w:t xml:space="preserve">Precio por encima de 70,11 BRL: Vender (ponderada ≤ −10 %).</w:t>
      </w:r>
    </w:p>
    <w:p>
      <w:pPr>
        <w:pStyle w:val="ListParagraph"/>
        <w:numPr>
          <w:ilvl w:val="0"/>
          <w:numId w:val="2"/>
        </w:numPr>
        <w:spacing w:after="60"/>
      </w:pPr>
      <w:r>
        <w:t xml:space="preserve">Bono a 10 años en el 13 % o menos de forma estable: repetir el análisis (Ke ≈ 20 %, diferencial ≈ 6 puntos).</w:t>
      </w:r>
    </w:p>
    <w:p>
      <w:pPr>
        <w:pStyle w:val="ListParagraph"/>
        <w:numPr>
          <w:ilvl w:val="0"/>
          <w:numId w:val="2"/>
        </w:numPr>
        <w:spacing w:after="60"/>
      </w:pPr>
      <w:r>
        <w:t xml:space="preserve">ROAE ajustado &lt; 23 % dos trimestres seguidos: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Ke del 12-15 % (por debajo del bono a 10 años en BRL) o un crecimiento del 26 % anual; los analistas, antes de la elección, ponían un objetivo medio de 75 BRL con 11 de 13 en comprar [19].</w:t>
      </w:r>
    </w:p>
    <w:p>
      <w:pPr>
        <w:keepNext/>
        <w:spacing w:after="100"/>
      </w:pPr>
      <w:r>
        <w:rPr>
          <w:b/>
          <w:bCs/>
        </w:rPr>
        <w:t xml:space="preserve">Lo que creemos nosotros.</w:t>
      </w:r>
    </w:p>
    <w:p>
      <w:pPr>
        <w:spacing w:after="100"/>
      </w:pPr>
      <w:r>
        <w:t xml:space="preserve">Coincidimos en el beneficio (BPA de 2027e de 5,91 frente a 6,13); discrepamos en el coste del capital: con el bono en el 15,4 %, un ROE del 25 % vale poco más que el valor contable.</w:t>
      </w:r>
    </w:p>
    <w:p>
      <w:pPr>
        <w:keepNext/>
        <w:spacing w:after="100"/>
      </w:pPr>
      <w:r>
        <w:rPr>
          <w:b/>
          <w:bCs/>
        </w:rPr>
        <w:t xml:space="preserve">Por qué podemos tener razón.</w:t>
      </w:r>
    </w:p>
    <w:p>
      <w:pPr>
        <w:spacing w:after="100"/>
      </w:pPr>
      <w:r>
        <w:t xml:space="preserve">Es aritmética: P/VC = (ROE − g) ÷ (Ke − g) = (25 − 5) ÷ (22,5 − 5) = 1,14 veces.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BRL) · precio actual 6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ROE alto y estable</w:t>
      </w:r>
      <w:r>
        <w:t xml:space="preserve">: 26,2 % en 2025 y 26,6 % en el 1S26.</w:t>
      </w:r>
    </w:p>
    <w:p>
      <w:pPr>
        <w:pStyle w:val="ListParagraph"/>
        <w:numPr>
          <w:ilvl w:val="0"/>
          <w:numId w:val="2"/>
        </w:numPr>
        <w:spacing w:after="60"/>
      </w:pPr>
      <w:r>
        <w:rPr>
          <w:b/>
        </w:rPr>
        <w:t xml:space="preserve">Menos trading</w:t>
      </w:r>
      <w:r>
        <w:t xml:space="preserve">: del 30,8 % al 18,4 % de los ingresos.</w:t>
      </w:r>
    </w:p>
    <w:p>
      <w:pPr>
        <w:pStyle w:val="ListParagraph"/>
        <w:numPr>
          <w:ilvl w:val="0"/>
          <w:numId w:val="2"/>
        </w:numPr>
        <w:spacing w:after="60"/>
      </w:pPr>
      <w:r>
        <w:rPr>
          <w:b/>
        </w:rPr>
        <w:t xml:space="preserve">Banca privada</w:t>
      </w:r>
      <w:r>
        <w:t xml:space="preserve">: crece con compras (Julius Baer Brasil, JGP) y captación.</w:t>
      </w:r>
    </w:p>
    <w:p>
      <w:pPr>
        <w:pStyle w:val="ListParagraph"/>
        <w:numPr>
          <w:ilvl w:val="0"/>
          <w:numId w:val="2"/>
        </w:numPr>
        <w:spacing w:after="60"/>
      </w:pPr>
      <w:r>
        <w:rPr>
          <w:b/>
        </w:rPr>
        <w:t xml:space="preserve">La Selic alta</w:t>
      </w:r>
      <w:r>
        <w:t xml:space="preserve"> sube el rendimiento del patrimonio.</w:t>
      </w:r>
    </w:p>
    <w:p>
      <w:pPr>
        <w:pStyle w:val="ListParagraph"/>
        <w:numPr>
          <w:ilvl w:val="0"/>
          <w:numId w:val="2"/>
        </w:numPr>
        <w:spacing w:after="60"/>
      </w:pPr>
      <w:r>
        <w:rPr>
          <w:b/>
        </w:rPr>
        <w:t xml:space="preserve">PER moderado</w:t>
      </w:r>
      <w:r>
        <w:t xml:space="preserve">: 10,2 veces el BPA de 2027e, cerca de su mediana (9,7).</w:t>
      </w:r>
    </w:p>
    <w:p>
      <w:pPr>
        <w:pStyle w:val="Heading2"/>
      </w:pPr>
      <w:r>
        <w:t xml:space="preserve">En contra</w:t>
      </w:r>
    </w:p>
    <w:p>
      <w:pPr>
        <w:pStyle w:val="ListParagraph"/>
        <w:numPr>
          <w:ilvl w:val="0"/>
          <w:numId w:val="2"/>
        </w:numPr>
        <w:spacing w:after="60"/>
      </w:pPr>
      <w:r>
        <w:rPr>
          <w:b/>
        </w:rPr>
        <w:t xml:space="preserve">Valor intrínseco</w:t>
      </w:r>
      <w:r>
        <w:t xml:space="preserve">: 26 BRL frente a 60 con el Ke de hoy.</w:t>
      </w:r>
    </w:p>
    <w:p>
      <w:pPr>
        <w:pStyle w:val="ListParagraph"/>
        <w:numPr>
          <w:ilvl w:val="0"/>
          <w:numId w:val="2"/>
        </w:numPr>
        <w:spacing w:after="60"/>
      </w:pPr>
      <w:r>
        <w:rPr>
          <w:b/>
        </w:rPr>
        <w:t xml:space="preserve">ROE − Ke de 3,7 puntos</w:t>
      </w:r>
      <w:r>
        <w:t xml:space="preserve">: no pasa la regla de calidad.</w:t>
      </w:r>
    </w:p>
    <w:p>
      <w:pPr>
        <w:pStyle w:val="ListParagraph"/>
        <w:numPr>
          <w:ilvl w:val="0"/>
          <w:numId w:val="2"/>
        </w:numPr>
        <w:spacing w:after="60"/>
      </w:pPr>
      <w:r>
        <w:rPr>
          <w:b/>
        </w:rPr>
        <w:t xml:space="preserve">2,9 veces el valor contable</w:t>
      </w:r>
      <w:r>
        <w:t xml:space="preserve">: justificado 1,1 veces.</w:t>
      </w:r>
    </w:p>
    <w:p>
      <w:pPr>
        <w:pStyle w:val="ListParagraph"/>
        <w:numPr>
          <w:ilvl w:val="0"/>
          <w:numId w:val="2"/>
        </w:numPr>
        <w:spacing w:after="60"/>
      </w:pPr>
      <w:r>
        <w:rPr>
          <w:b/>
        </w:rPr>
        <w:t xml:space="preserve">Ciclo</w:t>
      </w:r>
      <w:r>
        <w:t xml:space="preserve">: mercado de capitales y crédito a la baja con tipos altos.</w:t>
      </w:r>
    </w:p>
    <w:p>
      <w:pPr>
        <w:pStyle w:val="ListParagraph"/>
        <w:numPr>
          <w:ilvl w:val="0"/>
          <w:numId w:val="2"/>
        </w:numPr>
        <w:spacing w:after="60"/>
      </w:pPr>
      <w:r>
        <w:rPr>
          <w:b/>
        </w:rPr>
        <w:t xml:space="preserve">Persona clave y gobierno</w:t>
      </w:r>
      <w:r>
        <w:t xml:space="preserve">: la crisis de 2015.</w:t>
      </w:r>
    </w:p>
    <w:p>
      <w:pPr>
        <w:pStyle w:val="Heading2"/>
      </w:pPr>
      <w:r>
        <w:t xml:space="preserve">Qué tiene que pasar para que la tesis funcione</w:t>
      </w:r>
    </w:p>
    <w:p>
      <w:pPr>
        <w:spacing w:after="100"/>
      </w:pPr>
      <w:r>
        <w:t xml:space="preserve">La tesis depende del bono a 10 años en BRL (cada punto ≈ 2,6 BRL de valor por unit) y de que el ROE se mantenga por encima del 25 % con tipos altos. La señal en contra sería un ROAE por debajo del 23 % o un CET1 por debajo del 11 %.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calidad del banco.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 Brasil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 (26-oct)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16 % o &lt;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Ke y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CET1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el crecimiento y el payout.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 medio ÷ patrimonio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0,4 %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la tesorería.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del crédito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Morosidad con tipos altos.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12,2x / 10,0x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Pactual nace en 1983 en Río como distribuidora y en 1989 entra André Esteves, que lo dirige desde 1998 [12]. UBS lo compra en 2006 por 2.500 M USD; en 2008 Esteves y otros socios fundan BTG y en 2009 recompran UBS Pactual [12]. Sale a bolsa en 2012. En nov-2015 Esteves es detenido en la investigación Lava Jato; hay salida de depósitos y el banco vende activos (BSI, participaciones) para reforzar la liquidez; Esteves vuelve como socio sénior en 2016, es absuelto en 2018 y vuelve a presidir el consejo en 2022 [12]. Desde 2020 crece en banca digital, patrimonios, crédito y fuera de Brasil [2,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Pactual en Río de Janeiro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compra Banco Pactual por 2.500 M USD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BTG Investments compra UBS Pactual: nace BTG Pactual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B3 (units)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Detención de André Esteves (25-nov) y crisis de liquidez; venta de BSI y de participaciones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Absolución de Esteves por el tribunal federal de Brasilia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Esteves vuelve a presidir el consejo; provisión por Americanas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Banco Pan, Julius Baer Brasil y M.Y. Safra Bank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MeuTudo, HSBC Uruguay y licencia bancaria en Perú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BTG Pactual es el mayor banco de inversión independiente de Latinoamérica y una plataforma de gestión de activos y de patrimonios: asesora fusiones y salidas a bolsa, emite y negocia deuda, presta a empresas y pymes, gestiona 1,36 billones BRL en fondos y 1,31 billones de patrimonio de clientes privados y, desde 2026, tiene banca de consumo con Banco Pan al 100 % [1]. Opera en Brasil, Chile, Colombia, Perú, México, Argentina, Uruguay, EE. UU. y Europa, con 12.169 empleados y 436 socios [1].</w:t>
      </w:r>
    </w:p>
    <w:p>
      <w:pPr>
        <w:pStyle w:val="Heading2"/>
      </w:pPr>
      <w:r>
        <w:t xml:space="preserve">Cómo gana dinero</w:t>
      </w:r>
    </w:p>
    <w:p>
      <w:pPr>
        <w:spacing w:after="100"/>
      </w:pPr>
      <w:r>
        <w:t xml:space="preserve">En el 1S26: crédito a empresas 23,8 % de los ingresos, tesorería 18,4 %, remuneración del patrimonio («Interest &amp; Others») 17,3 %, patrimonios 14,6 %, consumo 13,1 %, gestión de activos 7,8 % y banca de inversión 5,2 % [1]. Más de la mitad es recurrente (comisiones de gestión, margen de crédito, remuneración del capital); la parte volátil es la tesorería y la banca de inversión. El margen depende de la eficiencia (37,6 % de gastos sobre ingresos en el 1S26), del bonus (% de los ingresos operativos netos) y del tipo Selic, que remunera el patrimonio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Lending &amp; Business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 &amp; Trading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Asset Management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Wealth Management &amp; Personal Banking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e inversiones propias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Interest &amp; Others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Lending &amp; Business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Sales &amp; Trading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Asset Management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Wealth Management &amp; Personal Banking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e inversiones propias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Interest &amp; Others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w:t>
            </w:r>
          </w:p>
        </w:tc>
      </w:tr>
    </w:tbl>
    <w:p>
      <w:pPr>
        <w:spacing w:after="160" w:before="0"/>
      </w:pPr>
    </w:p>
    <w:p>
      <w:pPr>
        <w:pStyle w:val="Heading2"/>
      </w:pPr>
      <w:r>
        <w:t xml:space="preserve">Clientes, recurrencia y poder de precios</w:t>
      </w:r>
    </w:p>
    <w:p>
      <w:pPr>
        <w:spacing w:after="100"/>
      </w:pPr>
      <w:r>
        <w:t xml:space="preserve">Clientes muy diversificados: empresas grandes y medianas, inversores institucionales, rentas altas y, con Pan, consumidores. La exposición de crédito amplia de 406,8 miles de M está repartida por sectores (eléctrico, agro, inmobiliario, petróleo, minería; ninguno por encima del 19 %) [1]. Poder de precio demostrado en la captación: 59 miles de M de captación neta en el 2T26 mientras la industria de fondos tenía salidas netas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de clientes (AuM + WuM, billones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neta de 332 miles de M en 12 meses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crédito (miles de M BRL)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Empresas 288,5 y consumo 78,2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ROAE ajustado anualizado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26,9 % en 2025 y 23,1 % en 2024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sobre ingresos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35,4 % en el ejercicio 2025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Basilea / CET1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 / 12,0 %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 11,6 %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 −0,4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Nivel 1 del 12,6 %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 medio diario (% del patrimonio medio)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0,13 % en el 4T24, 0,38 % en el 4T25 y 0,32 % en el 1T26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Fase 3 sobre la exposición de crédito amplia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15,2 de 406,8 miles de M; incluye el crédito al consumo de Pan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BTG compite en tres mercados: (1) banca de inversión y mercados de capitales en Brasil y Latinoamérica; (2) gestión de activos y de patrimonios en Brasil, cuyo tamaño de referencia es el patrimonio de la industria de fondos (ANBIMA) y el ahorro financiero de rentas altas; (3) crédito a empresas y, desde 2026, al consumo. Se usa la industria de fondos como mercado medible: 10,7 billones BRL a dic-2025 [10] (10,4 billones a sep-2025 [11]); los activos gestionados y administrados de BTG (1,25 billones a dic-2025) son ≈ 12 % de ella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10,7 billones BRL de patrimonio de fondos a dic-2025 (ANBIMA)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(Selic)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Selic del 13,75 % (BCB, 17-sep-2026); «Interest &amp; Others» = remuneración del patrimonio a la Selic, 17 % de los ingresos de BTG; tipos altos frenan salidas a bolsa y renta variable [1,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de mercados de capitales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de BTG −46 % interanual en el 2T26 por menos emisiones de deuda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Financiarización del ahorro de rentas altas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neta de BTG de 354 miles de M BRL en 2025 y 332 en 12 meses a jun-2026 [1, 2]; la industria captó 88,4 miles de M en 2025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fiscal y político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victoria de Lula (25-oct-2026) el DI de 2031 subió 2,54 puntos al 15,185 % y los bancos cayeron un 4,5-29,3 % en un día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Crédito a empresas y consignado privado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BTG de 366,6 miles de M (+24 %), consumo +35 % interanual por el consignado privado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Itaú BBA, Bradesco BBI, XP, Santander y bancos globales en banca de inversión; XP, Itaú y bancos digitales en patrimonios [1,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rentas altas y empresas comparan comisiones; la captación neta récord muestra que BTG gana cuota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 financiación y talento: el coste de la financiación no garantizada bajó (emisión a 5,5 % en ene-2026) y los socios retienen talento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bancaria, capital (Basilea 16 %) y marca: barreras altas en banca de inversión; menores en distribución digital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Plataformas digitales y ETF baratos presionan comisiones de gestión y de distribución [10].</w:t>
            </w:r>
          </w:p>
        </w:tc>
      </w:tr>
    </w:tbl>
    <w:p>
      <w:pPr>
        <w:spacing w:after="160" w:before="0"/>
      </w:pPr>
    </w:p>
    <w:p>
      <w:pPr>
        <w:pStyle w:val="Heading2"/>
      </w:pPr>
      <w:r>
        <w:t xml:space="preserve">Ciclo</w:t>
      </w:r>
    </w:p>
    <w:p>
      <w:pPr>
        <w:spacing w:after="100"/>
      </w:pPr>
      <w:r>
        <w:t xml:space="preserve">El sector llega a fin de 2026 con Selic alta (13,75 %, tras recortes desde el 15 %), morosidad al alza en el consumo y un choque político: el 26-oct el Ibovespa cayó un 13,5 % con circuit breaker [14]. En 2015-2016 (recesión y crisis propia) BTG vendió activos y se refinanció; en 2020 su beneficio ajustado subió igualmente (ROAE 16,9 %); en 2022 sufrió la provisión de Americanas [2, 12].</w:t>
      </w:r>
    </w:p>
    <w:p>
      <w:pPr>
        <w:pStyle w:val="Heading2"/>
      </w:pPr>
      <w:r>
        <w:t xml:space="preserve">Regulación</w:t>
      </w:r>
    </w:p>
    <w:p>
      <w:pPr>
        <w:spacing w:after="100"/>
      </w:pPr>
      <w:r>
        <w:t xml:space="preserve">Banco Central del Brasil (Basilea III, Resolución CMN 4.966 de pérdida esperada desde 2025), CVM para fondos y mercados. En tramitación o en debate: la eliminación o el recorte del JCP (deducción fiscal de la remuneración del capital) y cambios en la tributación de las rentas financieras, que el nuevo Gobierno puede retomar para cerrar el déficit; el BCB endureció en oct-2026 las reglas de oferta de crédito para frenar el endeudamiento excesivo [14].</w:t>
      </w:r>
    </w:p>
    <w:p>
      <w:pPr>
        <w:pStyle w:val="Heading2"/>
      </w:pPr>
      <w:r>
        <w:t xml:space="preserve">Tendencias y disrupción</w:t>
      </w:r>
    </w:p>
    <w:p>
      <w:pPr>
        <w:spacing w:after="100"/>
      </w:pPr>
      <w:r>
        <w:t xml:space="preserve">Digitalización de la distribución de inversiones (BTG+, plataformas), consolidación de gestoras independientes, crecimiento del crédito privado (FIDC y debentures) y entrada de los bancos brasileños en EE. UU. y otros países latinoamericanos. BTG gana con la concentración del ahorro en plataformas grandes y con la expansión regional (Perú, Uruguay, EE. UU.) [1,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banco de inversión independiente de Latinoamérica: n.º 1 en número y volumen de fusiones en Brasil y Latinoamérica en el 2T26; ≈ 12 % de la industria de fondos de Brasil por activos gestionados y administrados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Itaú Unibanco (Itaú BBA, Itaú Asset)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ITUB4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banco privado; rival directo en banca de inversión, crédito a empresas y patrimonios. ROE 21.5 %, P/VC 2.11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distribución de inversiones y patrimonios de rentas altas. ROE 22.6 %, P/VC 1.61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Bradesco (BBI)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BBDC4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y gestión de activos. ROE 14.2 %, P/VC 0.86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Santander Brasil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SANB11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mayorista y de empresas. ROE 11.2 %, P/VC 0.77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banca digital y crédito al consumo. ROE 31.6 %, P/VC 4.59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Goldman Sachs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Banca de inversión global en las grandes operaciones latinoamericanas. ROE 17.8 %, P/VC 2.4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que junta emisores e inversores: liderazgo en número de operaciones de M&amp;A y ECM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banca privada y gestión: captación neta positiva en todos los trimestres [B4,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equipo de análisis (n.º 1 de Extel en Latinoamérica), licencias bancarias en varios países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sobre ingresos del 35,4 % en 2025, por debajo de los grandes bancos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billones BRL de activos de clientes y 925 miles de M de balance [B4].</w:t>
            </w:r>
          </w:p>
        </w:tc>
      </w:tr>
    </w:tbl>
    <w:p>
      <w:pPr>
        <w:spacing w:after="160" w:before="0"/>
      </w:pPr>
    </w:p>
    <w:p>
      <w:pPr>
        <w:pStyle w:val="Heading2"/>
      </w:pPr>
      <w:r>
        <w:t xml:space="preserve">Amenazas</w:t>
      </w:r>
    </w:p>
    <w:p>
      <w:pPr>
        <w:spacing w:after="100"/>
      </w:pPr>
      <w:r>
        <w:t xml:space="preserve">Lo que más podría erosionar el foso: (1) que el talento se vaya en una crisis de los socios (como en 2015) [12]; (2) que las plataformas digitales abaraten la distribución de inversiones; (3) que un ciclo largo de tipos altos y menos actividad en Brasil reduzca la banca de inversión y la tesorería. Probabilidad media para (3) tras el 26-oct, baja para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24,2 %</w:t>
      </w:r>
      <w:r>
        <w:t xml:space="preserve">, EBITDA </w:t>
      </w:r>
      <w:r>
        <w:rPr>
          <w:b/>
          <w:bCs/>
        </w:rPr>
        <w:t xml:space="preserve">26,1 %</w:t>
      </w:r>
      <w:r>
        <w:t xml:space="preserve">, BPA </w:t>
      </w:r>
      <w:r>
        <w:rPr>
          <w:b/>
          <w:bCs/>
        </w:rPr>
        <w:t xml:space="preserve">26,4 %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BRL,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ajustados pasaron de 13.900,6 M BRL en 2021 a 33.039,3 M en 2025 (+24,2 % anual) y el lucro líquido ajustado de 6.493 M a 16.684,8 M (+26,6 % anual) [2, 4]. El crecimiento es sobre todo orgánico y de cuota: crédito a empresas (2.595 → 8.432 M), gestión de patrimonios (1.526 → 5.023 M) y gestión de activos (1.186 → 2.967 M); además, la remuneración del patrimonio a la Selic («Interest &amp; Others», 831 → 5.875 M) sube con el tipo y con el capital [2, 4]. La eficiencia mejora: gastos sobre ingresos del 41,1 % en 2021, 40,1 % en 2022, 38,2 % en 2023, 37,5 % en 2024 y 35,4 % en 2025 [2, 3, 4]. En el 1S26 los ingresos fueron 20.338,9 M (+24,2 %, con Pan al 100 %) y el beneficio ajustado 9.950,5 M (+31,4 %), con una eficiencia del 37,6 % [1]. 2022 lleva la provisión de Americanas (crédito a empresas de solo 105 M en el 4T22) [3].</w:t>
      </w:r>
    </w:p>
    <w:p>
      <w:pPr>
        <w:pStyle w:val="Heading2"/>
      </w:pPr>
      <w:r>
        <w:t xml:space="preserve">Ajustes y partidas no recurrentes</w:t>
      </w:r>
    </w:p>
    <w:p>
      <w:pPr>
        <w:spacing w:after="100"/>
      </w:pPr>
      <w:r>
        <w:t xml:space="preserve">El beneficio ajustado quita la amortización del fondo de comercio de las compras (Pan, Órama, Sertrading, Julius Baer Brasil, JGP, Justa) y su efecto fiscal: 438,7 M antes de impuestos en el 2T26, 1.341 M en 2025 y 968 M en 2024 [1, 2]. Es la cifra por unit que publica el banco (4,32 BRL en 2025; 2,58 en el 1S26) y la que sigue el mercado [1, 2]. El contable BR GAAP fue de 15.947,1 M en 2025 y el NIIF consolidado atribuido a la dominante (DFP en la CVM) de 16.006 M; en 2024, 11.789 M y 10.734 M, y en 2021, 6.342 M y 7.168 M [2, 4, 7]. La diferencia NIIF − BR GAAP viene de valoración de instrumentos, provisiones de crédito esperada y fondo de comercio, y cambia de signo: no se usa para la valoración. En el 1S26 el NIIF fue de 9.663 M frente a 9.950 M ajustado [1,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(11-ago-2026) la dirección repitió que el modelo «para todo tiempo» compensa la caída de la banca de inversión (421,4 M, −46 % interanual, por menos emisiones de deuda) con las líneas recurrentes: crédito a empresas récord (2.500 M), gestión de activos y patrimonios con 59 miles de M de captación neta y un 26,7 % de ROAE [1]. El VaR medio bajó al 0,22 % del patrimonio desde el 0,32 % del 1T26: menos riesgo de tesorería en un entorno de incertidumbre [1]. En el 4T25 (9-feb-2026) se fijó el mensaje de «mantener el ROAE por encima del 25 %» y se presentó la nueva línea de crédito al consumo con Pan al 100 % [2]. Entre una y otra cambió el tono del crédito: más prudente en pymes (cartera de pymes de 32,9 a 26,6 miles de M en dos trimestres) y más crecimiento en consignado privado [1]. El mercado reaccionó con caídas el día de ambos resultados pese a superar previsiones: le preocupa la parte volátil (banca de inversión, tesorería) y el tipo impositivo bajo (19,5 %) que explica parte de la sorpresa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Compra del resto de Banco Pan (canje de 0,2128 units por acción preferente, cerrada en ene-2026): el patrimonio de dic-2025 la incluye; desde 2026 Pan consolida al 100 % en «Consumer Finance &amp; Banking» y sus ingresos dejan de ser «Participations».; 2021: Ampliación de capital de 5.797 M BRL (oferta de units) y compras de Necton, Fator y otras: el activo salta de 244,9 a 346,1 miles de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activo creció de 346,1 a 925,2 miles de M BRL entre dic-2021 y jun-2026 y el patrimonio ajustado de 37.380 a 79.553 M: el apalancamiento (activo ÷ patrimonio) pasó de 9,3 a 11,6 veces, sobre todo por repos y cartera de negociación (265,0 miles de M) [1, 4]. Es un balance de banco de inversión: mucho valor razonable, financiación mayorista y repos, y una cartera de crédito de 366,6 miles de M (+24 % interanual) [1]. Deuda y caja van a cero en el modelo porque son materia prima, no deuda del accionista.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1.023</w:t>
      </w:r>
      <w:r>
        <w:t xml:space="preserve">, conversión </w:t>
      </w:r>
      <w:r>
        <w:rPr>
          <w:b/>
          <w:bCs/>
        </w:rPr>
        <w:t xml:space="preserve">2 %</w:t>
      </w:r>
      <w:r>
        <w:t xml:space="preserve"> del beneficio neto; adquisiciones 0, dividendos 13.631, recompras 744.</w:t>
      </w:r>
    </w:p>
    <w:p>
      <w:pPr>
        <w:spacing w:after="100"/>
      </w:pPr>
      <w:r>
        <w:t xml:space="preserve">El estado de flujos NIIF de un banco no mide la caja del accionista: el flujo operativo (−26.619 M en 2025, −16.500 M en 2023) recoge la variación de depósitos, repos y cartera [7]. Lo que cuenta es la distribución: JCP pagados de 1.746 M en 2021, 2.025 M en 2022, 2.845 M en 2023, 2.995 M en 2024 y 4.020 M en 2025 (≈ 24 % del beneficio ajustado de 2025, en línea con la política del 25 % [8]), recompras pequeñas (≤ 301 M al año) y una ampliación de 5.797 M en 2021 [7]. La inversión en inmovilizado es mínima (138-277 M al año) [7]. El crecimiento lo financia el beneficio retenido: el patrimonio ajustado sube ≈ 20 % al año.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(Ernst &amp; Young Auditores Independentes)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Los indicadores del motor (Altman Z, Piotroski F, Beneish M) no tienen sentido en un banco y no se usan. Lo que importa: (1) la distancia entre el beneficio ajustado y el contable es pequeña y estable (la amortización del fondo de comercio: 4,5 % del ajustado en 2025) [2]; (2) el NIIF de la CVM está cerca del ajustado en 2025 (16.006 frente a 16.685 M) y por debajo en 2024 (10.734 frente a 12.322 M) [7]; (3) una parte de los ingresos depende de valoraciones a mercado (tesorería, inversiones propias); (4) el tipo efectivo baja al 19,5 % en el 2T26 por la mezcla de ingresos y el JCP, y sostiene parte de la sorpresa del beneficio [1]; (5) la pérdida esperada de crédito se duplicó en 2025 con Pan (6.401 M) [7]. Auditor según los estados de la CVM; la opinión de 2025 es sin salvedades [7].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tesorería y valor razonable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Sales &amp; Trading fue el 21,7 % de los ingresos en 2025 (30,8 % en 2021) y depende de valoraciones; VaR medio 0,22-0,38 % del patrimonio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bajo por JCP y mezcla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19,5 % en el 2T26 y 20,2 % en 2025: el JCP es deducible; una reforma que lo elimine subiría el tipo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NIIF − BR GAAP variable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NIIF 10.734 M frente a 11.789 M BR GAAP; 2025: 16.006 frente a 15.947 M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37.380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39.876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38,7 % · </w:t>
      </w:r>
      <w:r>
        <w:rPr>
          <w:b/>
          <w:bCs/>
        </w:rPr>
        <w:t xml:space="preserve">WACC</w:t>
      </w:r>
      <w:r>
        <w:t xml:space="preserve">: 22,5 %.</w:t>
      </w:r>
    </w:p>
    <w:p>
      <w:pPr>
        <w:spacing w:after="100"/>
      </w:pPr>
      <w:r>
        <w:t xml:space="preserve">Para un banco, la medida de la calidad es el ROE ajustado frente al coste del capital propio (Ke), que hace el papel del ROIC − WACC (con deuda, caja y minoritarios a cero, el ROIC del motor es el ROE sobre el patrimonio ajustado medio). El ROE subió del 17,4 % de 2021 al 26,2 % de 2025 (ROAE publicado 26,9 %; 26,6 % en el 1S26) [1, 2], con menos peso del trading (del 30,8 % al 18,4 % de los ingresos) y más de banca privada, gestión y crédito. Frente a un Ke del 22,48 % (tasa libre del 15,44 % del bono a 10 años del 26-oct [20] + 1,28 × 5,5), el diferencial es de solo 3,7 puntos (4,2 con el 2T26): por debajo de 4,5, así que la regla de calidad no deja comprar en ningún nivel. Con la tasa libre del 23-oct (12,98 %, Ke 20,02 %) el diferencial sería de 6,2-6,7 puntos. Es decir: el banco crea valor con holgura en BRL, pero el tipo de hoy se come casi todo el margen. El ROE depende en parte de la propia Selic: «Interest &amp; Others» (el rendimiento del patrimonio a la Selic) es el 17,3 % de los ingresos del 1S26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LCR del 160,3 % a jun-2026 (176,8 % a dic-2025); caja y equivalentes de 103,3 miles de M BRL; financiación no garantizada de 405,3 miles de M (+32 % interanual): depósitos a plazo 186,9, emisiones 129,9, subordinada 23,8, perpetua 6,5 miles de M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emisor recogido en esta nota; en ene-2026 colocó 750 M USD de deuda sénior al 5,5 %, el menor diferencial sobre el soberano de su historia [2].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Capital: ratio de Basilea del 16,0 % a jun-2026, con capital de nivel 1 del 12,6 % y CET1 del 11,6 % (11,3 % en dic-2025) [1]. Provisiones para contingencias de 7.907 M BRL y garantías prestadas con provisión de 856 M a dic-2025 (NIIF) [7]. Exposición de crédito amplia de 406,8 miles de M: fase 1 379,3, fase 2 12,3 y fase 3 15,2 miles de M (3,7 %; incluye Pan) [1]. Pérdida esperada de crédito en NIIF: 4.651 M en 2022 (Americanas), 2.280 en 2023, 3.236 en 2024, 6.401 en 2025 (con Pan) y 3.832 en el 1S26 [7].</w:t>
      </w:r>
    </w:p>
    <w:p>
      <w:pPr>
        <w:pStyle w:val="Heading1"/>
      </w:pPr>
      <w:r>
        <w:t xml:space="preserve">12. Asignación de capital</w:t>
      </w:r>
    </w:p>
    <w:p>
      <w:pPr>
        <w:pStyle w:val="Confianza"/>
        <w:spacing w:after="100"/>
      </w:pPr>
      <w:r>
        <w:t xml:space="preserve">Confianza: Media</w:t>
      </w:r>
    </w:p>
    <w:p>
      <w:pPr>
        <w:spacing w:after="100"/>
      </w:pPr>
      <w:r>
        <w:t xml:space="preserve">Política de dividendos: «expectativa del 25 % del beneficio neto consolidado», pagado sobre todo como JCP, deducible en el impuesto [8]. JCP pagados de 4.020 M BRL en 2025 (1,04 BRL por unit) [7]. Recompras pequeñas y oportunistas (programa de hasta 1.000 M aprobado en ene-2022) [4, 7]. La prioridad declarada es retener para crecer en crédito, banca de consumo y fuera de Brasil, con Basilea en torno al 15-16 %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Resto de Banco Pan (canje de acciones; Pan deja la bolsa)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Units nuevas (54,6 M de units: de 3.807,9 a 3.862,6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 al 100 % desde ene-2026: ingresos de consumo de 1.545,7 M en el 2T26 (+74 % interanual)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Julius Baer Brasil, JGP Wealth Management, Justa y HSBC Uruguay (cerrada el 10-jul-2026)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gestión de patrimonios y en la expansión regional; fondo de comercio que se amortiza (438,7 M en el 2T26)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 Safra Bank (Nueva York)</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Aprobada por los reguladores de EE. UU. en dic-2025: banco completo en EE. UU.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MeuTudo (48 %, originación digital de crédito al consumo)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2T26; aporta ingresos de consumo proporcionales [1].</w:t>
            </w:r>
          </w:p>
        </w:tc>
      </w:tr>
    </w:tbl>
    <w:p>
      <w:pPr>
        <w:spacing w:after="160" w:before="0"/>
      </w:pPr>
    </w:p>
    <w:p>
      <w:pPr>
        <w:spacing w:after="100"/>
      </w:pPr>
      <w:r>
        <w:t xml:space="preserve">Buena asignadora de capital: el patrimonio ajustado por unit subió de 9,7 BRL en 2021 a 20,6 BRL en jun-2026 (+18 % anual) con un ROAE ajustado del 20,3 % al 26,9 % y un reparto de solo ≈ 25 % [1, 2, 4]. Las compras son de distribución y de captación (Pan, patrimonios, EE. UU.) y se pagan en parte con units (Pan: +1,4 % de dilución) [2]. El riesgo es que el capital retenido rinda menos cuando baje la Selic: «Interest &amp; Others» (remuneración del patrimonio tangible al tipo oficial) fue el 17,3 % de los ingresos del 1S26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Balls Sallouti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desde Pactual; consejero delegado desde 2016, tras la crisis de 2015. Con él el ROAE ajustado pasó del 16,9 % (2020) al 26,9 % (2025) y el patrimonio por unit de 7,4 a 18,1 BRL [2,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Santos Esteves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socio sénior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Pactual en 1989; consejero delegado de UBS Pactual en 2006, fundador de BTG en 2008 y artífice de la recompra de UBS Pactual en 2009. Detenido en nov-2015 (Lava Jato), absuelto en 2018; presidente del consejo desde abril de 2022 [15,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Renato Hermann Cohn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(Diretoria estatutária)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y miembro de la dirección estatutaria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Huw Gwili Jenkins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(Londres)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de UBS Investment Bank (2005-2007); socio de BTG desde 2009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un ROAE ajustado por encima del 20 % (mensaje de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Sostener el ROAE por encima del 25 % (feb-2026)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26,6 %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los directores son socios con carrera en el banco, y el consejero delegado lleva diez años. La credibilidad descansa en la ejecución (seis años seguidos de récord de beneficio) más que en una guía numérica, que el banco no publica salvo el ROAE [2, 3]. Sucesión: el modelo de socios produce relevo interno; el riesgo de persona clave es Esteves, socio de control de hecho.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Santos Esteves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Huw Gwili Jenkins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Balls Sallouti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Guillermo Ortiz Martínez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Eduardo Henrique de Mello Motta Loyo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Clifford Maletz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Maíra Habimorad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Nelson Azevedo Jobim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João Marcello Dantas Leite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Riesgos y capital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 Holding Financeira Ltda. (socios)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(partnership)</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 Holding S.A. (socios)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(partnership)</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Vehículos de inversión vinculados al partnership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Partes vinculadas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de toda la plantilla es un porcentaje de los ingresos operativos netos de gastos (sin «Interest &amp; Others»): premia el beneficio del año, no el uso del capital, pero el ROE lo mide indirectamente porque los socios cobran sobre todo como accionistas [16]. El ratio de compensación (bonus + sueldos ÷ ingresos) fue del 19,5 % en el 2T26. No hemos leído el formulario de referencia de la CVM (remuneración individual y votos de la junta): queda como hueco.</w:t>
      </w:r>
    </w:p>
    <w:p>
      <w:pPr>
        <w:pStyle w:val="Heading2"/>
      </w:pPr>
      <w:r>
        <w:t xml:space="preserve">Operaciones vinculadas, estructura de control y defensas</w:t>
      </w:r>
    </w:p>
    <w:p>
      <w:pPr>
        <w:spacing w:after="100"/>
      </w:pPr>
      <w:r>
        <w:t xml:space="preserve">Los socios (partnership) tienen el 68,6 % del capital económico (64,9 % directo o por las dos holdings y 3,7 % por vehículos vinculados) y el 79,6 % de las acciones ordinarias, las únicas con voto: la unit (1 ON + 2 PNA) da al minoritario un tercio de voto por unit y las PNA no votan [9]. El grupo de socios puede obligar a cualquier socio a vender su participación, lo que impide que un socio venda en bloque al mercado salvo en una venta del banco o una oferta pública [16]. André Esteves es el socio sénior y preside el consejo: controla de hecho la junta y el nombramiento del consejero delegado [12, 15]. El caso de 2015 mostró el riesgo: su detención provocó salida de depósitos y ventas de activos; fue absuelto en 2018 [17].</w:t>
      </w:r>
    </w:p>
    <w:p>
      <w:pPr>
        <w:pStyle w:val="Heading2"/>
      </w:pPr>
      <w:r>
        <w:t xml:space="preserve">Señales de alerta</w:t>
      </w:r>
    </w:p>
    <w:p>
      <w:pPr>
        <w:pStyle w:val="ListParagraph"/>
        <w:numPr>
          <w:ilvl w:val="0"/>
          <w:numId w:val="2"/>
        </w:numPr>
        <w:spacing w:after="60"/>
      </w:pPr>
      <w:r>
        <w:t xml:space="preserve">Control concentrado en los socios con voto (79,6 % de las ON) y presidente que es el socio de control [9].</w:t>
      </w:r>
    </w:p>
    <w:p>
      <w:pPr>
        <w:pStyle w:val="ListParagraph"/>
        <w:numPr>
          <w:ilvl w:val="0"/>
          <w:numId w:val="2"/>
        </w:numPr>
        <w:spacing w:after="60"/>
      </w:pPr>
      <w:r>
        <w:t xml:space="preserve">Riesgo de persona clave y de reputación: la detención de André Esteves en 2015 provocó una crisis de liquidez; absuelto en 2018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BTG no publica guía de beneficio; el único objetivo es «sostener un ROAE por encima del 25 %» (informe del 4T25, 9-feb-2026), que cumplió en el 1S26 (26,6 %) [2]. Después del 26-oct no ha cambiado ningún mensaje: los resultados del 3T26 se publican el 10-nov-2026 antes de la apertura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7 analistas [19]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7 analistas [19]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63,00 – 95,00</w:t>
            </w:r>
          </w:p>
        </w:tc>
      </w:tr>
    </w:tbl>
    <w:p>
      <w:pPr>
        <w:spacing w:after="160" w:before="0"/>
      </w:pPr>
    </w:p>
    <w:p>
      <w:pPr>
        <w:pStyle w:val="Heading2"/>
      </w:pPr>
      <w:r>
        <w:t xml:space="preserve">Revisiones de estimaciones</w:t>
      </w:r>
    </w:p>
    <w:p>
      <w:pPr>
        <w:spacing w:after="100"/>
      </w:pPr>
      <w:r>
        <w:t xml:space="preserve">El BPA de 2026e pasó de 5,22 a 5,32 BRL por unit en 90 días y el de 2027e de 6,01 a 6,13 (subidas tras el 2T26) [19]. Los objetivos subieron durante 2026: XP lo puso en 63 BRL a fin de 2026 en nov-2025, JP Morgan pasó a Comprar en junio y Citi subió el suyo en septiembre [27, 28]. Ninguno recoge todavía la caída del 26-oct: el objetivo medio de 75,31 BRL es de antes de las elecciones.</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BTG subió un 67 % en el año hasta el 23-oct (frente al 20 % del Ibovespa) por beneficios récord y por la apuesta de una victoria de Flávio Bolsonaro: +27 % tras la primera vuelta (5-oct) [14, 27]. El 26-oct, primer día tras la victoria de Lula, cayó un 24,83 % a 60,00 BRL (mínimo de 48,93, −38,7 %), después de un circuit breaker en el Ibovespa (−13,5 %) [14, 18, 26]. Es la acción de banco más sensible al ciclo político y de mercados de capitales: beta ajustada de 1,28 frente al Ibovespa (1,42 sin ajustar, 1,60 semanal a 2 años) [18].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 +8,0 % / -0,8 % / +25,9 %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-26,6 % / +25,6 %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los resultados del 3T26 (10-nov-2026) y el Copom de primeros de noviembre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 (−24,8 % en el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Reelección de Lula el 25-oct (51,8 % de los votos) contra lo que daban las encuestas y lo que había descontado la bolsa tras la primera vuelta: Ibovespa −13,5 % con circuit breaker, dólar +8-9 %, bono a 10 años +2,46 puntos (15,44 %), DI ene-2031 al 15,19 %, riesgo país +26 %. BTG cae un 24,83 % (mínimo de 48,93 BRL, −38,7 %) y cierra un 9,1 % por debajo del 2-oct; BB −29 %, Bradesco −22 %, Itaú −14 %, B3 −36 % [14, 20,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los resultados del 3T26 (10-nov) y la decisión del Copom de primeros de noviembre, que dirán si la Selic baja, se para o sube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a 23-oct-2026 (+20,9 %; +37,5 % en el mes al 5-oct)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Rali de la primera vuelta: la bolsa apostó por la victoria de Flávio Bolsonaro y una política fiscal más dura; BTG fue el banco que más subió (Itaú +7,7 %) por su peso en mercado de capitales [14,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11-ago-2026 (−6,9 % en el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ROAE del 26,7 % y beneficio récord, pero el mercado esperaba más en banca de inversión y castigó el coste del crédito (2.020 M de pérdidas esperadas en el trimestre) [1, 7,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19-may-2026 (−17,5 % en el mes)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general de los bancos brasileños con la subida de los tipos largos y el ruido fiscal de mayo; los resultados del 1T26 habían sido «difíciles de criticar» [18,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5-dic-2025 (−7,9 % en el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Ruido electoral: anuncio de la candidatura de Flávio Bolsonaro y salto de los tipos largos [18,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elección, el mercado pasa de descontar un recorte de 0,25 puntos de la Selic (13,75 %) en el Copom de la semana siguiente a descontar una posible subida; el ministro de Hacienda promete cambiar la ley para buscar el centro de la meta fiscal [14, 24,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Copom de primeros de noviembre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JPMorgan, Morgan Stanley y el propio BTG prevén un periodo de corrección relevante de la bolsa brasileña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 14 días después del corte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los resultados del 10-nov</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sube el precio objetivo; Itaú BBA (18-ago) ve el múltiplo «cerca del suelo histórico» y JPMorgan sube a Comprar (22-jun) [27]. Los 13 analistas de Yahoo: 11 comprar y 2 mantener, objetivo medio de 75,31 BRL, todo antes de la elección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JCP de hasta 0,77 BRL por unit con cargo a 2026 [8,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Incorporación del resto de Banco Pan (0,2128 units por acción preferente, prima de más del 30 %), cerrada en 2026: Pan pasa al 100 % y emite units nuevas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colocaciones ni ventas anunciadas de los socios (64,9 % + 3,7 %; 79,6 % de los votos)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El 26-oct BTG perdió en un día lo que había ganado desde la primera vuelta y un 9 % más: la reelección de Lula subió 2,46 puntos el bono a 10 años y el mercado pasó de esperar recortes de la Selic a temer subidas [14, 20, 26]. Para el banco eso cambia, sobre todo, el coste del capital (Ke del 20,0 % al 22,5 %: el valor de exceso de rentabilidad baja de 32,77 a 26,37 BRL, −20 %); el beneficio cambia menos: más Selic sube la remuneración del patrimonio (17 % de los ingresos), pero frena la banca de inversión, el mercado de capitales y el crédito. Veredicto: retrasa, hasta el Copom y los resultados del 10-nov, por la volatilidad (80 % a 60 sesiones) y porque el BPA de 2027 todavía no recoge el golpe.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el beneficio ajustado del año siguiente, BTG cotizó a 13,9x (cierre de 2020), 9,7x (2021), 8,8x (2022), 11,6x (2023), 6,3x (2024) y 10,0x (2025, con nuestro 2026e) [2, 3, 4, 18]. A 60 BRL cotiza a 10,2x nuestro BPA de 2027e y a 2,91 veces el valor contable de jun-2026: el PER está en su mediana, pero el P/VC es el más alto de los bancos brasileños porque el ROE (26-27 %) también lo es. El EV/EBITDA no tiene sentido en un banco.</w:t>
      </w:r>
    </w:p>
    <w:p>
      <w:pPr>
        <w:pStyle w:val="Heading1"/>
      </w:pPr>
      <w:r>
        <w:t xml:space="preserve">18. Comparables cotizados</w:t>
      </w:r>
    </w:p>
    <w:p>
      <w:pPr>
        <w:pStyle w:val="Confianza"/>
        <w:spacing w:after="100"/>
      </w:pPr>
      <w:r>
        <w:t xml:space="preserve">Confianza: Media</w:t>
      </w:r>
    </w:p>
    <w:p>
      <w:pPr>
        <w:spacing w:after="100"/>
      </w:pPr>
      <w:r>
        <w:t xml:space="preserve">Bancos brasileños cotizados (Itaú, Bradesco, Santander Brasil, Banco do Brasil), las dos plataformas financieras brasileñas más parecidas en inversión y banca digital (XP, Nu) y los dos bancos de inversión globales con negocio de patrimonios (Goldman Sachs, Morgan Stanley). Solo se usa el PER de los próximos 12 meses (2027e de Yahoo) y el ROE; el EV/EBITDA no aplica a bancos. B3 queda fuera (bolsa, no banco). Precios del 26-oct-2026, ya con la caída electoral.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BTG Pactual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Itaú Unibanco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Santander Brasil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do Brasil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XP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1.406.192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Morgan Stanley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1.552.512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4"/>
        <w:gridCol w:w="1056"/>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7,5x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r>
    </w:tbl>
    <w:p>
      <w:pPr>
        <w:spacing w:after="160" w:before="0"/>
      </w:pPr>
    </w:p>
    <w:p>
      <w:pPr>
        <w:spacing w:after="100"/>
      </w:pPr>
      <w:r>
        <w:t xml:space="preserve">La mediana del PER 2027e de los ocho es de 7,5x (Itaú 8,3x, Bradesco 5,6x, Santander 6,1x, Banco do Brasil 4,2x, XP 6,7x, Nu 11,2x, Goldman 12,1x, Morgan Stanley 13,5x) [19]. BTG a 10,2x nuestro 2027e (9,8x el consenso) cotiza con prima sobre los brasileños, justificada por el ROE (26,7 % frente al 21,5 % de Itaú y 11-14 % de Bradesco y Santander) y por el crecimiento del 20-25 % anual del beneficio, y con descuento frente a los bancos de inversión de EE. UU., que tienen menos riesgo país [19].</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beneficio sale del modelo de exceso de rentabilidad: ROE ajustado sobre el valor contable de inicio de cada año (26,2 % en el 2H26, 26,3 % en 2027e, 25,1 % en 2028e y bajando hasta el 24 % en 2035e) y payout del 30 % hasta 2030e, que sube al 79 % en 2035e para que el patrimonio crezca al 5 % a perpetuidad [1, 2, 8]. 2026e (+25,7 %, fijo): 1S26 real (9.950 M) + 2H26 de 10.430 M, con Banco Pan al 100 %. 2027e: BPA de 5,91 BRL, un 3,6 % menos que el consenso anterior a la elección (6,13 [19]) por menos banca de inversión y más coste del crédito. Los «ingresos» son el beneficio ÷ 0,4906 (margen 62,5 %, impuestos 21,5 %).</w:t>
      </w:r>
    </w:p>
    <w:p>
      <w:pPr>
        <w:keepNext/>
        <w:spacing w:after="100"/>
      </w:pPr>
      <w:r>
        <w:rPr>
          <w:b/>
          <w:bCs/>
        </w:rPr>
        <w:t xml:space="preserve">Márgenes.</w:t>
      </w:r>
    </w:p>
    <w:p>
      <w:pPr>
        <w:spacing w:after="100"/>
      </w:pPr>
      <w:r>
        <w:t xml:space="preserve">«Margen EBITDA» = beneficio antes de impuestos ajustado ÷ ingresos ajustados: 60,8 % en 2021, 63,0 % en 2024, 64,6 % en 2025 y 62,3 % en los últimos doce meses [1, 2]. Se fija en el 62,5 %; la eficiencia (gastos ÷ ingresos del 35,4 % en 2025 y 37,1 % en el 2T26) y el coste del crédito quedan dentro.</w:t>
      </w:r>
    </w:p>
    <w:p>
      <w:pPr>
        <w:keepNext/>
        <w:spacing w:after="100"/>
      </w:pPr>
      <w:r>
        <w:rPr>
          <w:b/>
          <w:bCs/>
        </w:rPr>
        <w:t xml:space="preserve">Inversión y circulante.</w:t>
      </w:r>
    </w:p>
    <w:p>
      <w:pPr>
        <w:spacing w:after="100"/>
      </w:pPr>
      <w:r>
        <w:t xml:space="preserve">«Capex» = beneficio retenido para que crezca el patrimonio: (1 − payout) × beneficio = 34,3 % de los ingresos hasta 2030e y 10,2 % en 2035e. Con un capital ordinario (CET1) del 11,6 % y un Basilea del 16,0 % en el 2T26 [1], crecer el balance un 17 % al año exige retener; amortización y circulante a cero.</w:t>
      </w:r>
    </w:p>
    <w:p>
      <w:pPr>
        <w:keepNext/>
        <w:spacing w:after="100"/>
      </w:pPr>
      <w:r>
        <w:rPr>
          <w:b/>
          <w:bCs/>
        </w:rPr>
        <w:t xml:space="preserve">Coste del capital.</w:t>
      </w:r>
    </w:p>
    <w:p>
      <w:pPr>
        <w:spacing w:after="100"/>
      </w:pPr>
      <w:r>
        <w:t xml:space="preserve">Coste del capital propio en BRL: tasa libre del 15,44 % (bono de Brasil a 10 años, 26-oct-2026 [20]) + beta de 1,28 (ajustada, mensual de 5 años frente al Ibovespa [18]) × prima del 5,5 % = 22,48 %. Sin prima país: ya va dentro del bono en BRL (los 3 puntos extra del escáner eran una doble cuenta). Peso de la deuda 0 %: WACC = Ke. Con la tasa del 23-oct (12,98 %) el Ke sería del 20,02 %, y con la del encargo antes de la elección (≈ 13,5 %), del 20,54 %.</w:t>
      </w:r>
    </w:p>
    <w:p>
      <w:pPr>
        <w:keepNext/>
        <w:spacing w:after="100"/>
      </w:pPr>
      <w:r>
        <w:rPr>
          <w:b/>
          <w:bCs/>
        </w:rPr>
        <w:t xml:space="preserve">Valor terminal.</w:t>
      </w:r>
    </w:p>
    <w:p>
      <w:pPr>
        <w:spacing w:after="100"/>
      </w:pPr>
      <w:r>
        <w:t xml:space="preserve">Crecimiento a perpetuidad del 5,0 % en BRL nominales: inflación esperada a largo plazo ≈ 4 % (Focus: IPCA de 3,5 % en 2029-2030 [22]) + 1 punto real. A partir de 2035e el ROE se queda en el 24 %, 1,5 puntos sobre el Ke: el exceso a perpetuidad es pequeño.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BRL,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5,5 %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6,0 %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192.497 M (49 %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(ROIC 26,2 %)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 frente al 14,2 %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(histórico: 38,7 %)</w:t>
            </w:r>
          </w:p>
        </w:tc>
      </w:tr>
    </w:tbl>
    <w:p>
      <w:pPr>
        <w:spacing w:after="160" w:before="0"/>
      </w:pPr>
    </w:p>
    <w:p>
      <w:pPr>
        <w:spacing w:after="100"/>
      </w:pPr>
      <w:r>
        <w:t xml:space="preserve">La proyección reinvierte el 49 % del NOPAT. Con el ROIC del último ejercicio (26,2 %), eso financia un crecimiento del 12,9 % anual, frente al 14,2 % de ingresos proyectado. Supone que el capital nuevo rinde un 22,8 %, frente a un ROIC incremental histórico del 38,7 %.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valor contable medio por unit +22 % (Banco Pan al 100 % y beneficio retenido); ROE estable; +3,6 puntos de otros por pasar del margen real de 2025 (64,6 %) al 62,5 % normal del modelo [1,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medio +21 %; ROE medio −7 % (de 28 % a 26 % sobre patrimonio medio: menos banca de inversión tras el 26-oct).</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+18 %; ROE −4 % (25,1 % sobre el inicio).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+17,5 %; ROE estable.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Patrimonio +17,4 %; ROE −1 %.</w:t>
            </w:r>
          </w:p>
        </w:tc>
      </w:tr>
    </w:tbl>
    <w:p>
      <w:pPr>
        <w:spacing w:after="160" w:before="0"/>
      </w:pPr>
    </w:p>
    <w:p>
      <w:pPr>
        <w:spacing w:after="100"/>
      </w:pPr>
      <w:r>
        <w:t xml:space="preserve">Las pruebas del motor dan «Sí»: el capital nuevo rinde un 22,8 % en la proyección, por debajo del ROE de 2025 (26,2 %) y del incremental histórico (38,7 %). Lo dejamos en «En parte» por dos motivos. Primero, un ROE del 24-26 % es el máximo de la historia de BTG (17-23 % en 2021-2024) y sale en parte de la propia Selic (17 % de los ingresos) y de un ciclo bueno del mercado de capitales [1, 4]. Segundo, crecer el patrimonio un 17 % al año hasta 2030 exige capital: el CET1 (11,6 %) deja poco margen sobre el mínimo regulatorio y el payout no puede subir antes [1]. El foso es estrecho (marca, red de banca privada y de mercado de capitales, socios con capital propio). El crecimiento medio proyectado (14,2 %) supera al financiable con el ROE de 2025 (12,9 %) solo por 2026e (+25,7 %, fijo), que suma Banco Pan al 100 % y el semestre ya ganado; sin ese año, 2027e-2035e crecen un 12,9 % anual, justo lo financiable: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26,6 % (base: 12,9 %)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93 % justifica el precio (base: 62,5 %)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 (WACC: 22,5 %)</w:t>
            </w:r>
          </w:p>
        </w:tc>
      </w:tr>
    </w:tbl>
    <w:p>
      <w:pPr>
        <w:spacing w:after="160" w:before="0"/>
      </w:pPr>
    </w:p>
    <w:p>
      <w:pPr>
        <w:spacing w:after="100"/>
      </w:pPr>
      <w:r>
        <w:t xml:space="preserve">El DCF adaptado (un modelo de dividendos) da 25,95 BRL por unit y el de exceso de rentabilidad, 26,37: un 57 % por debajo del precio. El P/VC justificado con un ROE del 25 % es de 1,14 veces, frente a las 2,91 del precio (60,00 ÷ 20,60 de valor contable del 2T26). El DCF inverso dice que el precio descuenta una rentabilidad exigida del 14,6 % anual con nuestros flujos, o un crecimiento de los ingresos del 26,6 % anual, frente al 12,9 % del base; con el P/VC, un Ke del 11,9 %: menos que el propio bono a 10 años (15,44 %). Con la prima implícita del mercado (4,2 %, Ke del 20,8 %) el valor sube a 29,60. Las cifras del DCF tienen sentido (coinciden con el modelo de exceso de rentabilidad), pero dependen casi por completo del Ke.</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ROE baja 4 puntos (22 % en 2027e): el 26-oct abre un ciclo de tipos altos, menos operaciones de banca de inversión y renta variable, más morosidad en Pan y en las pymes, y menos rendimiento del trading.</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ROE ajustado del 26 % en 2026e-2027e que baja hasta el 24 % en 2035e; payout del 30 % y patrimonio que crece un 17 % al año hasta 2030; Ke del 22,48 %.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ROE sube 2 puntos (28 %): la volatilidad da más trading, la Selic alta rinde más sobre el patrimonio y la banca privada sigue captando.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BRL) · precio actual 6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25,23 BRL (-57,9 %).</w:t>
      </w:r>
    </w:p>
    <w:p>
      <w:pPr>
        <w:spacing w:after="100"/>
      </w:pPr>
      <w:r>
        <w:t xml:space="preserve">Los tres escenarios quedan muy por debajo del precio: alcista 30,06 BRL (−50 %), base 25,95 (−57 %) y bajista 18,94 (−68 %), muy cerca de los del modelo de exceso de rentabilidad (30,86, 26,37 y 18,77). El rango lo mueve mucho más el Ke que el ROE: con la tasa libre del 23-oct, el base sería de 32,77 BRL y, con un ROE 2 puntos mayor, de 38,51; ni así se acerca a los 60 del precio.</w:t>
      </w:r>
    </w:p>
    <w:p>
      <w:pPr>
        <w:pStyle w:val="Heading1"/>
      </w:pPr>
      <w:r>
        <w:t xml:space="preserve">22. Suma de partes</w:t>
      </w:r>
    </w:p>
    <w:p>
      <w:pPr>
        <w:pStyle w:val="Confianza"/>
        <w:spacing w:after="100"/>
      </w:pPr>
      <w:r>
        <w:t xml:space="preserve">Confianza: Baja</w:t>
      </w:r>
    </w:p>
    <w:p>
      <w:pPr>
        <w:spacing w:after="100"/>
      </w:pPr>
      <w:r>
        <w:t xml:space="preserve">Contraste, peso 0: con el beneficio de 2026e (20.380 M) repartido por ingresos —supone márgenes iguales en todos los negocios, lo que no es cierto— y los PER de los cotizados brasileños después del 26-oct, la suma de partes da ≈ 136.000 M BRL, unos 35 BRL por unit (−41 %). El banco no publica beneficio por línea de negocio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de patrimonios y de activos (Wealth + Asset Management, 22,4 % de los ingresos del 1S26)</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repartido por el peso en los ingresos del 1S26 [1]. PER de 9 veces: entre XP (6,7 veces el BPA de 2026e) y las gestoras globales (Goldman 12,1, Morgan Stanley 13,5)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de inversión y Sales &amp; Trading (23,6 %)</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volátil y ligado al mercado de capitales brasileño: PER de 6 veces, el de los bancos brasileños después del 26-oct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Crédito corporativo, consumo (Banco Pan) y rendimiento del patrimonio (54,2 %)</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66.276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de los bancos de crédito: Bradesco 5,6, Santander 6,1, Itaú 8,3, Banco do Brasil 4,2 veces [19].</w:t>
            </w:r>
          </w:p>
        </w:tc>
      </w:tr>
    </w:tbl>
    <w:p>
      <w:pPr>
        <w:spacing w:after="160" w:before="0"/>
      </w:pPr>
    </w:p>
    <w:p>
      <w:pPr>
        <w:spacing w:after="100"/>
      </w:pPr>
      <w:r>
        <w:rPr>
          <w:b/>
          <w:bCs/>
        </w:rPr>
        <w:t xml:space="preserve">Valor por acción por suma de partes:</w:t>
      </w:r>
      <w:r>
        <w:t xml:space="preserve"> 35,27 (-41,2 %); con ±1x en los múltiplos, 29,98 – 40,56.</w:t>
      </w: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BRL) · precio actual 6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25,59 BRL (-57,3 % sobre 60,00).</w:t>
      </w:r>
    </w:p>
    <w:p>
      <w:pPr>
        <w:spacing w:after="100"/>
      </w:pPr>
      <w:r>
        <w:t xml:space="preserve">Pesos: DCF adaptado (modelo de dividendos) 50 % y escenarios 50 %, que reproducen el de exceso de rentabilidad (26,37 BRL, el valor que manda; ver valoracion-banco.md). Comparables, suma de partes (≈ 35 BRL) y P/VC justificado (1,14 veces, 23,5 BRL) quedan como contraste. Con el Ke de hoy todos dan entre 19 y 39 BRL. El precio (60,00) solo se explica con un Ke del 12-15 %, por debajo de la tasa libre brasileña: o el mercado cree que los tipos largos volverán al 10-11 % y que el ROE del 25 % durará décadas, o el CAPM en BRL exagera el riesgo de BTG.</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(10.2x) a mitad de camino hacia abajo, hacia la mediana de 5 años (9.7x)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r>
    </w:tbl>
    <w:p>
      <w:pPr>
        <w:spacing w:after="160" w:before="0"/>
      </w:pPr>
    </w:p>
    <w:p>
      <w:pPr>
        <w:spacing w:after="100"/>
      </w:pPr>
      <w:r>
        <w:rPr>
          <w:b/>
          <w:bCs/>
        </w:rPr>
        <w:t xml:space="preserve">Objetivo a 12 meses (ponderado):</w:t>
      </w:r>
      <w:r>
        <w:t xml:space="preserve"> 61,80 BRL · rentabilidad +5,2 % (base +12,4 %) · señal Mantener.</w:t>
      </w:r>
    </w:p>
    <w:p>
      <w:pPr>
        <w:spacing w:after="100"/>
      </w:pPr>
      <w:r>
        <w:t xml:space="preserve">Para comparar, con la regla v2 (historia al cierre, mismo precio): 8,4x / 10,2x / 13,1x, 18,0 %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(5,28 BRL) queda un 0,8 % por debajo del consenso (5,32) y el de 2027e (5,91) un 3,6 % por debajo (6,13) [19]: rebajamos 2027e por el golpe del 26-oct en banca de inversión y crédito, que el consenso, anterior a la elección, aún no recoge. El objetivo medio de los analistas (75,31 BRL) es también anterior al 26-oct y queda un 14 % por encima de nuestro base (66,13).</w:t>
      </w:r>
    </w:p>
    <w:p>
      <w:pPr>
        <w:keepNext/>
        <w:spacing w:after="100"/>
      </w:pPr>
      <w:r>
        <w:rPr>
          <w:b/>
          <w:bCs/>
        </w:rPr>
        <w:t xml:space="preserve">Del valor intrínseco al objetivo a 12 meses.</w:t>
      </w:r>
    </w:p>
    <w:p>
      <w:pPr>
        <w:spacing w:after="100"/>
      </w:pPr>
      <w:r>
        <w:t xml:space="preserve">El objetivo a 12 meses ponderado (61,80 BRL) da un +5,2 % con el dividendo y el base, un +12,4 %: no llega al 15 % que pide la regla, y además el valor intrínseco (25,59 BRL) está un 57 % por debajo del precio. Mantener. La regla a 12 meses se fía del PER histórico (9,7 veces adelantado), que es el de un mercado que siempre ha pagado por BTG mucho más que su Ke en BRL: eso es lo que separa el objetivo a 12 meses del valor intrínseco.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(primera semana)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Copom: mantener, recortar o subir la Selic (13,75 %)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tasa libre y el Ke; una subida apoya el rendimiento del patrimonio pero frena el mercado de capitales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trimestre antes de la elección: ROAE, captación de banca privada, coste del crédito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económico y paquete fiscal del nuevo mandato de Lula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convence, baja el bono a 10 años y sube el valor (cada punto de tasa libre ≈ 2,6 BRL por unit)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ROAE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un ROE &gt; 25 % con la Selic alta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Banco Pan al 100 % y de las compras de banca privada (Julius Baer Brasil, JGP, HSBC Uruguay)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beneficio por unit y más crédito al consumo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largos en BRL altos durante años (fiscal del nuevo mandato)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1 punto más de tasa libre (≈ 2,6 BRL por unit)</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Selic alta sube la remuneración del patrimonio (17 % de los ingresos)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Menos mercado de capitales: banca de inversión, salidas a bolsa, renta variable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banca de inversión es solo el 5,2 % de los ingresos del 1S26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en la tesorería (Sales &amp; Trading) en un día como el 26-oct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 medio del 0,22 % del patrimonio en el 2T26 (0,38 % en el 4T25); el trading bajó del 30,8 % al 18,4 % de los ingresos [1,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Morosidad: Banco Pan (consumo), pymes y crédito corporativo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del riesgo ≈ 2 % de la cartera amplia; fase 3 del 3,7 % [1,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personas clave: un caso como el de 2015 (detención de Esteves) y la salida de depósitos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(LCR del 160 %), financiación diversificada y la absolución de 2018; los socios controlan el 79,6 % de los votos [1, 9, 17].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crecer el balance un 17 % al año con un CET1 del 11,6 %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Payout del 25-30 % y emisiones de deuda subordinada y perpetua [1,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(gestores automatizados y plataformas digitales que abaratan la banca privada y la intermediación)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BTG ya compite en digital (BTG Pactual digital, Banco Pan) y su cliente rico valora el asesor.</w:t>
            </w:r>
          </w:p>
        </w:tc>
      </w:tr>
    </w:tbl>
    <w:p>
      <w:pPr>
        <w:spacing w:after="160" w:before="0"/>
      </w:pPr>
    </w:p>
    <w:p>
      <w:pPr>
        <w:pStyle w:val="Heading2"/>
      </w:pPr>
      <w:r>
        <w:t xml:space="preserve">Pre-mortem</w:t>
      </w:r>
    </w:p>
    <w:p>
      <w:pPr>
        <w:spacing w:after="100"/>
      </w:pPr>
      <w:r>
        <w:t xml:space="preserve">Octubre de 2028: la unit vale 35 BRL. El nuevo mandato no convenció con su plan fiscal, el bono a 10 años se quedó por encima del 15 % y la Selic volvió a subir en 2027. La banca de inversión y la renta variable se secaron, Banco Pan sufrió con la morosidad del consumo y el ROE bajó al 21-22 %. El mercado dejó de pagar 2,9 veces el valor contable por un banco que ya no ganaba mucho más que su coste del capital, y el PER cayó a 6 veces, el de 2024.</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±3 % a 3-5 años</w:t>
      </w:r>
    </w:p>
    <w:p>
      <w:pPr>
        <w:spacing w:after="100"/>
      </w:pPr>
      <w:r>
        <w:t xml:space="preserve">La IA abarata el asesoramiento y la intermediación (gestores automatizados, comparadores, carteras modelo), que son parte de la banca privada y de la plataforma digital de BTG; también puede bajar los costes del banco (eficiencia del 35-37 %). En la banca de inversión y en la tesorería, lo que vende BTG es balance, relaciones y riesgo, que la IA no sustituye. Efecto neto pequeño.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gobernanza y la conducta (un caso como el de 2015 provoca una salida de depósitos), el riesgo climático de la cartera de crédito (agro, energía, minería: ≈ 25 % de la exposición amplia) y la financiación sostenible: 36 % del volumen de la cuarta subasta de Eco Invest Brasil del Tesoro en mayo de 2026 [1].</w:t>
      </w:r>
    </w:p>
    <w:p>
      <w:pPr>
        <w:pStyle w:val="Heading2"/>
      </w:pPr>
      <w:r>
        <w:t xml:space="preserve">Controversias</w:t>
      </w:r>
    </w:p>
    <w:p>
      <w:pPr>
        <w:spacing w:after="100"/>
      </w:pPr>
      <w:r>
        <w:t xml:space="preserve">La principal es la de 2015 (detención de Esteves en la Lava Jato, absuelto en 2018) [12]. En los últimos tres años no hemos encontrado sanciones relevantes del Banco Central o de la CVM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Selic y ROE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ROE del 26 % depende de la Selic sobre el patrimonio y qué ROE da con una Selic del 10 %?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calidad del banco del nivel de los tipos.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CET1 objetivo tiene y cuánto puede crecer el balance sin subir el payout ni emitir?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supone un patrimonio que crece un 17 % al año hasta 2030.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terminó la tesorería la semana de la elección y cómo va la captación de banca privada en octubre-noviembre?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prueba del riesgo de mercado y de la franquicia.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Banco Pan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coste del crédito espera en Pan con la Selic alta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consumo, la más sensible a los tipos.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renueva el partnership y qué pasa con las units de los socios que salen?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oferta de units y gobierno del banco.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Reddit r/investimentos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26-27 oct domina el pánico (posiciones con pérdidas, preguntas sobre sacar el dinero de Brasil) frente a quienes ven la caída como ocasión de compra en bancos, sobre todo Banco do Brasil; se comparte que tras un circuit breaker el Ibovespa suele recuperar en unos 34 pregones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 (ideas de BPAC11)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Ideas de análisis técnico: compra en retroceso con objetivo por encima de 100 BRL frente a otras que esperan confirmación de giro bajista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Directo de InfoMoney (comentarios de gestoras)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 Morgan Stanley y el propio BTG esperan una corrección relevante de la bolsa; parte de los inversores defiende comprar con horizonte largo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fiscal y tipos tras la victoria de Lula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bono a 10 años subió 2,46 puntos al 15,44 %: con ese tipo, nuestro coste del capital sube del 20,0 % al 22,5 % y el valor intrínseco baja de 32,8 a 26,4 BRL. La preocupación es fundada.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bancos en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regla a 12 meses BTG queda a +7 % ponderado: la caída no lo convierte en compra; los bancos estatales son otro caso.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BTG como «trade» electoral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Subió un 27 % tras la primera vuelta y lo devolvió en un día: el precio se movió por la política, no por los resultados (beneficio +31 % en el 1S26).</w:t>
            </w:r>
          </w:p>
        </w:tc>
      </w:tr>
    </w:tbl>
    <w:p>
      <w:pPr>
        <w:spacing w:after="160" w:before="0"/>
      </w:pPr>
    </w:p>
    <w:p>
      <w:pPr>
        <w:spacing w:after="100"/>
      </w:pPr>
      <w:r>
        <w:t xml:space="preserve">El sentimiento es de capitulación parcial: pánico en los foros de particulares y gestoras que esperan más corrección, frente a una minoría que compra la caída. No aporta un riesgo que el análisis no tenga (el fiscal y de tipos ya está en el coste del capital) y no contradice al consenso de analistas, que aún no ha bajado objetivos. Fuentes escasas: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32 (14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22,8 % frente a un ROIC de 26,2 % y un incremental histórico de 38,7 %: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5,00 %. Explicación: El 3 % es para monedas fuertes. Aquí todo va en BRL nominales: el g del 5,0 % = inflación esperada a largo plazo del Focus (IPCA del 3,5 % en 2029-2030 y del 3,75-4,3 % en 2027-2028 [22]; tomamos ≈ 4 %) + 1 punto real, dentro de la horquilla del encargo (inflación + 0-1,5). En términos reales es un 1 %, menos que el PIB potencial de Brasil.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6.904 M de flujo libre medio en sus tres primeros años, frente a -11.950 M de media real en los tres últimos: justifica el salto (circulante, inversión, márgenes) o ajusta los supuestos. Explicación: El «flujo libre» histórico de un banco (flujo operativo NIIF − capex) mezcla la variación de depósitos, préstamos y cartera de títulos y no mide lo que se lleva el accionista (−16.500 M en 2023, +7.914 M en 2024) [7]. El flujo del DCF adaptado es otra cosa: beneficio − retención = JCP y dividendos (≈ 30 % del beneficio, 1,04 BRL por unit en 2025 y hasta 0,77 aprobados en ago-2026) [2, 8]. No son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231.753, publicada 202.174: revisa acciones y precio. Explicación: La publicada (202.174 M BRL, Yahoo [19]) no usa el número de units equivalentes: 11.670 M de acciones (3.890 M de units) menos 82,4 M en autocartera dan 11.587,7 M de acciones = 3.862,6 M de units × 60,00 BRL = 231.753 M [9]. Es el mismo número que usa el banco para el BPA y el valor contable por unit, y el que usa toda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2T26 y del 4T25: no desglosan ingresos por país; 2) estados NIIF de la CVM: nota de segmentos por líneas de negocio, no por geografía en los datos abiertos; 3) prensa: solo menciones cualitativas (Chile, Colombia, Perú, EE. UU.,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2T26: composición de la financiación, no calendario; 2) datos abiertos de la CVM: sin notas; 3) no aplica a un banco en el sentido del motor (deuda = materia prima)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ANBIMA: cifra anual de 2025, sin serie descargable sin registro; 2) Capital Aberto: dato de sep-2025; 3) informes de BTG: no publican el tamaño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RI de BTG (sostenibilidad): sin calificaciones en la parte estática; 2) informes trimestrales: no las citan; 3) búsqueda de MSCI y Sustainalytics: sin página pública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RI (documentos CVM): el formulario de referencia no está en la parte estática; 2) datos abiertos de la CVM: no incluyen la remuneración individual (solo la del órgano en el FRE, que no hemos descargado); 3) prensa: sin cifras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RI: actas de junta no accesibles sin JavaScript; 2) CVM: mapas de votación no descargados;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CVM, formularios del art. 11 de la Resolución 44: no descargados (portal con JavaScript); 2) RI de BTG: sin listado; 3) prensa: sin operaciones relevantes de directivos en los últimos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BTG de 2025-2026: compras de Julius Baer Brasil, JGP, Justa, HSBC Uruguay, M.Y. Safra y MeuTudo sin precio ni múltiplo publicado; 2) prensa sobre la compra del resto de Banco Pan: canje de 0,2128 units por acción y prima &gt; 30 % sobre el precio, sin P/VC calculable con fuente [30]; 3) operaciones de bancos y gestoras brasileñas (XP-Itaú 2017-2021): sin múltiplos homogéneos con fuente primaria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Earnings Release Second Quarter 2026 (resultados del 2T26: cuenta ajustada, segmentos, balance, VaR, Basilea, cartera de crédito por fases)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BTG Pactual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https://d169uzu5o4xu1k.cloudfront.net/78a5a309-f13a-41ed-a7d1-814e37b63259/2026/85fd094c-f223-42e0-b774-fbc5de1b78ef.pdf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Earnings Release Fourth Quarter 2025 (ejercicio 2025 y 2024, tabla pro forma con Banco Pan, JCP, financiación)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BTG Pactual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https://api.mziq.com/mzfilemanager/v2/d/0afe1b62-e299-4dec-a938-763ebc4e2c11/e6d18b06-6a36-4841-06a8-571f09d51b4e?origin=2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Fourth Quarter 2023 (ejercicios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https://api.mziq.com/mzfilemanager/v2/d/0afe1b62-e299-4dec-a938-763ebc4e2c11/25c966d3-d604-1a77-f8ee-8f182b43be47?origin=2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Fourth Quarter 2021 (ejercicios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https://api.mziq.com/mzfilemanager/v2/d/0afe1b62-e299-4dec-a938-763ebc4e2c11/f096bfcc-10f7-4d91-ab73-72ee69c1c91e?origin=2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First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https://api.mziq.com/mzfilemanager/v2/d/0afe1b62-e299-4dec-a938-763ebc4e2c11/8e9ab7de-d070-0873-6141-19d7b72de3ec?origin=2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Second Quarter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https://api.mziq.com/mzfilemanager/v2/d/0afe1b62-e299-4dec-a938-763ebc4e2c11/d5d6c716-c6f9-a869-a68a-acf83fcfd6cc?origin=2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abiertos de la CVM: DFP 2021, 2023 y 2025 e ITR 2026 de BCO BTG PACTUAL S.A. (código 022616), estados consolidados en NIIF (resultado,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Comissão de Valores Mobiliários (dados.cvm.gov.br)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https://dados.cvm.gov.br/dados/CIA_ABERTA/DOC/DFP/DADOS/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de dividendos (expectativa de reparto del 25 % del beneficio consolidado)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 (RI)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https://ri.btgpactual.com/governanca-corporativa/politica-de-dividendos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Composição Societária: composición de la unit (1 ON + 2 PNA) y accionistas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 (RI)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https://ri.btgpactual.com/governanca-corporativa/composicao-societaria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Renda fixa, FIPs e FIDCs puxam a captação e indústria de fundos encerra 2025 no azul (patrimonio de 10,7 billones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ANBIMA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https://www.anbima.com.br/pt_br/imprensa/renda-fixa-fips-e-fidcs-puxam-a-captacao-e-industria-de-fundos-encerra-2025-no-azul.htm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Indústria de fundos cresce 10,7 % e atinge R$ 10,4 trilhões em setembro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Aberto (datos de ANBIMA)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https://capitalaberto.com.br/economia-e-financas/2025/10/industria-de-fundos-cresce-107-e-atinge-r-104-tri-em-setembro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BTG Pactual (historia, UBS Pactual, BSI, crisis de 2015, expansión 2020-2026)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https://en.wikipedia.org/wiki/BTG_Pactual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(rentabilidad sobre recursos propios, P/VC y capitalización de los comparables),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Ações de bancos devolvem o rali do 1º turno: BB cai 29 % (cierres oficiales del 26-oct-2026, DI 2031 al 15,185 %)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Investir é Coisa de Começar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https://investirecocaresocomecar.com.br/acoes-de-bancos-queda-reeleicao-lula/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Diretoria e Conselho de Administração (consejo, directores y comités, mandato desde el 30-abr-2026)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 (RI)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https://ri.btgpactual.com/governanca-corporativa/diretoria-e-conselho-de-administracao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Partnership (modelo de socios y derecho de los socios a forzar ventas de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BTG Pactual S.A. (RI)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https://ri.btgpactual.com/sobre-o-banco/partnership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André Esteves (detención en 2015, absolución en 2018, vuelta a la presidencia en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https://en.wikipedia.org/wiki/Andr%C3%A9_Esteves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(BPAC11.SA, ^BVSP, BOVA11.SA) e intradía del 26-oct-2026 (cierre 60,00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https://query1.finance.yahoo.com/v8/finance/chart/BPAC11.SA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BPA por unit, precios objetivo y recomendaciones de BTG y comparables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https://query2.finance.yahoo.com/v10/finance/quoteSummary/BPAC11.SA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Brazil 10-Year Government Bond Yield: 15,44 % el 26-oct-2026 (+2,46 puntos)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https://tradingeconomics.com/brazil/government-bond-yield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Focus, expectativas de mercado anuales (IPCA y Selic),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 (Olinda)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https://olinda.bcb.gov.br/olinda/servico/Expectativas/versao/v1/odata/ExpectativasMercadoAnuais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PTAX: dólar a 5,0377 BRL el 23-oct y 5,5007 BRL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 (Olinda)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https://olinda.bcb.gov.br/olinda/servico/PTAX/versao/v1/odata/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SGS 432, meta de la Selic (13,75 % desde el 17-sep-2026)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do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https://api.bcb.gov.br/dados/serie/bcdata.sgs.432/dados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balanços do 3T26: BTG Pactual publica el 10-nov-2026 antes de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https://www.seudinheiro.com/2026/economia/temporada-de-balancos-do-3t26-bate-a-porta-veja-as-datas-das-divulgacoes-e-das-teleconferencias-davs/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Ibovespa desaba 13 % após eleição, em dia de circuit breaker; dólar dispara 8 % (directo del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https://www.infomoney.com.br/mercados/ibovespa-hoje-bolsa-de-valores-ao-vivo-26102026/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sobre BPAC11 (Google News, RSS): JP Morgan sube a Comprar (22-jun-2026), Itaú BBA «cerca del suelo histórico de múltiplo» (18-ago), Citi sube el objetivo (19-sep), JCP de hasta 0,77 BRL por unit (5-ago), salto del 27 % tras la primera vuelta (5-oct)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 (agregador)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https://news.google.com/rss/search?q=BPAC11&amp;hl=pt-BR&amp;gl=BR&amp;ceid=BR:pt-419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 que fez a XP elevar o BTG Pactual (BPAC11) para compra (objetivo de 63 BRL para fin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https://www.moneytimes.com.br/o-que-fez-a-xp-elevar-btg-pactual-bpac11-para-compra-e-aumentar-quase-r-30-no-preco-alvo-acoes-sobem-forte-na-b3-lils/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BTG Pactual (BPAC11) entrega resultado «difícil de criticar», mas ações caem na B3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Seu Dinheiro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https://www.seudinheiro.com/2026/empresas/btg-pactual-bpac11-entrega-resultado-dificil-de-criticar-mas-acoes-caem-na-b3-o-que-explica-a-queda-das-acoes-miql/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BTG Pactual propõe incorporação de ações do Banco Pan (0,2128 units por acción preferente; prima &gt; 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https://www.moneytimes.com.br/btg-pactual-propoe-incorporacao-de-acoes-do-banco-pan-jals/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r/investimentos, últimos mensajes (26-27 oct-2026): pánico, «compras en la caída» y bancos tras la reelección de Lula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https://www.reddit.com/r/investimentos/new/.rss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Ideas de inversión sobre BMFBOVESPA:BPAC11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https://www.tradingview.com/symbols/BMFBOVESPA-BPAC11/ideas/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83,1 %</w:t>
      </w:r>
      <w:r>
        <w:t xml:space="preserve"> · Secciones con menos del 60 % de campos cubiertos: </w:t>
      </w:r>
      <w:r>
        <w:rPr>
          <w:b/>
          <w:bCs/>
        </w:rPr>
        <w:t xml:space="preserve">gobierno, transacciones</w:t>
      </w:r>
      <w:r>
        <w:t xml:space="preserve"> · Generado el 27 oct 2026.</w:t>
      </w:r>
    </w:p>
    <w:p>
      <w:pPr>
        <w:pStyle w:val="Nota"/>
        <w:spacing w:after="100"/>
      </w:pPr>
      <w:r>
        <w:t xml:space="preserve">Cifras en millones de BRL, ejercicio natural. BASE: el lucro líquido ajustado y el ROAE ajustado de los informes trimestrales del banco (BR GAAP de gestión, sin la amortización del fondo de comercio ni algunos efectos de valor razonable), que son los que usan el consenso y la prensa [1, 2]; las NIIF consolidadas de la CVM se usan como contraste (beneficio atribuible de 16.006 M en 2025 frente a 16.685 M ajustado) [7]. Último trimestre publicado: 2T26 (30-jun-2026); el 3T26 se publica el 10-nov-2026 antes de la apertura [25]. ES UN BANCO: deuda, caja y minoritarios del puente van a cero (los depósitos y emisiones son la materia prima), el «EBITDA» es el beneficio antes de impuestos ajustado, el «capex» es el beneficio retenido y el DCF del motor es, por construcción, un modelo de dividendos; el valor que manda es el de exceso de rentabilidad (valoracion-banco.md). Los ratios de empresa industrial (Altman, Piotroski, deuda/EBITDA, circulante, caja libre) no tienen sentido aquí. Precio: cierre de B3 del 26-oct-2026 (60,00 BRL), el día después de la reelección de Lula; la barra diaria de Yahoo de ese día viene vacía y el cierre sale del intradía y del cierre oficial de B3 [14, 18].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Banco BTG Pactual S.A. (BPAC11)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60,00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(47,53 – 84,58)</c:v>
                </c:pt>
                <c:pt idx="1">
                  <c:v>Precio objetivo de los analistas (63,00 – 95,00)</c:v>
                </c:pt>
                <c:pt idx="2">
                  <c:v>Comparables: PER NTM (35,77 – 68,39)</c:v>
                </c:pt>
                <c:pt idx="3">
                  <c:v>DCF (WACC y g ± 0,5) (24,55 – 27,52)</c:v>
                </c:pt>
                <c:pt idx="4">
                  <c:v>Escenarios (bajista – alcista) (18,94 – 30,06)</c:v>
                </c:pt>
                <c:pt idx="5">
                  <c:v>Suma de partes (29,98 – 40,56)</c:v>
                </c:pt>
                <c:pt idx="6">
                  <c:v>DCF con la prima implícita del mercado (4,2 %)</c:v>
                </c:pt>
                <c:pt idx="7">
                  <c:v>Precio actual (60,00)</c:v>
                </c:pt>
              </c:strCache>
            </c:strRef>
          </c:cat>
          <c:val>
            <c:numRef>
              <c:f>Hoja1!$B$2:$B$9</c:f>
              <c:numCache>
                <c:formatCode>#,##0.0</c:formatCode>
                <c:ptCount val="8"/>
                <c:pt idx="0">
                  <c:v>47.53</c:v>
                </c:pt>
                <c:pt idx="1">
                  <c:v>63</c:v>
                </c:pt>
                <c:pt idx="2">
                  <c:v>35.77</c:v>
                </c:pt>
                <c:pt idx="3">
                  <c:v>24.55</c:v>
                </c:pt>
                <c:pt idx="4">
                  <c:v>18.94</c:v>
                </c:pt>
                <c:pt idx="5">
                  <c:v>29.98</c:v>
                </c:pt>
                <c:pt idx="6">
                  <c:v>28.7</c:v>
                </c:pt>
                <c:pt idx="7">
                  <c:v>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(47,53 – 84,58)</c:v>
                </c:pt>
                <c:pt idx="1">
                  <c:v>Precio objetivo de los analistas (63,00 – 95,00)</c:v>
                </c:pt>
                <c:pt idx="2">
                  <c:v>Comparables: PER NTM (35,77 – 68,39)</c:v>
                </c:pt>
                <c:pt idx="3">
                  <c:v>DCF (WACC y g ± 0,5) (24,55 – 27,52)</c:v>
                </c:pt>
                <c:pt idx="4">
                  <c:v>Escenarios (bajista – alcista) (18,94 – 30,06)</c:v>
                </c:pt>
                <c:pt idx="5">
                  <c:v>Suma de partes (29,98 – 40,56)</c:v>
                </c:pt>
                <c:pt idx="6">
                  <c:v>DCF con la prima implícita del mercado (4,2 %)</c:v>
                </c:pt>
                <c:pt idx="7">
                  <c:v>Precio actual (60,00)</c:v>
                </c:pt>
              </c:strCache>
            </c:strRef>
          </c:cat>
          <c:val>
            <c:numRef>
              <c:f>Hoja1!$C$2:$C$9</c:f>
              <c:numCache>
                <c:formatCode>#,##0.0</c:formatCode>
                <c:ptCount val="8"/>
                <c:pt idx="0">
                  <c:v>37.05</c:v>
                </c:pt>
                <c:pt idx="1">
                  <c:v>32</c:v>
                </c:pt>
                <c:pt idx="2">
                  <c:v>32.62</c:v>
                </c:pt>
                <c:pt idx="3">
                  <c:v>2.969999999999999</c:v>
                </c:pt>
                <c:pt idx="4">
                  <c:v>11.119999999999997</c:v>
                </c:pt>
                <c:pt idx="5">
                  <c:v>10.580000000000002</c:v>
                </c:pt>
                <c:pt idx="6">
                  <c:v>2.75</c:v>
                </c:pt>
                <c:pt idx="7">
                  <c:v>0.5999999999999943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(BRL, millones)</a:t>
            </a:r>
          </a:p>
        </c:rich>
      </c:tx>
      <c:overlay val="0"/>
    </c:title>
    <c:autoTitleDeleted val="0"/>
    <c:plotArea>
      <c:layout/>
      <c:barChart>
        <c:barDir val="col"/>
        <c:grouping val="stacked"/>
        <c:varyColors val="0"/>
        <c:ser>
          <c:idx val="0"/>
          <c:order val="0"/>
          <c:tx>
            <c:strRef>
              <c:f>Hoja1!$B$1</c:f>
              <c:strCache>
                <c:ptCount val="1"/>
                <c:pt idx="0">
                  <c:v>Investment Banking</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2310</c:v>
                </c:pt>
                <c:pt idx="1">
                  <c:v>1846</c:v>
                </c:pt>
                <c:pt idx="2">
                  <c:v>1620</c:v>
                </c:pt>
                <c:pt idx="3">
                  <c:v>2102</c:v>
                </c:pt>
                <c:pt idx="4">
                  <c:v>2498</c:v>
                </c:pt>
              </c:numCache>
            </c:numRef>
          </c:val>
        </c:ser>
        <c:ser>
          <c:idx val="1"/>
          <c:order val="1"/>
          <c:tx>
            <c:strRef>
              <c:f>Hoja1!$C$1</c:f>
              <c:strCache>
                <c:ptCount val="1"/>
                <c:pt idx="0">
                  <c:v>Corporate Lending &amp; Business Banking</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2595</c:v>
                </c:pt>
                <c:pt idx="1">
                  <c:v>2736</c:v>
                </c:pt>
                <c:pt idx="2">
                  <c:v>5144</c:v>
                </c:pt>
                <c:pt idx="3">
                  <c:v>6512</c:v>
                </c:pt>
                <c:pt idx="4">
                  <c:v>8432</c:v>
                </c:pt>
              </c:numCache>
            </c:numRef>
          </c:val>
        </c:ser>
        <c:ser>
          <c:idx val="2"/>
          <c:order val="2"/>
          <c:tx>
            <c:strRef>
              <c:f>Hoja1!$D$1</c:f>
              <c:strCache>
                <c:ptCount val="1"/>
                <c:pt idx="0">
                  <c:v>Sales &amp; Trading</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4288</c:v>
                </c:pt>
                <c:pt idx="1">
                  <c:v>5308</c:v>
                </c:pt>
                <c:pt idx="2">
                  <c:v>6235</c:v>
                </c:pt>
                <c:pt idx="3">
                  <c:v>5981</c:v>
                </c:pt>
                <c:pt idx="4">
                  <c:v>7175</c:v>
                </c:pt>
              </c:numCache>
            </c:numRef>
          </c:val>
        </c:ser>
        <c:ser>
          <c:idx val="3"/>
          <c:order val="3"/>
          <c:tx>
            <c:strRef>
              <c:f>Hoja1!$E$1</c:f>
              <c:strCache>
                <c:ptCount val="1"/>
                <c:pt idx="0">
                  <c:v>Asset Management</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1186</c:v>
                </c:pt>
                <c:pt idx="1">
                  <c:v>1554</c:v>
                </c:pt>
                <c:pt idx="2">
                  <c:v>1849</c:v>
                </c:pt>
                <c:pt idx="3">
                  <c:v>2389</c:v>
                </c:pt>
                <c:pt idx="4">
                  <c:v>2967</c:v>
                </c:pt>
              </c:numCache>
            </c:numRef>
          </c:val>
        </c:ser>
        <c:ser>
          <c:idx val="4"/>
          <c:order val="4"/>
          <c:tx>
            <c:strRef>
              <c:f>Hoja1!$F$1</c:f>
              <c:strCache>
                <c:ptCount val="1"/>
                <c:pt idx="0">
                  <c:v>Wealth Management &amp; Personal Banking</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1526</c:v>
                </c:pt>
                <c:pt idx="1">
                  <c:v>2533</c:v>
                </c:pt>
                <c:pt idx="2">
                  <c:v>3074</c:v>
                </c:pt>
                <c:pt idx="3">
                  <c:v>3778</c:v>
                </c:pt>
                <c:pt idx="4">
                  <c:v>5023</c:v>
                </c:pt>
              </c:numCache>
            </c:numRef>
          </c:val>
        </c:ser>
        <c:ser>
          <c:idx val="5"/>
          <c:order val="5"/>
          <c:tx>
            <c:strRef>
              <c:f>Hoja1!$G$1</c:f>
              <c:strCache>
                <c:ptCount val="1"/>
                <c:pt idx="0">
                  <c:v>Participaciones e inversiones propias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1165</c:v>
                </c:pt>
                <c:pt idx="1">
                  <c:v>688</c:v>
                </c:pt>
                <c:pt idx="2">
                  <c:v>325</c:v>
                </c:pt>
                <c:pt idx="3">
                  <c:v>915</c:v>
                </c:pt>
                <c:pt idx="4">
                  <c:v>1070</c:v>
                </c:pt>
              </c:numCache>
            </c:numRef>
          </c:val>
        </c:ser>
        <c:ser>
          <c:idx val="6"/>
          <c:order val="6"/>
          <c:tx>
            <c:strRef>
              <c:f>Hoja1!$H$1</c:f>
              <c:strCache>
                <c:ptCount val="1"/>
                <c:pt idx="0">
                  <c:v>Interest &amp; Others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831</c:v>
                </c:pt>
                <c:pt idx="1">
                  <c:v>2582</c:v>
                </c:pt>
                <c:pt idx="2">
                  <c:v>3311</c:v>
                </c:pt>
                <c:pt idx="3">
                  <c:v>3378</c:v>
                </c:pt>
                <c:pt idx="4">
                  <c:v>5875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Investment Banking</c:v>
                </c:pt>
                <c:pt idx="1">
                  <c:v>Corporate Lending &amp; Business Banking</c:v>
                </c:pt>
                <c:pt idx="2">
                  <c:v>Sales &amp; Trading</c:v>
                </c:pt>
                <c:pt idx="3">
                  <c:v>Asset Management</c:v>
                </c:pt>
                <c:pt idx="4">
                  <c:v>Wealth Management &amp; Personal Banking</c:v>
                </c:pt>
                <c:pt idx="5">
                  <c:v>Participaciones e inversiones propias</c:v>
                </c:pt>
                <c:pt idx="6">
                  <c:v>Interest &amp; Others</c:v>
                </c:pt>
              </c:strCache>
            </c:strRef>
          </c:cat>
          <c:val>
            <c:numRef>
              <c:f>Hoja1!$B$2:$B$8</c:f>
              <c:numCache>
                <c:formatCode>General</c:formatCode>
                <c:ptCount val="7"/>
                <c:pt idx="0">
                  <c:v>7.6</c:v>
                </c:pt>
                <c:pt idx="1">
                  <c:v>25.5</c:v>
                </c:pt>
                <c:pt idx="2">
                  <c:v>21.7</c:v>
                </c:pt>
                <c:pt idx="3">
                  <c:v>9</c:v>
                </c:pt>
                <c:pt idx="4">
                  <c:v>15.2</c:v>
                </c:pt>
                <c:pt idx="5">
                  <c:v>3.2</c:v>
                </c:pt>
                <c:pt idx="6">
                  <c:v>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BTG Pactual</c:v>
                </c:pt>
                <c:pt idx="1">
                  <c:v>Itaú Unibanco (Itaú BBA, Itaú Asset)</c:v>
                </c:pt>
                <c:pt idx="2">
                  <c:v>XP Inc.</c:v>
                </c:pt>
                <c:pt idx="3">
                  <c:v>Bradesco (BBI)</c:v>
                </c:pt>
                <c:pt idx="4">
                  <c:v>Santander Brasil</c:v>
                </c:pt>
                <c:pt idx="5">
                  <c:v>Nu Holdings</c:v>
                </c:pt>
                <c:pt idx="6">
                  <c:v>Goldman Sachs</c:v>
                </c:pt>
              </c:strCache>
            </c:strRef>
          </c:cat>
          <c:val>
            <c:numRef>
              <c:f>Hoja1!$B$2:$B$8</c:f>
              <c:numCache>
                <c:formatCode>0.0"%"</c:formatCode>
                <c:ptCount val="7"/>
                <c:pt idx="0">
                  <c:v>64.6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(BRL,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13900.6</c:v>
                </c:pt>
                <c:pt idx="1">
                  <c:v>17247</c:v>
                </c:pt>
                <c:pt idx="2">
                  <c:v>21558.9</c:v>
                </c:pt>
                <c:pt idx="3">
                  <c:v>25054</c:v>
                </c:pt>
                <c:pt idx="4">
                  <c:v>33039.3</c:v>
                </c:pt>
                <c:pt idx="5">
                  <c:v>41524</c:v>
                </c:pt>
                <c:pt idx="6">
                  <c:v>46556</c:v>
                </c:pt>
                <c:pt idx="7">
                  <c:v>52613</c:v>
                </c:pt>
                <c:pt idx="8">
                  <c:v>61610</c:v>
                </c:pt>
                <c:pt idx="9">
                  <c:v>71813</c:v>
                </c:pt>
                <c:pt idx="10">
                  <c:v>83598</c:v>
                </c:pt>
                <c:pt idx="11">
                  <c:v>95159</c:v>
                </c:pt>
                <c:pt idx="12">
                  <c:v>105893</c:v>
                </c:pt>
                <c:pt idx="13">
                  <c:v>115667</c:v>
                </c:pt>
                <c:pt idx="14">
                  <c:v>123521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8446.4</c:v>
                </c:pt>
                <c:pt idx="1">
                  <c:v>10330</c:v>
                </c:pt>
                <c:pt idx="2">
                  <c:v>13331.1</c:v>
                </c:pt>
                <c:pt idx="3">
                  <c:v>15671</c:v>
                </c:pt>
                <c:pt idx="4">
                  <c:v>21328.7</c:v>
                </c:pt>
                <c:pt idx="5">
                  <c:v>25952</c:v>
                </c:pt>
                <c:pt idx="6">
                  <c:v>29098</c:v>
                </c:pt>
                <c:pt idx="7">
                  <c:v>32883</c:v>
                </c:pt>
                <c:pt idx="8">
                  <c:v>38506</c:v>
                </c:pt>
                <c:pt idx="9">
                  <c:v>44883</c:v>
                </c:pt>
                <c:pt idx="10">
                  <c:v>52248</c:v>
                </c:pt>
                <c:pt idx="11">
                  <c:v>59474</c:v>
                </c:pt>
                <c:pt idx="12">
                  <c:v>66183</c:v>
                </c:pt>
                <c:pt idx="13">
                  <c:v>72292</c:v>
                </c:pt>
                <c:pt idx="14">
                  <c:v>77200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60.8</c:v>
                </c:pt>
                <c:pt idx="1">
                  <c:v>59.9</c:v>
                </c:pt>
                <c:pt idx="2">
                  <c:v>61.8</c:v>
                </c:pt>
                <c:pt idx="3">
                  <c:v>62.5</c:v>
                </c:pt>
                <c:pt idx="4">
                  <c:v>64.6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60.8</c:v>
                </c:pt>
                <c:pt idx="1">
                  <c:v>59.9</c:v>
                </c:pt>
                <c:pt idx="2">
                  <c:v>61.8</c:v>
                </c:pt>
                <c:pt idx="3">
                  <c:v>62.5</c:v>
                </c:pt>
                <c:pt idx="4">
                  <c:v>64.6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46.7</c:v>
                </c:pt>
                <c:pt idx="1">
                  <c:v>48.2</c:v>
                </c:pt>
                <c:pt idx="2">
                  <c:v>48.3</c:v>
                </c:pt>
                <c:pt idx="3">
                  <c:v>49.2</c:v>
                </c:pt>
                <c:pt idx="4">
                  <c:v>50.5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16.1</c:v>
                </c:pt>
                <c:pt idx="3">
                  <c:v>38.5</c:v>
                </c:pt>
                <c:pt idx="4">
                  <c:v>36.8</c:v>
                </c:pt>
                <c:pt idx="5">
                  <c:v>35.1</c:v>
                </c:pt>
                <c:pt idx="6">
                  <c:v>45.8</c:v>
                </c:pt>
                <c:pt idx="7">
                  <c:v>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(BRL,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16045</c:v>
                </c:pt>
                <c:pt idx="1">
                  <c:v>20829</c:v>
                </c:pt>
                <c:pt idx="2">
                  <c:v>-16638</c:v>
                </c:pt>
                <c:pt idx="3">
                  <c:v>7669</c:v>
                </c:pt>
                <c:pt idx="4">
                  <c:v>-26882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6493</c:v>
                </c:pt>
                <c:pt idx="1">
                  <c:v>8306</c:v>
                </c:pt>
                <c:pt idx="2">
                  <c:v>10419.1</c:v>
                </c:pt>
                <c:pt idx="3">
                  <c:v>12322</c:v>
                </c:pt>
                <c:pt idx="4">
                  <c:v>16684.8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17.4</c:v>
                </c:pt>
                <c:pt idx="1">
                  <c:v>20.8</c:v>
                </c:pt>
                <c:pt idx="2">
                  <c:v>22.7</c:v>
                </c:pt>
                <c:pt idx="3">
                  <c:v>23.1</c:v>
                </c:pt>
                <c:pt idx="4">
                  <c:v>26.2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22.5</c:v>
                </c:pt>
                <c:pt idx="1">
                  <c:v>22.5</c:v>
                </c:pt>
                <c:pt idx="2">
                  <c:v>22.5</c:v>
                </c:pt>
                <c:pt idx="3">
                  <c:v>22.5</c:v>
                </c:pt>
                <c:pt idx="4">
                  <c:v>22.5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17.4</c:v>
                </c:pt>
                <c:pt idx="1">
                  <c:v>20.8</c:v>
                </c:pt>
                <c:pt idx="2">
                  <c:v>22.7</c:v>
                </c:pt>
                <c:pt idx="3">
                  <c:v>23.1</c:v>
                </c:pt>
                <c:pt idx="4">
                  <c:v>26.2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c:v>
                </c:pt>
                <c:pt idx="4">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(BRL,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1746</c:v>
                </c:pt>
                <c:pt idx="1">
                  <c:v>2025</c:v>
                </c:pt>
                <c:pt idx="2">
                  <c:v>2845</c:v>
                </c:pt>
                <c:pt idx="3">
                  <c:v>2995</c:v>
                </c:pt>
                <c:pt idx="4">
                  <c:v>4020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231</c:v>
                </c:pt>
                <c:pt idx="2">
                  <c:v>301</c:v>
                </c:pt>
                <c:pt idx="3">
                  <c:v>102</c:v>
                </c:pt>
                <c:pt idx="4">
                  <c:v>110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Independiente</c:v>
                </c:pt>
                <c:pt idx="3">
                  <c:v>Otro externo</c:v>
                </c:pt>
              </c:strCache>
            </c:strRef>
          </c:cat>
          <c:val>
            <c:numRef>
              <c:f>Hoja1!$B$2:$B$5</c:f>
              <c:numCache>
                <c:formatCode>0</c:formatCode>
                <c:ptCount val="4"/>
                <c:pt idx="0">
                  <c:v>2</c:v>
                </c:pt>
                <c:pt idx="1">
                  <c:v>1</c:v>
                </c:pt>
                <c:pt idx="2">
                  <c:v>4</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BTG Pactual Holding Financeira Ltda. (socios)</c:v>
                </c:pt>
                <c:pt idx="1">
                  <c:v>BTG Pactual Holding S.A. (socios)</c:v>
                </c:pt>
                <c:pt idx="2">
                  <c:v>Vehículos de inversión vinculados al partnership</c:v>
                </c:pt>
                <c:pt idx="3">
                  <c:v>Autocartera</c:v>
                </c:pt>
                <c:pt idx="4">
                  <c:v>Capital flotante</c:v>
                </c:pt>
              </c:strCache>
            </c:strRef>
          </c:cat>
          <c:val>
            <c:numRef>
              <c:f>Hoja1!$B$2:$B$6</c:f>
              <c:numCache>
                <c:formatCode>0.0"%"</c:formatCode>
                <c:ptCount val="5"/>
                <c:pt idx="0">
                  <c:v>61.8</c:v>
                </c:pt>
                <c:pt idx="1">
                  <c:v>3.1</c:v>
                </c:pt>
                <c:pt idx="2">
                  <c:v>3.7</c:v>
                </c:pt>
                <c:pt idx="3">
                  <c:v>0.7</c:v>
                </c:pt>
                <c:pt idx="4">
                  <c:v>30.7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c:v>
                </c:pt>
                <c:pt idx="1">
                  <c:v>221</c:v>
                </c:pt>
                <c:pt idx="2">
                  <c:v>24.2</c:v>
                </c:pt>
                <c:pt idx="3">
                  <c:v>-10.7</c:v>
                </c:pt>
                <c:pt idx="4">
                  <c:v>14.1</c:v>
                </c:pt>
                <c:pt idx="5">
                  <c:v>57.2</c:v>
                </c:pt>
                <c:pt idx="6">
                  <c:v>-27.7</c:v>
                </c:pt>
                <c:pt idx="7">
                  <c:v>93.3</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c:v>
                </c:pt>
                <c:pt idx="1">
                  <c:v>31.9</c:v>
                </c:pt>
                <c:pt idx="2">
                  <c:v>2.9</c:v>
                </c:pt>
                <c:pt idx="3">
                  <c:v>-12.1</c:v>
                </c:pt>
                <c:pt idx="4">
                  <c:v>5</c:v>
                </c:pt>
                <c:pt idx="5">
                  <c:v>22</c:v>
                </c:pt>
                <c:pt idx="6">
                  <c:v>-10.4</c:v>
                </c:pt>
                <c:pt idx="7">
                  <c:v>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9.5</c:v>
                </c:pt>
                <c:pt idx="1">
                  <c:v>8.9</c:v>
                </c:pt>
                <c:pt idx="2">
                  <c:v>10.8</c:v>
                </c:pt>
                <c:pt idx="3">
                  <c:v>6.6</c:v>
                </c:pt>
                <c:pt idx="4">
                  <c:v>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9.5</c:v>
                </c:pt>
                <c:pt idx="1">
                  <c:v>9.5</c:v>
                </c:pt>
                <c:pt idx="2">
                  <c:v>9.5</c:v>
                </c:pt>
                <c:pt idx="3">
                  <c:v>9.5</c:v>
                </c:pt>
                <c:pt idx="4">
                  <c:v>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(BRL,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6113</c:v>
                </c:pt>
                <c:pt idx="1">
                  <c:v>6854</c:v>
                </c:pt>
                <c:pt idx="2">
                  <c:v>7746</c:v>
                </c:pt>
                <c:pt idx="3">
                  <c:v>9071</c:v>
                </c:pt>
                <c:pt idx="4">
                  <c:v>10573</c:v>
                </c:pt>
                <c:pt idx="5">
                  <c:v>16404</c:v>
                </c:pt>
                <c:pt idx="6">
                  <c:v>23345</c:v>
                </c:pt>
                <c:pt idx="7">
                  <c:v>31167</c:v>
                </c:pt>
                <c:pt idx="8">
                  <c:v>39723</c:v>
                </c:pt>
                <c:pt idx="9">
                  <c:v>48003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(BRL,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55401</c:v>
                </c:pt>
                <c:pt idx="1">
                  <c:v>44846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(BRL) · precio actual 60,00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18.94</c:v>
                </c:pt>
                <c:pt idx="1">
                  <c:v>25.95</c:v>
                </c:pt>
                <c:pt idx="2">
                  <c:v>30.06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(BRL) · precio actual 60,00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(47,53 – 84,58)</c:v>
                </c:pt>
                <c:pt idx="1">
                  <c:v>Precio objetivo de los analistas (63,00 – 95,00)</c:v>
                </c:pt>
                <c:pt idx="2">
                  <c:v>Comparables: PER NTM (35,77 – 68,39)</c:v>
                </c:pt>
                <c:pt idx="3">
                  <c:v>DCF (WACC y g ± 0,5) (24,55 – 27,52)</c:v>
                </c:pt>
                <c:pt idx="4">
                  <c:v>Escenarios (bajista – alcista) (18,94 – 30,06)</c:v>
                </c:pt>
                <c:pt idx="5">
                  <c:v>Suma de partes (29,98 – 40,56)</c:v>
                </c:pt>
                <c:pt idx="6">
                  <c:v>DCF con la prima implícita del mercado (4,2 %)</c:v>
                </c:pt>
                <c:pt idx="7">
                  <c:v>Precio actual (60,00)</c:v>
                </c:pt>
              </c:strCache>
            </c:strRef>
          </c:cat>
          <c:val>
            <c:numRef>
              <c:f>Hoja1!$B$2:$B$9</c:f>
              <c:numCache>
                <c:formatCode>#,##0.0</c:formatCode>
                <c:ptCount val="8"/>
                <c:pt idx="0">
                  <c:v>47.53</c:v>
                </c:pt>
                <c:pt idx="1">
                  <c:v>63</c:v>
                </c:pt>
                <c:pt idx="2">
                  <c:v>35.77</c:v>
                </c:pt>
                <c:pt idx="3">
                  <c:v>24.55</c:v>
                </c:pt>
                <c:pt idx="4">
                  <c:v>18.94</c:v>
                </c:pt>
                <c:pt idx="5">
                  <c:v>29.98</c:v>
                </c:pt>
                <c:pt idx="6">
                  <c:v>28.7</c:v>
                </c:pt>
                <c:pt idx="7">
                  <c:v>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(47,53 – 84,58)</c:v>
                </c:pt>
                <c:pt idx="1">
                  <c:v>Precio objetivo de los analistas (63,00 – 95,00)</c:v>
                </c:pt>
                <c:pt idx="2">
                  <c:v>Comparables: PER NTM (35,77 – 68,39)</c:v>
                </c:pt>
                <c:pt idx="3">
                  <c:v>DCF (WACC y g ± 0,5) (24,55 – 27,52)</c:v>
                </c:pt>
                <c:pt idx="4">
                  <c:v>Escenarios (bajista – alcista) (18,94 – 30,06)</c:v>
                </c:pt>
                <c:pt idx="5">
                  <c:v>Suma de partes (29,98 – 40,56)</c:v>
                </c:pt>
                <c:pt idx="6">
                  <c:v>DCF con la prima implícita del mercado (4,2 %)</c:v>
                </c:pt>
                <c:pt idx="7">
                  <c:v>Precio actual (60,00)</c:v>
                </c:pt>
              </c:strCache>
            </c:strRef>
          </c:cat>
          <c:val>
            <c:numRef>
              <c:f>Hoja1!$C$2:$C$9</c:f>
              <c:numCache>
                <c:formatCode>#,##0.0</c:formatCode>
                <c:ptCount val="8"/>
                <c:pt idx="0">
                  <c:v>37.05</c:v>
                </c:pt>
                <c:pt idx="1">
                  <c:v>32</c:v>
                </c:pt>
                <c:pt idx="2">
                  <c:v>32.62</c:v>
                </c:pt>
                <c:pt idx="3">
                  <c:v>2.969999999999999</c:v>
                </c:pt>
                <c:pt idx="4">
                  <c:v>11.119999999999997</c:v>
                </c:pt>
                <c:pt idx="5">
                  <c:v>10.580000000000002</c:v>
                </c:pt>
                <c:pt idx="6">
                  <c:v>2.75</c:v>
                </c:pt>
                <c:pt idx="7">
                  <c:v>0.5999999999999943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