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Itaú Unibanco Holding S.A.</w:t>
      </w:r>
    </w:p>
    <w:p>
      <w:pPr>
        <w:spacing w:after="60"/>
        <w:rPr>
          <w:color w:val="52514E"/>
          <w:sz w:val="22"/>
          <w:szCs w:val="22"/>
        </w:rPr>
      </w:pPr>
      <w:r>
        <w:rPr>
          <w:color w:val="52514E"/>
          <w:sz w:val="22"/>
          <w:szCs w:val="22"/>
        </w:rPr>
        <w:t xml:space="preserve">ITUB · NYSE (ADR, 1 ADR = 1 preferente ITUB4); principal: B3 (ITUB4) · ISIN US4655621062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BRL</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41,63 BRL (7,70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40,71 BRL (7,53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+4,7 % (base +4,0 %)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21,34 BRL (3,95 USD) · mercado 21,34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458.846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Itaú Unibanco Holding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ITUB / US4655621062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(ADR, 1 ADR = 1 preferente ITUB4); principal: B3 (ITUB4)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Ibovespa / MSCI Brazil (EWZ)</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Banks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São Paulo · 1945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https://www.itau.com.br/relacoes-com-investidores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41,63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37,08 – 50,85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11.022,0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458.846 M BRL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458.846 M BRL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251 M USD/día en el ADR y ≈ 1.284 M BRL/día en ITUB4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40,71 BRL (7,53 USD)</w:t>
      </w:r>
      <w:r>
        <w:t xml:space="preserve"> frente a 41,63 (7,70 USD) · Rentabilidad a 12 meses </w:t>
      </w:r>
      <w:r>
        <w:rPr>
          <w:b/>
          <w:bCs/>
        </w:rPr>
        <w:t xml:space="preserve">+4,7 % (base +4,0 %)</w:t>
      </w:r>
      <w:r>
        <w:t xml:space="preserve"> · Valor intrínseco 21,34 BRL (3,95 USD) · con la prima implícita del mercado: 21,34 (3,95 USD) (-48,7 %) · Alcista / bajista -37,9 % / -59,7 %</w:t>
      </w:r>
    </w:p>
    <w:p>
      <w:pPr>
        <w:spacing w:after="100"/>
      </w:pPr>
      <w:r>
        <w:rPr>
          <w:b/>
        </w:rPr>
        <w:t xml:space="preserve">La recomendación y por qué.</w:t>
      </w:r>
      <w:r>
        <w:t xml:space="preserve"> Mantener con convicción baja según la regla a 12 meses, pero la acción robusta es «No mantener» (prueba de robustez sólida): no comprar, y quien la tuviera no pasaría el filtro de mantener (valor intrínseco muy por debajo del precio). La regla a 12 meses (v3, BPA recurrente) da un objetivo de 40,71 BRL (7,53 USD), un +4,7 % ponderado y un +4,0 % en el base con el dividendo: lejos del 15 % de compra y del −10 % de venta. El valor intrínseco del modelo de exceso de rentabilidad es de 21,34 BRL (3,95 USD), un 48,7 % por debajo del precio de 7,70 USD (41,63 BRL, cierre del 26-oct-2026), y el objetivo medio de los analistas (49,69 BRL) queda un 19 % por encima de nuestro base. La convicción es baja (el motor sugiere media) porque el método no da una señal fiable para un banco brasileño: el valor intrínseco lo decide la tasa libre en reales. La subiría un marco fiscal creíble que devuelva el bono a 10 años por debajo del 13 %.</w:t>
      </w:r>
    </w:p>
    <w:p>
      <w:pPr>
        <w:spacing w:after="100"/>
      </w:pPr>
      <w:r>
        <w:rPr>
          <w:b/>
        </w:rPr>
        <w:t xml:space="preserve">El negocio.</w:t>
      </w:r>
      <w:r>
        <w:t xml:space="preserve"> Itaú es el banco más rentable de los grandes de Brasil: ROE recurrente del 24,3 % en el 2T26, eficiencia del 37,4 %, morosidad a más de 90 días estable en el 1,9 %, coste del crédito del 2,7 % de la cartera y CET1 del 12,3 % [1]. Pero la regla de calidad del método, aplicada como ROE − Ke, falla: con un Ke en reales del 21,49 % (bono a 10 años 15,44 % + 1,10 × 5,5 %), el exceso es de 1,9 puntos en 2025 y de 3,0 en el 1S26, por debajo del suelo de 4,5. No es comprable en ningún nivel. Sostenibilidad: «En parte»; el crecimiento se financia con holgura (reparte el 72 % del beneficio [3]), pero con este Ke crecer apenas crea valor.</w:t>
      </w:r>
    </w:p>
    <w:p>
      <w:pPr>
        <w:spacing w:after="100"/>
      </w:pPr>
      <w:r>
        <w:rPr>
          <w:b/>
        </w:rPr>
        <w:t xml:space="preserve">Valoración.</w:t>
      </w:r>
      <w:r>
        <w:t xml:space="preserve"> El modelo de exceso de rentabilidad da 21,74 BRL en el base (18,01 bajista, 23,86 alcista) y el P/VC justificado 1,15 veces (21,80 BRL), frente a 2,20 veces en bolsa. El DCF adaptado a flujo para el accionista cuadra (22,55 BRL). El precio pide un Ke del 13,6 %, por debajo de la tasa libre de hoy: el mercado descuenta tipos en reales mucho más bajos o paga a Itaú como un banco de país estable. Con el bono de antes de las elecciones (12,98 %), el valor sube a 25,55 BRL y el exceso del ROE a 4,4-5,5: la dirección («no comprar») aguanta; la magnitud, no.</w:t>
      </w:r>
    </w:p>
    <w:p>
      <w:pPr>
        <w:spacing w:after="100"/>
      </w:pPr>
      <w:r>
        <w:rPr>
          <w:b/>
        </w:rPr>
        <w:t xml:space="preserve">El efecto Lula.</w:t>
      </w:r>
      <w:r>
        <w:t xml:space="preserve"> La reelección del 25-oct hundió el ADR un 20,4 % el 26-oct (ITUB4 −13,2 % en reales, el resto es el real) y subió el bono a 10 años 2,46 puntos [19, 21, 22]. Esa subida del Ke quita un 15 % al valor intrínseco, casi lo mismo que cayó la acción en reales: la caída no abre una oportunidad. El contexto de bolsa «retrasa» hasta conocer el marco fiscal.</w:t>
      </w:r>
    </w:p>
    <w:p>
      <w:pPr>
        <w:spacing w:after="100"/>
      </w:pPr>
      <w:r>
        <w:rPr>
          <w:b/>
        </w:rPr>
        <w:t xml:space="preserve">Riesgos y catalizadores.</w:t>
      </w:r>
      <w:r>
        <w:t xml:space="preserve"> Los de mayor impacto: tipos altos más tiempo (−6 % del valor por punto), un ciclo de crédito tras el giro fiscal (bajista −27 % a 12 meses) y límites al JCP (el tipo efectivo NIIF es del 8,8 %). Catalizadores: resultados del 3T26 el 3-nov, nombramiento del ministro de Hacienda y Copom de diciembre.</w:t>
      </w:r>
    </w:p>
    <w:p>
      <w:pPr>
        <w:spacing w:after="100"/>
      </w:pPr>
      <w:r>
        <w:rPr>
          <w:b/>
        </w:rPr>
        <w:t xml:space="preserve">Qué cambiaría la decisión.</w:t>
      </w:r>
      <w:r>
        <w:t xml:space="preserve"> El filtro de mantener solo se pasaría por debajo de 4,64 USD; la regla daría Vender por encima de 8,96 USD (48,42 BRL, ponderada ≤ −10 %). Comprar exigiría a la vez un precio por debajo de 3,95 USD (21,34 BRL), donde coinciden la regla a 12 meses y el valor intrínseco, y un ROE − Ke de al menos 4,5 puntos: un bono a 10 años por debajo del 13 % con el ROE de hoy, o un ROE recurrente por encima del 26 % con el Ke de hoy.</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40,71 BRL (7,53 USD)</w:t>
      </w:r>
      <w:r>
        <w:t xml:space="preserve"> (rentabilidad +4,7 % (base +4,0 %)) · Valor intrínseco: 21,34 BRL (3,95 USD) (-48,7 % sobre 41,63) · con la prima implícita del mercado: 21,34 (3,95 USD) (-48,7 %)</w:t>
      </w:r>
    </w:p>
    <w:p>
      <w:pPr>
        <w:spacing w:after="100"/>
      </w:pPr>
      <w:r>
        <w:t xml:space="preserve">Itaú Unibanco es el mejor banco grande de Brasil: ROE recurrente del 24 %, eficiencia del 37 %, morosidad estable del 1,9 % y un CET1 del 12,3 % que le deja repartir el 72 % del beneficio [1, 3]. Gana 46.800 M BRL al año y cotiza a 2,2 veces su valor contable y 8,5 veces el beneficio de 2027e.</w:t>
      </w:r>
    </w:p>
    <w:p>
      <w:pPr>
        <w:spacing w:after="100"/>
      </w:pPr>
      <w:r>
        <w:t xml:space="preserve">El precio descuenta un coste del capital propio del 13,6 %: menos que el bono brasileño a 10 años de hoy (15,44 %) e incluso que el de antes de las elecciones (12,98 %). Es decir, descuenta que los tipos en reales bajarán mucho y por mucho tiempo, o que Itaú es tan seguro como un banco de un país sin riesgo fiscal [19, 31].</w:t>
      </w:r>
    </w:p>
    <w:p>
      <w:pPr>
        <w:spacing w:after="100"/>
      </w:pPr>
      <w:r>
        <w:t xml:space="preserve">Con el método del repositorio (Ke en reales con la tasa libre de hoy, sin prima país adicional), Itaú gana solo 1,9-3,0 puntos por encima de su Ke y vale 21,3 BRL, la mitad del precio. Para invertir hay que creer que la tasa libre en reales volverá por debajo del 12-13 % de forma duradera, justo después de un resultado electoral que la ha subido. Es una apuesta macro, no una tesis value.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 BRL (7,53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 × 4,45 = 27,59 · 7,7x × 5,25 = 40,43 · 9,8x × 5,55 = 54,39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49,69 (nuestro base -18,6 %)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 BRL (3,95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5,4064 BRL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 BRL (7,70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 / -59,7 %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frente a 21,5 % y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20,1 %)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 BRL (3,95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(6,5 % anual proyectado; financiable al ROIC actual: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21,34 (3,95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21,34 y 48,42 (3,95 y 8,96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48,42 (8,96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8,96 USD (48,42 BRL): Vender (ponderada a 12 meses ≤ −10 %).</w:t>
      </w:r>
    </w:p>
    <w:p>
      <w:pPr>
        <w:pStyle w:val="ListParagraph"/>
        <w:numPr>
          <w:ilvl w:val="0"/>
          <w:numId w:val="2"/>
        </w:numPr>
        <w:spacing w:after="60"/>
      </w:pPr>
      <w:r>
        <w:t xml:space="preserve">Bono brasileño a 10 años por debajo del 13 % de forma sostenida con un ROE recurrente ≥ 24 %: rehacer el análisis; pasaría la calidad.</w:t>
      </w:r>
    </w:p>
    <w:p>
      <w:pPr>
        <w:pStyle w:val="ListParagraph"/>
        <w:numPr>
          <w:ilvl w:val="0"/>
          <w:numId w:val="2"/>
        </w:numPr>
        <w:spacing w:after="60"/>
      </w:pPr>
      <w:r>
        <w:t xml:space="preserve">Precio por debajo de 3,95 USD (21,34 BRL) y ROE − Ke ≥ 4,5 a la vez: Comprar.</w:t>
      </w:r>
    </w:p>
    <w:p>
      <w:pPr>
        <w:pStyle w:val="ListParagraph"/>
        <w:numPr>
          <w:ilvl w:val="0"/>
          <w:numId w:val="2"/>
        </w:numPr>
        <w:spacing w:after="60"/>
      </w:pPr>
      <w:r>
        <w:t xml:space="preserve">Coste del crédito por encima del 3,2 % de la cartera en el 3T26 o el 4T26, o fin del JCP: revisar el BPA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Itaú sigue ganando un 23-25 % sobre su patrimonio y que el coste del capital en reales bajará: el precio implica un Ke del 13,6 % y los analistas ponen un objetivo medio de 49,69 BRL, con 10 de 13 en comprar (antes de la caída del 26-oct) [18].</w:t>
      </w:r>
    </w:p>
    <w:p>
      <w:pPr>
        <w:keepNext/>
        <w:spacing w:after="100"/>
      </w:pPr>
      <w:r>
        <w:rPr>
          <w:b/>
          <w:bCs/>
        </w:rPr>
        <w:t xml:space="preserve">Lo que creemos nosotros.</w:t>
      </w:r>
    </w:p>
    <w:p>
      <w:pPr>
        <w:spacing w:after="100"/>
      </w:pPr>
      <w:r>
        <w:t xml:space="preserve">Coincidimos en el beneficio (BPA de 2026e de 4,56 frente a 4,60 del consenso); discrepamos en el coste del capital. Con la tasa libre en reales de hoy, un ROE del 24 % apenas supera al Ke, y un banco así vale 1,1-1,4 veces su valor contable, no 2,2.</w:t>
      </w:r>
    </w:p>
    <w:p>
      <w:pPr>
        <w:keepNext/>
        <w:spacing w:after="100"/>
      </w:pPr>
      <w:r>
        <w:rPr>
          <w:b/>
          <w:bCs/>
        </w:rPr>
        <w:t xml:space="preserve">Por qué podemos tener razón.</w:t>
      </w:r>
    </w:p>
    <w:p>
      <w:pPr>
        <w:spacing w:after="100"/>
      </w:pPr>
      <w:r>
        <w:t xml:space="preserve">El bono a 10 años en reales lleva dos años entre el 12 % y el 15,5 %, y la reelección lo ha llevado al máximo de una década [19]. El mercado paga la calidad de Itaú con un Ke de país estable; el método no lo hace. Pero el método puede equivocarse: usa una tasa libre plana durante diez años, cuando el Focus ve la Selic en el 10 % desde 2028 [15].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BRL) · precio actual 41,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pStyle w:val="Heading2"/>
      </w:pPr>
      <w:r>
        <w:t xml:space="preserve">A favor</w:t>
      </w:r>
    </w:p>
    <w:p>
      <w:pPr>
        <w:pStyle w:val="ListParagraph"/>
        <w:numPr>
          <w:ilvl w:val="0"/>
          <w:numId w:val="2"/>
        </w:numPr>
        <w:spacing w:after="60"/>
      </w:pPr>
      <w:r>
        <w:rPr>
          <w:b/>
        </w:rPr>
        <w:t xml:space="preserve">ROE recurrente del 24,3 %</w:t>
      </w:r>
      <w:r>
        <w:t xml:space="preserve"> en el 2T26, el mayor de los grandes bancos brasileños.</w:t>
      </w:r>
    </w:p>
    <w:p>
      <w:pPr>
        <w:pStyle w:val="ListParagraph"/>
        <w:numPr>
          <w:ilvl w:val="0"/>
          <w:numId w:val="2"/>
        </w:numPr>
        <w:spacing w:after="60"/>
      </w:pPr>
      <w:r>
        <w:rPr>
          <w:b/>
        </w:rPr>
        <w:t xml:space="preserve">Eficiencia del 37,4 %</w:t>
      </w:r>
      <w:r>
        <w:t xml:space="preserve"> (35,5 % en Brasil).</w:t>
      </w:r>
    </w:p>
    <w:p>
      <w:pPr>
        <w:pStyle w:val="ListParagraph"/>
        <w:numPr>
          <w:ilvl w:val="0"/>
          <w:numId w:val="2"/>
        </w:numPr>
        <w:spacing w:after="60"/>
      </w:pPr>
      <w:r>
        <w:rPr>
          <w:b/>
        </w:rPr>
        <w:t xml:space="preserve">Riesgo controlado</w:t>
      </w:r>
      <w:r>
        <w:t xml:space="preserve">: morosidad a más de 90 días del 1,9 % y coste del crédito del 2,7 %.</w:t>
      </w:r>
    </w:p>
    <w:p>
      <w:pPr>
        <w:pStyle w:val="ListParagraph"/>
        <w:numPr>
          <w:ilvl w:val="0"/>
          <w:numId w:val="2"/>
        </w:numPr>
        <w:spacing w:after="60"/>
      </w:pPr>
      <w:r>
        <w:rPr>
          <w:b/>
        </w:rPr>
        <w:t xml:space="preserve">Reparte mucho</w:t>
      </w:r>
      <w:r>
        <w:t xml:space="preserve">: payout del 72 % en 2025 y dividendo del 6,9 %.</w:t>
      </w:r>
    </w:p>
    <w:p>
      <w:pPr>
        <w:pStyle w:val="ListParagraph"/>
        <w:numPr>
          <w:ilvl w:val="0"/>
          <w:numId w:val="2"/>
        </w:numPr>
        <w:spacing w:after="60"/>
      </w:pPr>
      <w:r>
        <w:rPr>
          <w:b/>
        </w:rPr>
        <w:t xml:space="preserve">PER de 8,5 veces</w:t>
      </w:r>
      <w:r>
        <w:t xml:space="preserve"> el BPA de 2027e.</w:t>
      </w:r>
    </w:p>
    <w:p>
      <w:pPr>
        <w:pStyle w:val="Heading2"/>
      </w:pPr>
      <w:r>
        <w:t xml:space="preserve">En contra</w:t>
      </w:r>
    </w:p>
    <w:p>
      <w:pPr>
        <w:pStyle w:val="ListParagraph"/>
        <w:numPr>
          <w:ilvl w:val="0"/>
          <w:numId w:val="2"/>
        </w:numPr>
        <w:spacing w:after="60"/>
      </w:pPr>
      <w:r>
        <w:rPr>
          <w:b/>
        </w:rPr>
        <w:t xml:space="preserve">ROE − Ke de solo 1,9-3,0 puntos</w:t>
      </w:r>
      <w:r>
        <w:t xml:space="preserve"> con el Ke en reales del 21,49 %: no pasa el suelo de 4,5.</w:t>
      </w:r>
    </w:p>
    <w:p>
      <w:pPr>
        <w:pStyle w:val="ListParagraph"/>
        <w:numPr>
          <w:ilvl w:val="0"/>
          <w:numId w:val="2"/>
        </w:numPr>
        <w:spacing w:after="60"/>
      </w:pPr>
      <w:r>
        <w:rPr>
          <w:b/>
        </w:rPr>
        <w:t xml:space="preserve">Valor intrínseco de 21,34 BRL</w:t>
      </w:r>
      <w:r>
        <w:t xml:space="preserve"> (3,95 USD), un 48,7 % por debajo del precio.</w:t>
      </w:r>
    </w:p>
    <w:p>
      <w:pPr>
        <w:pStyle w:val="ListParagraph"/>
        <w:numPr>
          <w:ilvl w:val="0"/>
          <w:numId w:val="2"/>
        </w:numPr>
        <w:spacing w:after="60"/>
      </w:pPr>
      <w:r>
        <w:rPr>
          <w:b/>
        </w:rPr>
        <w:t xml:space="preserve">2,2 veces el valor contable</w:t>
      </w:r>
      <w:r>
        <w:t xml:space="preserve">, el doble que el P/VC justificado (1,15).</w:t>
      </w:r>
    </w:p>
    <w:p>
      <w:pPr>
        <w:pStyle w:val="ListParagraph"/>
        <w:numPr>
          <w:ilvl w:val="0"/>
          <w:numId w:val="2"/>
        </w:numPr>
        <w:spacing w:after="60"/>
      </w:pPr>
      <w:r>
        <w:rPr>
          <w:b/>
        </w:rPr>
        <w:t xml:space="preserve">Tipos en reales en máximos de una década</w:t>
      </w:r>
      <w:r>
        <w:t xml:space="preserve"> tras la reelección de Lula (15,44 %).</w:t>
      </w:r>
    </w:p>
    <w:p>
      <w:pPr>
        <w:pStyle w:val="ListParagraph"/>
        <w:numPr>
          <w:ilvl w:val="0"/>
          <w:numId w:val="2"/>
        </w:numPr>
        <w:spacing w:after="60"/>
      </w:pPr>
      <w:r>
        <w:rPr>
          <w:b/>
        </w:rPr>
        <w:t xml:space="preserve">Riesgo de divisa</w:t>
      </w:r>
      <w:r>
        <w:t xml:space="preserve"> para el inversor en USD: el ADR cayó un 20,4 % el 26-oct, frente al −13,2 % en reales.</w:t>
      </w:r>
    </w:p>
    <w:p>
      <w:pPr>
        <w:pStyle w:val="Heading2"/>
      </w:pPr>
      <w:r>
        <w:t xml:space="preserve">Qué tiene que pasar para que la tesis funcione</w:t>
      </w:r>
    </w:p>
    <w:p>
      <w:pPr>
        <w:spacing w:after="100"/>
      </w:pPr>
      <w:r>
        <w:t xml:space="preserve">La tesis del mercado depende de que la tasa libre en reales baje. La señal clave es el bono a 10 años: por debajo del 13 % con el ROE de hoy, Itaú volvería a pasar el suelo de calidad (4,5 puntos); por encima del 16 %, el valor intrínseco baja a ≈ 20 BRL. En el banco, el coste del crédito: por encima del 3 % de la cartera, el ROE baja al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del Tesoro brasileño a 10 años (BRL)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 (26-oct-2026)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Ke y la calidad del método.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el banco gana sobre su coste.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crédito sobre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 a más de 90 días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aviso del ciclo de crédito.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CET1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los dividendos extraordinarios.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 / 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Itaú Unibanco nace en 2008 de la fusión de Banco Itaú (fundado en 1945, de las familias Setubal y Villela) y Unibanco (1924, de la familia Moreira Salles). El control lo ejerce IUPAR, sociedad conjunta de Itaúsa y de Cia. E. Johnston (Moreira Salles), con el 51,71 % de las acciones ordinarias y el 26,35 % del capital [3]. Desde entonces ha comprado CorpBanca en Chile (2016, Itaú CorpBanca), una parte de XP (2017, luego escindida a los accionistas) y el control de Avenue (consolidada en 2026), y ha cerrado parte de su red de oficinas (2.210 a jun-2026, frente a 2.738 un año antes) para pasar a lo digital [1, 3]. Milton Maluhy Filho es consejero delegado desde 2021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Banco Central de Crédito, origen de Banco Itaú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Itaú y Unibanco; IUPAR pasa a controlar el grupo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Banco Itaú Chile con CorpBanca (Itaú CorpBanca)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Milton Maluhy Filho, consejero delegado; escisión de la participación en XP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Bonificaciones de acciones del 10 % (marzo) y del 3 % (diciembre); payout del 72 % con dividendos extraordinarios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Avenue (1T26); lanzamiento del asistente de IA «ia.i»; compra de NeoSpace por 2.925 M (26-oct) [1, 12].</w:t>
            </w:r>
          </w:p>
        </w:tc>
      </w:tr>
    </w:tbl>
    <w:p>
      <w:pPr>
        <w:spacing w:after="160" w:before="0"/>
      </w:pPr>
    </w:p>
    <w:p>
      <w:pPr>
        <w:pStyle w:val="Heading1"/>
      </w:pPr>
      <w:r>
        <w:t xml:space="preserve">2. Modelo de negocio</w:t>
      </w:r>
    </w:p>
    <w:p>
      <w:pPr>
        <w:spacing w:after="100"/>
      </w:pPr>
      <w:r>
        <w:t xml:space="preserve">Mayor banco privado de América Latina por activos (3,23 billones BRL a jun-2026) y por cartera de crédito (1,52 billones con garantías y títulos privados) [1]. Opera banca minorista (particulares por segmentos de renta, micro y pequeñas empresas), mayorista (grandes empresas, banca de inversión, gestión de activos, banca privada) y seguros y previsión, en Brasil (94,6 % del resultado del 2T26) y en Chile, Colombia, Uruguay, Paraguay y Argentina [1]. Tiene 90.429 empleados, 2.210 oficinas y 11.822 cajeros [1].</w:t>
      </w:r>
    </w:p>
    <w:p>
      <w:pPr>
        <w:pStyle w:val="Heading2"/>
      </w:pPr>
      <w:r>
        <w:t xml:space="preserve">Cómo gana dinero</w:t>
      </w:r>
    </w:p>
    <w:p>
      <w:pPr>
        <w:spacing w:after="100"/>
      </w:pPr>
      <w:r>
        <w:t xml:space="preserve">El 70 % de los ingresos operativos del 2T26 es margen financiero (33.488 M de 47.985 M): 32.557 M con clientes (diferencial entre lo que cobra por los créditos y lo que paga por la captación, más la remuneración del capital propio a tipos de mercado) y 931 M de tesorería [1]. Comisiones (11.028 M) y seguros (3.469 M) son el 30 % restante [1]. Del margen se restan el coste del crédito (10.139 M, 2,7 % de la cartera) y los gastos (16.728 M; eficiencia del 37,4 %) [1]. Es sensible a la Selic por dos vías: el capital propio y los depósitos a la vista ganan más con tipos altos, pero el coste del riesgo sube con ellos, con un desfase de varios trimestres [1].</w:t>
      </w:r>
    </w:p>
    <w:p>
      <w:pPr>
        <w:pStyle w:val="Heading2"/>
      </w:pPr>
      <w:r>
        <w:t xml:space="preserve">Segmentos (2T26)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minorista (Varejo)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mayorista (Atacado)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 y corporación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T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2T25</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1T26</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2T26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minorista (Varejo)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mayorista (Atacado)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 y corporación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dispersa: ningún cliente relevante en el total. La cartera de jun-2026 es un 40 % de particulares en Brasil (613.900 M en banca minorista con pymes), grandes empresas y títulos privados en mayorista y un 14 % en América Latina [1]. Poder de precio: el margen con clientes ajustado por riesgo en Brasil (6,7 %) está por encima del de sus rivales privados y el ROE de Brasil (25,7 %) lo confirma; el límite es la regulación (tope de intereses de las tarjetas desde 2024, Desenrola) y la competencia de Nubank en tarjetas y cuentas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crédito con garantías y títulos privados (miles de millones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+5,5-9,5 %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25,7 %; América Latina 12,3 %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 &gt; 90 días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en Brasil 3,7 %; pymes 1,5 %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con clientes (anualizado,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Ajustado por riesgo 6,2 %; Brasil 10,0 %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crédito sobre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10.139 M en el trimestre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eficiencia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35,5 %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CET1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gestión 11,5 %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crédito del sistema financiero de Brasil (saldo total de las operaciones de crédito, recursos libres y dirigidos, personas y empresas), donde se genera más del 90 % del resultado de Itaú [1, 13]. No se incluyen América Latina ni los seguros. La cuota de Itaú no se puede calcular con el mismo perímetro: su cartera incluye garantías prestadas y títulos privados que no están en la serie del BCB.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7,40 billones BRL de crédito en ago-2026 (7,14 billones a dic-2025)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BR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interés (Selic)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Selic del 13,75 % el 27-oct-2026; el Focus del 23-oct la veía en 13,25 % a fin de 2026 y 11,75 % en 2027, antes del giro del mercado tras las elecciones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fiscal y prima de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bono a 10 años subió del 12,98 % al 15,44 % el 26-oct tras la reelección de Lula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crédito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crédito del sistema crece un 12,2 % anual desde 2020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Itaú cerró 528 oficinas en un año y compra NeoSpace; Nubank compite con coste por cliente muy bajo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tarifas y del crédito rotativo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 de los paquetes de tarifas y rebaja de la guía de comisiones en el 2T26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(Itaú, BB, Bradesco, Caixa, Santander) más Nubank, BTG e Inter; Itaú gana más que todos con ROE del 24 % frente al 11-14 % de Bradesco y Santander Brasil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dispersos; el Pix y la portabilidad bajan los costes de cambio, pero la vinculación (nómina, inversión) sigue pesando.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materia prima es la captación: depósitos estables de 1,13 billones, con coste ligado al CDI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digitales con licencia (Nubank, con ROE del 32 %) y fintech de pagos; la escala de capital y el riesgo de crédito siguen siendo barrera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capitales (debentures) para grandes empresas y crédito de fintech para particulares.</w:t>
            </w:r>
          </w:p>
        </w:tc>
      </w:tr>
    </w:tbl>
    <w:p>
      <w:pPr>
        <w:spacing w:after="160" w:before="0"/>
      </w:pPr>
    </w:p>
    <w:p>
      <w:pPr>
        <w:pStyle w:val="Heading2"/>
      </w:pPr>
      <w:r>
        <w:t xml:space="preserve">Ciclo</w:t>
      </w:r>
    </w:p>
    <w:p>
      <w:pPr>
        <w:spacing w:after="100"/>
      </w:pPr>
      <w:r>
        <w:t xml:space="preserve">La morosidad del sistema y de Itaú está en mínimos (1,9 % a más de 90 días) con la Selic al 13,75 %: el ciclo de crédito está maduro y la morosidad de pymes empieza a subir [1, 13]. En 2015-2016 (recesión) y en 2020 (pandemia) el ROE de Itaú cayó al 14,5 % (2020) y el banco siguió ganando dinero; en 2022-2023, con la Selic al 13,75 %, mantuvo el 20-21 % [4, 5 de la nota A].</w:t>
      </w:r>
    </w:p>
    <w:p>
      <w:pPr>
        <w:pStyle w:val="Heading2"/>
      </w:pPr>
      <w:r>
        <w:t xml:space="preserve">Regulación</w:t>
      </w:r>
    </w:p>
    <w:p>
      <w:pPr>
        <w:spacing w:after="100"/>
      </w:pPr>
      <w:r>
        <w:t xml:space="preserve">Banco Central y Consejo Monetario Nacional fijan capital (Basilea III con colchones; CET1 mínimo con colchones ≈ 8-9,5 %), depósitos obligatorios y la contabilidad de pérdidas esperadas (Resolución 4.966, desde 2025) [3]. Asuntos abiertos con efecto en cifras: la deducibilidad del JCP (intereses sobre capital propio), que el Gobierno de Lula intentó limitar en 2025; los topes de intereses del crédito rotativo de tarjetas; y la posible subida de impuestos a la banca para cuadrar las cuentas públicas tras las elecciones de 2026 [3].</w:t>
      </w:r>
    </w:p>
    <w:p>
      <w:pPr>
        <w:pStyle w:val="Heading2"/>
      </w:pPr>
      <w:r>
        <w:t xml:space="preserve">Tendencias y disrupción</w:t>
      </w:r>
    </w:p>
    <w:p>
      <w:pPr>
        <w:spacing w:after="100"/>
      </w:pPr>
      <w:r>
        <w:t xml:space="preserve">Tres cambios: (1) Pix y open finance bajan los ingresos por tarifas y la vinculación (la guía de comisiones de 2026 pasó a +2-5 %) [1]; (2) la inteligencia artificial permite bajar costes (eficiencia del 35,5 % en Brasil) y mejorar el crédito; Itaú compra NeoSpace, que ya le entrenaba modelos con sus datos [1, 12]; (3) los bancos digitales ganan clientes de renta baja, donde Itaú se ha retirado en parte. Itaú gana con (2) y pierde algo con (1) y (3).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banco privado de Brasil y de América Latina por activos y cartera; 2.º-3.º del sistema tras Banco do Brasil y Caixa (públicos)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do Brasil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BBAS3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Público, líder en agro; ROE 10.5 % y P/VC 0.55x; cayó un 27 % el 26-oct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Bradesco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BBDC4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privado, en reestructuración; ROE 14.2 %, P/VC 0.86x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Santander Brasil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SANB11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11.2 %, P/VC 0.77x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BPAC11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y patrimonios; ROE 24.4 %, P/VC 3.6x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Nubank (Nu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Brasil/Islas Caimán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digital con más de 100 M de clientes; ROE 31.6 %, P/VC 4.59x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Caixa Econômica Federal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Pública, no cotiza; líder en vivienda.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Adquirencia y pagos con red propia, pero el Pix ha reducido la ventaja.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 inversión y crédito vinculados; renegociada solo el 2,6 % de la cartera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banco privado más valiosa de Brasil y licencias bancarias en seis países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 del 37,4 % (Brasil 35,5 %), frente a más del 45 % en Bradesco y Santander Brasil (estimación sobre sus informes, no leídos aquí)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cartera privada (1,52 billones) y ROE del 24 % sostenido diez años salvo 2020 [2].</w:t>
            </w:r>
          </w:p>
        </w:tc>
      </w:tr>
    </w:tbl>
    <w:p>
      <w:pPr>
        <w:spacing w:after="160" w:before="0"/>
      </w:pPr>
    </w:p>
    <w:p>
      <w:pPr>
        <w:pStyle w:val="Heading2"/>
      </w:pPr>
      <w:r>
        <w:t xml:space="preserve">Amenazas</w:t>
      </w:r>
    </w:p>
    <w:p>
      <w:pPr>
        <w:spacing w:after="100"/>
      </w:pPr>
      <w:r>
        <w:t xml:space="preserve">Lo que más erosionaría el foso: una subida de impuestos a la banca (JCP o CSLL) que baje el ROE de todos (probabilidad media tras la reelección), la competencia de Nubank en particulares de renta media (alta y gradual) y un tope a los intereses y tarifas (media). Ninguna rompe la ventaja de coste y de crédito de Itaú; todas bajan el nivel del ROE del sector.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2021-2025: ingresos </w:t>
      </w:r>
      <w:r>
        <w:rPr>
          <w:b/>
          <w:bCs/>
        </w:rPr>
        <w:t xml:space="preserve">5,5 %</w:t>
      </w:r>
      <w:r>
        <w:t xml:space="preserve">, EBITDA </w:t>
      </w:r>
      <w:r>
        <w:rPr>
          <w:b/>
          <w:bCs/>
        </w:rPr>
        <w:t xml:space="preserve">4,4 %</w:t>
      </w:r>
      <w:r>
        <w:t xml:space="preserve">, BPA </w:t>
      </w:r>
      <w:r>
        <w:rPr>
          <w:b/>
          <w:bCs/>
        </w:rPr>
        <w:t xml:space="preserve">13,7 %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BRL,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 NIIF (20-F), el beneficio atribuido pasó de 26.760 M BRL en 2021 a 44.857 M en 2025 (+14,1 % anual), con los ingresos operativos netos de pérdidas esperadas de 111.995 M a 138.947 M (+5,5 % anual) y los gastos no financieros de 62.549 M a 79.176 M (+6,1 %) [4, 5]. La mejora del beneficio no viene del crecimiento de la cartera sino del coste del crédito y de los impuestos: las pérdidas esperadas bajaron de 32.311 M en 2024 a 28.833 M en 2025 y el impuesto sobre beneficios efectivo cayó del 32,8 % de 2021 al 8,8 % de 2025, por el JCP deducible y por la cobertura de las inversiones en el exterior, que en NIIF se contabiliza fuera de la línea de impuestos [4, 5]. En gerencial (BR GAAP), la referencia del mercado, el resultado recurrente fue de 26.879 M en 2021, 30.786 M en 2022, 35.618 M en 2023, unos 41.400 M en 2024 y 46.800 M en 2025, con el ROE recurrente subiendo del 19,3 % al 23,4 % [7, 8, 10]. En el 1S26, 24.689 M (+9,1 %) y ROE del 24,5 % [1].</w:t>
      </w:r>
    </w:p>
    <w:p>
      <w:pPr>
        <w:pStyle w:val="Heading2"/>
      </w:pPr>
      <w:r>
        <w:t xml:space="preserve">Ajustes y partidas no recurrentes</w:t>
      </w:r>
    </w:p>
    <w:p>
      <w:pPr>
        <w:spacing w:after="100"/>
      </w:pPr>
      <w:r>
        <w:t xml:space="preserve">Dos bases. Las cuentas oficiales del 20-F son NIIF; el banco gestiona y el mercado sigue el «resultado recurrente gerencial» en BR GAAP, que quita partidas extraordinarias (amortización de fondo de comercio, provisiones de reestructuración, contingencias fiscales y civiles) y reclasifica el efecto fiscal de la cobertura de las inversiones en el exterior. En el 2T26 el contable fue 12.181 M y el recurrente 12.407 M (−226 M de extraordinarios); en el 1S26, 24.119 M frente a 24.689 M, con 783 M de reestructuración en el 1T26 [1]. La diferencia entre NIIF y gerencial es pequeña en el año (2025: 44.857 M NIIF frente a 46.800 M recurrente) [4, 10]. El BPA de la regla a 12 meses es el recurrente gerencial; la cuenta del informe, la NIIF.</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(4-ago-2026) el resultado recurrente fue de 12.407 M BRL (+1,0 % en el trimestre, +7,8 % interanual), con ROE del 24,3 %, en línea con el consenso de 13 bancos (12.466 M) [1, 2]. La cartera creció un 2,7 % en el trimestre hasta 1,52 billones, con consignado privado +14,3 % y vivienda +3,9 %; la morosidad a más de 90 días se quedó en el 1,9 % por sexto trimestre seguido, aunque la de 15-90 días subió 0,1 puntos al 1,8 % por las pymes tras el fin de las carencias de los programas públicos [1]. La dirección </w:t>
      </w:r>
      <w:r>
        <w:rPr>
          <w:b/>
        </w:rPr>
        <w:t xml:space="preserve">rebajó la guía de comisiones y seguros</w:t>
      </w:r>
      <w:r>
        <w:t xml:space="preserve"> de +5,0-9,0 % a +2,0-5,0 % por la volatilidad del mercado de capitales y por el ajuste de los paquetes de tarifas; mantuvo el resto (cartera +5,5-9,5 %, margen con clientes +5,0-9,0 %, coste del crédito 38.500-43.500 M, gastos +1,5-5,5 %, tipo efectivo 29,5-32,5 %) [1, 11]. El CFO insistió en la calidad de la concesión frente a las renegociaciones (cartera renegociada 36.300 M, 2,6 % del total) y el CEO en la inteligencia artificial propia (ia.i) [2]. En el 1T26 el resultado había quedado un 2 % por debajo de lo esperado antes de impuestos por provisiones y comisiones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2.069.206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2.321.066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2.543.100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2.854.475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3.066.169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0"/>
        <w:gridCol w:w="1472"/>
        <w:gridCol w:w="1338"/>
        <w:gridCol w:w="1338"/>
        <w:gridCol w:w="1338"/>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Avenue (corredora en EE. UU.) consolidada desde el 1T26 tras tomar el control; NeoSpace (inteligencia artificial, 2.925 M) firmada el 26-oct-2026, pendiente de CADE y del Banco Central.).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Para un banco, el motor no tiene sentido en deuda neta, circulante ni capital invertido: se ponen caja y deuda a 0 y el «capital invertido» queda igual al patrimonio. El patrimonio NIIF atribuido bajó de 211.090 M a 204.501 M en 2025 porque el banco repartió 48.299 M (dividendos ordinarios, extraordinarios y JCP) y recompró 3.085 M, más que el beneficio [4]: devolvió el capital por encima del objetivo, y el CET1 bajó del 13,7 % al 12,3 % [4]. El activo crece un 8 % al año desde 2021 [4, 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175.014</w:t>
      </w:r>
      <w:r>
        <w:t xml:space="preserve">, conversión </w:t>
      </w:r>
      <w:r>
        <w:rPr>
          <w:b/>
          <w:bCs/>
        </w:rPr>
        <w:t xml:space="preserve">100 %</w:t>
      </w:r>
      <w:r>
        <w:t xml:space="preserve"> del beneficio neto; adquisiciones 0, dividendos 92.934, recompras 5.549.</w:t>
      </w:r>
    </w:p>
    <w:p>
      <w:pPr>
        <w:spacing w:after="100"/>
      </w:pPr>
      <w:r>
        <w:t xml:space="preserve">El estado de flujos de un banco no mide la caja del accionista: el flujo de explotación NIIF fue de 54.306 M en 2021, 129.633 M en 2022, 77.493 M en 2023, 7.069 M en 2024 y 34.466 M en 2025 porque mezcla depósitos, cartera y repos [4, 5]. Por eso el informe usa el beneficio atribuido como «flujo operativo» y capex 0; el flujo libre para el accionista es el beneficio menos la retención que exige el capital regulatorio para crecer, y eso se calcula en el modelo bancario. Dividendos y JCP pagados: 6.267 M (2021), 6.706 M (2022), 10.348 M (2023), 21.314 M (2024) y 48.299 M (2025, con extraordinarios); recompras de 689 M, 1.775 M y 3.085 M en 2023-2025 [4, 5]. Payout de 2025 sobre el recurrente: 72,0 %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 Independentes Ltda.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NIIF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firmó sin salvedades las cuentas NIIF de 2025 y el control interno el 29-abr-2026 [3]. Los indicadores del motor (Altman Z, Piotroski F, Beneish M) están pensados para empresas no financieras y no se interpretan en un banco. Lo que importa es la calidad de la cartera y de las provisiones: morosidad a más de 90 días estable en el 1,9 % (2,8 % a dic-2023), coste del crédito estable en el 2,7 % de la cartera, provisiones de 56.900 M, cartera renegociada del 2,6 % y bajas del 0,7 % [1, 7]. Dos puntos de atención: (1) el tipo efectivo NIIF muy bajo (8,8 % en 2025) depende del JCP deducible, que el Gobierno ha intentado limitar, y de la cobertura cambiaria de las inversiones en el exterior; (2) los créditos fiscales diferidos (75.410 M) [4]. Ventas de cartera fallida en el 2T26 por 2.200 M con efecto de 30,9 M en el resultado: pequeño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NIIF del 8,8 % en 2025 (32,8 % en 2021)</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 del JCP deducible y de la contabilidad de la cobertura del capital en el exterior; un cambio legal del JCP subiría el tipo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fiscales diferidos de 75.410 M (37 % del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Habitual en la banca brasileña; se recuperan con beneficios futuros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Morosidad de 15-90 días de pymes al alza (1,5 %)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tras el fin de las carencias de los programas públicos; la total sigue en el 1,9 %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164.476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188.079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210.167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218.180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31,6 % · </w:t>
      </w:r>
      <w:r>
        <w:rPr>
          <w:b/>
          <w:bCs/>
        </w:rPr>
        <w:t xml:space="preserve">WACC</w:t>
      </w:r>
      <w:r>
        <w:t xml:space="preserve">: 21,5 %.</w:t>
      </w:r>
    </w:p>
    <w:p>
      <w:pPr>
        <w:spacing w:after="100"/>
      </w:pPr>
      <w:r>
        <w:t xml:space="preserve">En un banco el ROIC del motor (20,4 % en 2025, NIIF, con deuda y caja 0) es solo el ROE con otro nombre; la cifra de calidad del informe es el ROE RECURRENTE − Ke. ROE recurrente gerencial del 23,4 % en 2025 y del 24,5 % en el 1S26 (24,3 % en el 2T26; Brasil 25,7 %, América Latina 12,3 %) [1, 10], frente a un Ke en reales del 21,49 % (bono a 10 años 15,44 % + 1,10 × 5,5 % [19]): exceso de 1,9 puntos (2025) y 3,0 (1S26). NO PASA el suelo del método (4,5) y no es comprable en ningún nivel (A, B1, B2 o C). Con el bono de antes de las elecciones (12,98 %, Ke 19,03 %) quedaba en 4,4-5,5, al filo [31]. Indicadores bancarios del 2T26 [1]: CET1 12,3 % (objetivo de gestión 11,5 %; Tier 1 13,8 %, Basilea 15,4 %); morosidad a más de 90 días 1,9 % estable (15-90 días 1,8 %); coste del crédito 10.139 M en el trimestre, el 2,7 % de la cartera; margen con clientes del 9,1 % (10,0 % en Brasil; 6,2 % ajustado por riesgo); eficiencia del 37,4 % (35,5 % en Brasil), la mejor de los grandes bancos; provisiones de 56.900 M, ≈ 197 % de la cartera a más de 90 días (estimación propia; 320 % en 2020 [9]) y cobertura de la fase 3 del 53,8 %; liquidez LCR 202 %. Sensibilidad a la Selic: +1 punto da ≈ +0,9 mil M después de impuestos en el margen del capital propio (137.357 M al 12 %, antes de coberturas: ≈ +1,8 % del beneficio), pero sube el Ke y quita ≈ 6 % del valor intrínseco por punto [31].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LCR medio del 2T26: 202,0 %; NSFR: 122,1 %; cartera sobre captación: 80,3 % [1]. Depósitos de clientes 1.114.482 M a dic-2025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especulativo, limitado por el techo soberano de Brasil (no se ha leído la nota vigente de las agencias: ver huecos)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Capital: CET1 del 12,3 % en jun-2026 (13,1 % un año antes), Tier 1 del 13,8 % y Basilea del 15,4 %, 3,8 puntos por encima del mínimo con colchones; la dirección gestiona con un CET1 objetivo del 11,5 % (con él, el ROE del 1S26 habría sido del 25,1 %) [1]. A dic-2025, activos ponderados por riesgo de 1.505.475 M y CET1 de 185.595 M [4]. Provisiones para pérdidas esperadas de 56.900 M en jun-2026 (58 % fase 3); cobertura de la fase 3 del 53,8 % [1]. Activos fiscales diferidos de 75.410 M (37 % del patrimonio), que dependen de beneficios futuros y de la normativa fiscal [4]. Compromiso de pago aplazado de NeoSpace (2.925 M en total, parte a cinco años) [12].</w:t>
      </w:r>
    </w:p>
    <w:p>
      <w:pPr>
        <w:pStyle w:val="Heading1"/>
      </w:pPr>
      <w:r>
        <w:t xml:space="preserve">12. Asignación de capital</w:t>
      </w:r>
    </w:p>
    <w:p>
      <w:pPr>
        <w:pStyle w:val="Confianza"/>
        <w:spacing w:after="100"/>
      </w:pPr>
      <w:r>
        <w:t xml:space="preserve">Confianza: Media</w:t>
      </w:r>
    </w:p>
    <w:p>
      <w:pPr>
        <w:spacing w:after="100"/>
      </w:pPr>
      <w:r>
        <w:t xml:space="preserve">Itaú gestiona el capital con un CET1 objetivo del 11,5 % y reparte el exceso: payout del 72 % en 2025 con dividendos y JCP mensuales, extraordinarios y recompras [3]. Dividendos y JCP pagados de 21.314 M en 2024 y 48.299 M en 2025 (incluye extraordinarios), recompras de 1.775 M y 3.085 M [4]. Programa de recompra de hasta 200 M de preferentes (≈ 1,8 % de las acciones) hasta el 4-ago-2027 [16]. Bonificaciones en acciones del 10 % (mar-2025) y del 3 % (dic-2025)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Avenue (corredora de inversión en EE. UU., toma de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1T26; pequeña frente al banco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NeoSpace (modelos de IA entrenados con datos de Itaú)</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parte aplazada a cinco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26-oct-2026; pendiente de CADE y del Banco Central; ≈ 0,27 BRL por acción y el 1,4 % del patrimonio [12].</w:t>
            </w:r>
          </w:p>
        </w:tc>
      </w:tr>
    </w:tbl>
    <w:p>
      <w:pPr>
        <w:spacing w:after="160" w:before="0"/>
      </w:pPr>
    </w:p>
    <w:p>
      <w:pPr>
        <w:spacing w:after="100"/>
      </w:pPr>
      <w:r>
        <w:t xml:space="preserve">Buena asignadora: el ROE recurrente subió del 19,3 % de 2021 al 23,4 % de 2025 sin compras grandes, y el capital que sobra vuelve al accionista (payout del 72 %) en vez de acumularse [3, 10]. Salió de mercados de baja rentabilidad (venta de la banca minorista en Argentina, Colombia reducida) y cerró oficinas [3]. El riesgo de la política es que el CET1 ya baja (13,1 % → 12,3 % en un año) y un ciclo de crédito peor reduciría los extraordinarios. NeoSpace es cara para su tamaño, pero no mueve el valor (1,4 % del patrimonio).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Milton Maluhy Filho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2002; vicepresidente de finanzas y riesgos (2019-2020) y consejero delegado de Itaú CorpBanca (2016-2018), donde hizo la fusión con CorpBanca. Con él, el ROE recurrente pasó del 19,3 % (2021) al 23,4 % (2025)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 Amado de Moura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2000; director financiero y luego consejero delegado de Banco Itaú Chile (2016-2024)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Moreira Salles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Unibanco (1997-2004) y su consejero delegado (2004-2008); presidente de IUPAR y de Cia. E. Johnston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Egydio Setubal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Banco Itaú (1994-2008) y de Itaú Unibanco (2008-2017); vicepresidente de Itaúsa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André Luís Teixeira Rodrigues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(banca minorista)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desde 2005 y socio del Programa de Socios desde 2010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+4,5-8,5 %; margen con clientes, coste del crédito y gastos dentro de rangos (publicada en feb-2025)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1,49 billones (+6 %); resultado recurrente 46.800 M (+13,1 %)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y seguros +5,0-9,0 % (feb-2026)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a +2,0-5,0 % el 4-ago-2026; el resto se mantiene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Rangos de cartera, margen, coste del crédito y gastos (feb-2023)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recurrente 35.618 M (+15,7 %), eficiencia 39,9 %, mínimo histórico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formado dentro del grupo (Programa de Socios): el consejero delegado y el director financiero vienen de dirigir Itaú Chile. La guía anual es de rangos amplios y se cumple casi siempre; en 2026 solo se ha rebajado la de comisiones y seguros [1, 3, 10]. Sucesión: no hay cambio anunciado; el consejero delegado lleva cinco años.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Moreira Salles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Egydio Setubal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personas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Ricardo Villela Marino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Alfredo Egydio Setubal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João Moreira Salles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Candido Botelho Bracher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Nivaldo Gon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Fabricio Bloisi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Marcos Marinho Lutz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Helena dos Santos Fernandes de Santana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Paulo Antunes Veras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Pedro Luiz Bodin de Moraes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NIIF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IUPAR (Itaúsa y Cia. E. Johnston / familias Setubal, Villela y Moreira Salles)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(51,71 % de las ordinarias)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Itaúsa (directo, además de IUPAR)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Flotante (preferentes ITUB4 y ADR ITUB)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y 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Política de la normativa bancaria brasileña: al menos el 50 % del variable en acciones o instrumentos ligados a ellas y al menos el 40 % diferido tres años, con «malus» si cae el resultado recurrente y «clawback» [3]. En 2025 el consejo (13 miembros) cobró 50,2 M BRL y los 48 miembros del comité de dirección 812,9 M en conjunto; el 20-F no da el desglose del consejero delegado [3]. El variable depende del resultado recurrente y de la creación de valor (resultado sobre el coste del capital), que es la métrica correcta para un banco [3].</w:t>
      </w:r>
    </w:p>
    <w:p>
      <w:pPr>
        <w:pStyle w:val="Heading2"/>
      </w:pPr>
      <w:r>
        <w:t xml:space="preserve">Operaciones vinculadas, estructura de control y defensas</w:t>
      </w:r>
    </w:p>
    <w:p>
      <w:pPr>
        <w:spacing w:after="100"/>
      </w:pPr>
      <w:r>
        <w:t xml:space="preserve">Itaú tiene dos clases: ordinarias con voto (ITUB3), de las que IUPAR tiene el 51,71 %, y preferentes sin voto (ITUB4, base del ADR), que reciben al menos el dividendo mínimo y tienen derecho de venta conjunta del 80 % en un cambio de control por estar en el Nivel 1 / con las protecciones del Nivel 2 de B3 que el 20-F describe [3]. El accionista del ADR no vota. El control familiar garantiza estabilidad y una cultura de capital prudente; el riesgo es que sus intereses (Itaúsa necesita dividendos) pesen en el payout. El consejo tiene 7 independientes de 13 (53,8 %) aunque la NYSE no lo exige a una sociedad controlada [3]. Programa de recompra de hasta 200 M de preferentes hasta ago-2027 [16].</w:t>
      </w:r>
    </w:p>
    <w:p>
      <w:pPr>
        <w:pStyle w:val="Heading2"/>
      </w:pPr>
      <w:r>
        <w:t xml:space="preserve">Señales de alerta</w:t>
      </w:r>
    </w:p>
    <w:p>
      <w:pPr>
        <w:pStyle w:val="ListParagraph"/>
        <w:numPr>
          <w:ilvl w:val="0"/>
          <w:numId w:val="2"/>
        </w:numPr>
        <w:spacing w:after="60"/>
      </w:pPr>
      <w:r>
        <w:t xml:space="preserve">Doble clase: el ADR (preferente) no tiene voto; el control lo tiene IUPAR con el 26,35 % del capital [3].</w:t>
      </w:r>
    </w:p>
    <w:p>
      <w:pPr>
        <w:pStyle w:val="ListParagraph"/>
        <w:numPr>
          <w:ilvl w:val="0"/>
          <w:numId w:val="2"/>
        </w:numPr>
        <w:spacing w:after="60"/>
      </w:pPr>
      <w:r>
        <w:t xml:space="preserve">Los copresidentes son de las familias de control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Previsiones 2026 (publicadas el 5-feb-2026, revisadas el 4-ago-2026): cartera total +5,5-9,5 % y en Brasil +6,5-10,5 %; margen con clientes +5,0-9,0 %; margen con el mercado 2.500-5.500 M; coste del crédito 38.500-43.500 M; comisiones y seguros +2,0-5,0 % (antes +5,0-9,0 %); gastos no financieros +1,5-5,5 %; tipo efectivo 29,5-32,5 %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10 analistas, 26-oct-2026; BPA recurrente gerencial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10 analistas, 26-oct-2026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55.073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 – 60,00</w:t>
            </w:r>
          </w:p>
        </w:tc>
      </w:tr>
    </w:tbl>
    <w:p>
      <w:pPr>
        <w:spacing w:after="160" w:before="0"/>
      </w:pPr>
    </w:p>
    <w:p>
      <w:pPr>
        <w:pStyle w:val="Heading2"/>
      </w:pPr>
      <w:r>
        <w:t xml:space="preserve">Revisiones de estimaciones</w:t>
      </w:r>
    </w:p>
    <w:p>
      <w:pPr>
        <w:spacing w:after="100"/>
      </w:pPr>
      <w:r>
        <w:t xml:space="preserve">El BPA de 2027 del consenso baja de 5.13 BRL hace 90 días a 5.04 (−1,9 %) y el de 2026 de 4.63 a 4.6 [18]. Las cifras de Yahoo son anteriores a la reacción de los analistas a las elecciones del 25-oct: lo probable es que suban el Ke y bajen los objetivos más que el BPA. En mayo, tras el 1T26, BTG (52), XP (51), Genial (53), BofA (50) y Bradesco BBI (45) mantenían objetivos de 45-53 BRL [24]; Santander, 51 BRL el 5-oct [25]. En el ADR, 8 analistas con objetivo medio de 9.03 USD [18].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dólares y con dividendos, el ADR ganó un 23,3 % anual a 5 años frente al 10,5 % del EWZ y al 2,2 % del ADR de Bradesco [17]: el mercado ha premiado el ROE de Itaú frente al resto de la banca brasileña. 2025 fue un año excepcional (+85,7 % en USD) por la caída de la Selic esperada y la apreciación del real. El 6-oct-2026, tras la primera vuelta en la que Flávio Bolsonaro quedó por delante, el ADR subió un 24,5 % en el mes hasta el máximo de 10,20 USD; el 26-oct, tras la victoria de Lula en la segunda vuelta, cayó un 20,4 % en el día (7,70 USD), suma de −13,2 % de la preferente en B3 y −7 % del real [17, 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-7,3 % / -12,5 % / +11,7 %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 / +12,7 %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conocer el marco fiscal del nuevo mandato (ministro de Hacienda, presupuesto de 2027, tratamiento del JCP y de los impuestos a la banca). No cambia la conclusión de hoy, que ya es «no comprar» por calidad y por precio.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Reelección de Lula frente a Flávio Bolsonaro (51,78 % de los votos): el mercado deshace la apuesta por un ajuste fiscal; el bono a 10 años en reales sube del 12,98 % al 15,44 %, el real cae ≈ 7-9 %, el Ibovespa −13,7 % y la preferente de Itaú −13,2 % (Bradesco −21,2 %, BB −27,3 %); en preapertura el ADR llegó a caer más del 26 % [19, 21,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el nuevo Gobierno nombre ministro de Hacienda y presente el marco fiscal y el presupuesto de 2027, o hasta que el ADR baje del límite de compra de la regla (no se alcanza hoy: la calidad no pasa).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 2026 (6-oct, +24,5 % en el mes)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vuelta del 4-oct: Flávio Bolsonaro supera a Lula contra las encuestas y los bancos brasileños lideran las subidas de la semana [17,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 2026 (−17,2 % en un mes al 19-may)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del 1T26 un 2 % por debajo de lo esperado antes de impuestos (provisiones y comisiones) y caída del Ibovespa de 200.000 a 187.000 puntos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NeoSpace (modelos de IA entrenados con datos de Itaú) por 2.925 M BRL, parte aplazada a cinco años; pendiente de CADE y del Banco Central. Supone ≈ 0,27 BRL por acción y el 1,4 % del patrimonio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Tesoro cancela las subastas de bonos fijos y ligados a la inflación del 27 y 29-oct; se reabre el debate fiscal (déficit primario, deuda pública)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fiscal del nuevo mandato.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Santander elige a Itaú como banco preferido, «la alternativa defensiva más natural», con objetivo de 51 BRL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en línea (12.407 M, ROE 24,3 %); rebaja de la guía de comisiones y seguros a +2-5 %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 de B3; conferencia el 4-nov a las 10:00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programa de recompra de hasta 200 M de preferentes hasta el 4-ago-2027 (≈ 1,8 % de las acciones)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El −20,4 % del ADR del 26-oct no viene del negocio de Itaú sino de la prima de riesgo de Brasil: el bono a 10 años en reales sube 2,46 puntos y el real se deprecia [19, 21]. Para Itaú cambian tres cosas: (1) el coste del capital en reales sube 2,5 puntos (Ke del 19,0 % al 21,5 %); (2) la Selic baja más tarde de lo que el Focus esperaba (13,25 % a fin de 2026 y 11,75 % en 2027 antes de las elecciones [15]), lo que sostiene el margen del capital propio pero retrasa la bajada del coste del riesgo; (3) sube el riesgo de impuestos a la banca (JCP, CSLL). El veredicto es «retrasa» por el hecho pendiente con fecha (marco fiscal del nuevo Gobierno), aunque la señal ya es «no comprar». Los resultados del 3-nov no aplazan nada (regla 11).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la preferente ITUB4 en BRL (Yahoo, ajustado por las bonificaciones) [17]. El PER del motor se calcula con el BPA NIIF; la historia que decide la regla a 12 meses es la del PER adelantado con el BPA recurrente gerencial (precio ÷ BPA del año siguiente): 6,6x (2021), 6,8x (2022), 8,0x (2023), 6,4x (2024) y 8,6x (2025), mediana 6,8x [17]. Hoy cotiza a 8,5x el BPA de 2027e y a 2,2 veces el valor contable: por encima de su mediana de 5 años porque el ROE ha subido del 19 % al 24 %.</w:t>
      </w:r>
    </w:p>
    <w:p>
      <w:pPr>
        <w:pStyle w:val="Heading1"/>
      </w:pPr>
      <w:r>
        <w:t xml:space="preserve">18. Comparables cotizados</w:t>
      </w:r>
    </w:p>
    <w:p>
      <w:pPr>
        <w:pStyle w:val="Confianza"/>
        <w:spacing w:after="100"/>
      </w:pPr>
      <w:r>
        <w:t xml:space="preserve">Confianza: Media</w:t>
      </w:r>
    </w:p>
    <w:p>
      <w:pPr>
        <w:spacing w:after="100"/>
      </w:pPr>
      <w:r>
        <w:t xml:space="preserve">Bancos cotizados de Brasil (Bradesco, Santander Brasil, Banco do Brasil, BTG Pactual, Nubank) y grandes bancos andinos con ADR (Credicorp, Banco de Chile, Santander Chile, Bancolombia), todos con datos de Yahoo del 26-oct-2026 [18]. Para bancos solo tienen sentido el PER, el P/VC y el ROE: EV/EBITDA, margen EBITDA, DN/EBITDA y rentabilidad por FCF quedan vacíos. El campo «ROIC» lleva el ROE. Las capitalizaciones de los ADR se convierten a BRL a 5,4064.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Itaú Unibanco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Santander Brasil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do Brasil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de Chile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Santander Chile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Bancolombia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4"/>
        <w:gridCol w:w="1056"/>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9,8x / 10,9x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spacing w:after="100"/>
      </w:pPr>
      <w:r>
        <w:t xml:space="preserve">Itaú cotiza a 8.3x el BPA adelantado de Yahoo y a 2.11x el valor contable, con ROE del 21.5 % [18]. Los bancos brasileños grandes están mucho más baratos (Bradesco 5.6x y 0.86x VC; Santander Brasil 6.1x; BB 4.2x) porque su ROE es la mitad (11-14 %); BTG (9.8x, 3.6x VC, ROE 24.4 %) y Nubank (11.2x, 4.59x VC, ROE 31.6 %) cotizan con prima por crecimiento. La relación P/VC frente a ROE ordena bien a todos: Itaú no está caro frente a sus rivales por su ROE, pero todos cotizan con un Ke implícito muy por debajo del bono brasileño. Mediana del PER adelantado de los nueve: 9,8x (Brasil sin Nubank ni BTG: 5,8x).</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crecen como el patrimonio y la cartera: 8 % en 2026e-2027e (guía de cartera +5,5-9,5 % [11], inflación del 4,3-5,2 % [15]), y bajan al 5 % en 2035e, el terminal nominal. Es la misma senda del modelo de exceso de rentabilidad [31].</w:t>
      </w:r>
    </w:p>
    <w:p>
      <w:pPr>
        <w:keepNext/>
        <w:spacing w:after="100"/>
      </w:pPr>
      <w:r>
        <w:rPr>
          <w:b/>
          <w:bCs/>
        </w:rPr>
        <w:t xml:space="preserve">Márgenes.</w:t>
      </w:r>
    </w:p>
    <w:p>
      <w:pPr>
        <w:spacing w:after="100"/>
      </w:pPr>
      <w:r>
        <w:t xml:space="preserve">«Margen EBITDA» = beneficio antes de impuestos sobre ingresos, calibrado para que el beneficio después de impuestos sea el ROE del caso base por el patrimonio inicial: 36,7 % en 2026e (ROE 24,5 %) a 33,1 % en 2035e (ROE 21,5 %). El ROE baja medio punto al año porque la competencia digital, Pix y el open finance aprietan las comisiones (guía rebajada a +2-5 % [11]) y porque un ROE del 24 % con un CET1 del 12 % es alto para siempre.</w:t>
      </w:r>
    </w:p>
    <w:p>
      <w:pPr>
        <w:keepNext/>
        <w:spacing w:after="100"/>
      </w:pPr>
      <w:r>
        <w:rPr>
          <w:b/>
          <w:bCs/>
        </w:rPr>
        <w:t xml:space="preserve">Inversión y circulante.</w:t>
      </w:r>
    </w:p>
    <w:p>
      <w:pPr>
        <w:spacing w:after="100"/>
      </w:pPr>
      <w:r>
        <w:t xml:space="preserve">«Capex» = retención: lo que el banco debe guardar para que el patrimonio crezca con los activos ponderados por riesgo y el CET1 se quede en el 11,5 %: g × 1,47 ÷ (1 + g) de los ingresos (10,9 % en 2026e, 7,0 % en 2035e). Amortización y circulante 0. El flujo que queda es lo que puede repartir: un flujo para el accionista.</w:t>
      </w:r>
    </w:p>
    <w:p>
      <w:pPr>
        <w:keepNext/>
        <w:spacing w:after="100"/>
      </w:pPr>
      <w:r>
        <w:rPr>
          <w:b/>
          <w:bCs/>
        </w:rPr>
        <w:t xml:space="preserve">Coste del capital.</w:t>
      </w:r>
    </w:p>
    <w:p>
      <w:pPr>
        <w:spacing w:after="100"/>
      </w:pPr>
      <w:r>
        <w:t xml:space="preserve">WACC = Ke en reales: bono del Tesoro brasileño a 10 años del 15,44 % (26-oct-2026, +2,46 puntos el día de la caída [19]) + beta 1,10 (medida 1,11-1,19 [17]) × 5,5 % = 21,49 %. Sin prima adicional: el riesgo país ya está en la tasa libre en reales; los +3 puntos del escáner lo contaban dos veces. Peso de la deuda 0: en un banco la deuda es materia prima. Antes de las elecciones (12,98 %) el Ke era del 19,03 %.</w:t>
      </w:r>
    </w:p>
    <w:p>
      <w:pPr>
        <w:keepNext/>
        <w:spacing w:after="100"/>
      </w:pPr>
      <w:r>
        <w:rPr>
          <w:b/>
          <w:bCs/>
        </w:rPr>
        <w:t xml:space="preserve">Valor terminal.</w:t>
      </w:r>
    </w:p>
    <w:p>
      <w:pPr>
        <w:spacing w:after="100"/>
      </w:pPr>
      <w:r>
        <w:t xml:space="preserve">Gordon al 5,0 % nominal en reales: IPCA de largo plazo del Focus (3,5 % [15]) + 1,5 de crecimiento real. Pesa solo el 26 % del valor porque, con un Ke del 21,5 %, lo lejano casi no vale.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179.187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(ROIC 20,4 %)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frente al 6,5 %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(histórico: 31,6 %)</w:t>
            </w:r>
          </w:p>
        </w:tc>
      </w:tr>
    </w:tbl>
    <w:p>
      <w:pPr>
        <w:spacing w:after="160" w:before="0"/>
      </w:pPr>
    </w:p>
    <w:p>
      <w:pPr>
        <w:spacing w:after="100"/>
      </w:pPr>
      <w:r>
        <w:t xml:space="preserve">La proyección reinvierte el 28 % del NOPAT. Con el ROIC del último ejercicio (20,4 %), eso financia un crecimiento del 5,7 % anual, frente al 6,5 % de ingresos proyectado. Supone que el capital nuevo rinde un 19,0 %, frente a un ROIC incremental histórico del 31,6 %.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+7,5 % (cartera +9,6 % interanual en jun-2026 y guía de +5,5-9,5 % [1, 11]); precio +0,5 % (mezcla hacia particulares y pymes, margen con clientes estable en el 9,1 %).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+7,5 %: el crédito del sistema crece ≈ 10 % anual desde 2019 [13]; Itaú algo menos por prudencia en riesgo.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con la Selic bajando hacia el 10 % del Focus [15];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+6 %: converge al crecimiento nominal de la economía.</w:t>
            </w:r>
          </w:p>
        </w:tc>
      </w:tr>
    </w:tbl>
    <w:p>
      <w:pPr>
        <w:spacing w:after="160" w:before="0"/>
      </w:pPr>
    </w:p>
    <w:p>
      <w:pPr>
        <w:spacing w:after="100"/>
      </w:pPr>
      <w:r>
        <w:t xml:space="preserve">El banco genera más capital del que necesita para crecer: con un ROE del 24 % y un crecimiento del patrimonio del 8 % retiene un tercio y reparte dos tercios, como hace hoy (payout del 72 % [3]). El motor da «En parte» porque mide con el ROIC NIIF (20,4 %) y lo compara con un WACC del 21,5 %: crecer con un ROE apenas por encima del Ke casi no crea valor. Esa es la conclusión que importa: el crecimiento es financiable, pero con el Ke de hoy aporta poco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 (base: 33,1 %)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(WACC: 21,5 %)</w:t>
            </w:r>
          </w:p>
        </w:tc>
      </w:tr>
    </w:tbl>
    <w:p>
      <w:pPr>
        <w:spacing w:after="160" w:before="0"/>
      </w:pPr>
    </w:p>
    <w:p>
      <w:pPr>
        <w:spacing w:after="100"/>
      </w:pPr>
      <w:r>
        <w:t xml:space="preserve">El DCF adaptado (flujo para el accionista) da 22,55 BRL por acción en el base, un 45,8 % por debajo del precio, y cuadra con el modelo de exceso de rentabilidad (21,74): los dos descuentan lo que el banco puede repartir al mismo Ke del 21,49 %. El DCF inverso dice que el precio descuenta un crecimiento del 16,7 % anual (frente al 6,5 % del base) o, lo que es más razonable, una rentabilidad anual del 13,8 %, por debajo de la tasa libre de hoy (15,44 %). Las cifras de EV/EBITDA, deuda neta/EBITDA y ROIC del motor no significan nada en un banco y no se usan.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fiscal sin ancla: la Selic sigue alta más tiempo, la morosidad de particulares y pymes sube y el coste del crédito pasa del 2,7 % al ≈ 3,4 % de la cartera; ROE ≈ 21 % y cartera +5 %.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recurrente del 24,5 % que baja medio punto al año hasta el 21,5 % por la competencia digital y las comisiones; patrimonio y cartera +8 % a +5 %; CET1 en el 11,5-12 % y payout del 65-70 %.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eficiencia (IA, cierre de oficinas) sostiene el ROE cerca del 25 % y la cartera crece 1 punto más con la Selic bajando.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BRL) · precio actual 41,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21,94 BRL (-47,3 %).</w:t>
      </w:r>
    </w:p>
    <w:p>
      <w:pPr>
        <w:spacing w:after="100"/>
      </w:pPr>
      <w:r>
        <w:t xml:space="preserve">Los tres escenarios del DCF adaptado quedan muy por debajo del precio (bajista 16,79, base 22,55 y alcista 25,86 BRL), como los del modelo de exceso de rentabilidad (18,01, 21,74 y 23,86). La razón es la misma en todos: con un Ke del 21,5 %, un ROE del 22-25 % apenas crea valor, y el banco vale poco más que su valor contable (18,92 BRL). Con el Ke de antes de las elecciones, el base sube a 25,55 BRL; para justificar el precio haría falta un Ke del 13,6 % [31].</w:t>
      </w:r>
    </w:p>
    <w:p>
      <w:pPr>
        <w:pStyle w:val="Heading1"/>
      </w:pPr>
      <w:r>
        <w:t xml:space="preserve">22. Suma de partes</w:t>
      </w:r>
    </w:p>
    <w:p>
      <w:pPr>
        <w:pStyle w:val="Confianza"/>
        <w:spacing w:after="100"/>
      </w:pPr>
      <w:r>
        <w:t xml:space="preserve">Confianza: Media</w:t>
      </w:r>
    </w:p>
    <w:p>
      <w:pPr>
        <w:spacing w:after="100"/>
      </w:pPr>
      <w:r>
        <w:t xml:space="preserve">No es una suma de partes: es el vehículo para que el valor del modelo de exceso de rentabilidad (residual income) sea el valor intrínseco del motor. Una sola «parte», el banco entero, con valor directo = 21,34 BRL ponderados × 11.022 M de acciones = 235.210 M (patrimonio, no valor empresa; el puente es 0). Detalle y tablas en valoracion-banco.md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5"/>
        <w:gridCol w:w="164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Banco entero: modelo de exceso de rentabilidad (residual income), ponderado 25/50/25</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por acción × acciones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235.209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 valor contable por acción (18,92 BRL a 30-jun-2026) + valor actual de (ROE − Ke) × valor contable de los 10 años siguientes + terminal, con Ke del 21,49 % y crecimiento terminal del 5 %; llevado al 27-oct. Bajista 18,01, base 21,74 y alcista 23,86 BRL; ponderado 21,34 BRL × 11.022 M de acciones = 235.209 M. Es patrimonio, no valor empresa: el puente es 0. Detalle en valoracion-banco.md [31].</w:t>
            </w:r>
          </w:p>
        </w:tc>
      </w:tr>
    </w:tbl>
    <w:p>
      <w:pPr>
        <w:spacing w:after="160" w:before="0"/>
      </w:pPr>
    </w:p>
    <w:p>
      <w:pPr>
        <w:spacing w:after="100"/>
      </w:pPr>
      <w:r>
        <w:rPr>
          <w:b/>
          <w:bCs/>
        </w:rPr>
        <w:t xml:space="preserve">Valor por acción por suma de partes:</w:t>
      </w:r>
      <w:r>
        <w:t xml:space="preserve"> 21,34 (-48,7 %); con ±1x en los múltiplos, 18,14 – 24,54.</w:t>
      </w: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BRL) · precio actual 41,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spacing w:after="100"/>
      </w:pPr>
      <w:r>
        <w:rPr>
          <w:b/>
          <w:bCs/>
        </w:rPr>
        <w:t xml:space="preserve">Valor intrínseco ponderado (largo plazo):</w:t>
      </w:r>
      <w:r>
        <w:t xml:space="preserve"> 21,34 BRL (-48,7 % sobre 41,63).</w:t>
      </w:r>
    </w:p>
    <w:p>
      <w:pPr>
        <w:spacing w:after="100"/>
      </w:pPr>
      <w:r>
        <w:t xml:space="preserve">Pesos: modelo de exceso de rentabilidad 100 % (vía suma de partes); DCF adaptado, comparables y transacciones 0. El DCF adaptado solo sirve para comprobar el modelo (22,55 frente a 21,74 BRL). Los comparables por P/VC (bancos brasileños a 0,8-1,6 veces; Itaú a 2,2) y el PER (9,8 veces de mediana) entran en la regla a 12 meses, no en el valor intrínseco. El valor intrínseco depende sobre todo de la tasa libre en reales: a 15,44 % vale 21,7 BRL; a 13,5 %, 24,6; a 12,98 % (antes de las elecciones), 25,6; el precio pide un Ke del 13,6 % [31]. Por eso la magnitud del valor intrínseco no es fiable; la dirección sí: con cualquier tasa libre de los últimos dos años, el precio queda por encima.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(8.5x) ÷ 1.1 (tope: la mediana de 5 años, 6.8x,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spacing w:after="100"/>
      </w:pPr>
      <w:r>
        <w:rPr>
          <w:b/>
          <w:bCs/>
        </w:rPr>
        <w:t xml:space="preserve">Objetivo a 12 meses (ponderado):</w:t>
      </w:r>
      <w:r>
        <w:t xml:space="preserve"> 40,71 BRL (7,53 USD) · rentabilidad +4,7 % (base +4,0 %) · señal Mantener.</w:t>
      </w:r>
    </w:p>
    <w:p>
      <w:pPr>
        <w:spacing w:after="100"/>
      </w:pPr>
      <w:r>
        <w:t xml:space="preserve">Para comparar, con la regla v2 (historia al cierre, mismo precio): 7,2x / 7,9x / 9,8x, 8,6 % Mantener; con el tope anterior del base (×1,3, 14-oct mediodía): 3,8 %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recurrente de 2026e (4,56 BRL) coincide con el consenso (4,60); en 2027e quedamos un 2,5 % por debajo (4,91 frente a 5,04), que ya bajó desde 5,13 hace 90 días [18]. La diferencia no está en el beneficio sino en el múltiplo: el objetivo medio de los analistas (49,69 BRL, anterior a la caída del 26-oct) supone ≈ 10 veces el BPA de 2027e; la regla del método, con la historia adelantada de Itaú (mediana de 6,8), da 7,7.</w:t>
      </w:r>
    </w:p>
    <w:p>
      <w:pPr>
        <w:keepNext/>
        <w:spacing w:after="100"/>
      </w:pPr>
      <w:r>
        <w:rPr>
          <w:b/>
          <w:bCs/>
        </w:rPr>
        <w:t xml:space="preserve">Del valor intrínseco al objetivo a 12 meses.</w:t>
      </w:r>
    </w:p>
    <w:p>
      <w:pPr>
        <w:spacing w:after="100"/>
      </w:pPr>
      <w:r>
        <w:t xml:space="preserve">El objetivo a 12 meses (40,71 BRL, 7,53 USD, ponderado) queda un 2 % por debajo del precio: con el dividendo (6,9 %) da un +4,7 % ponderado y un +4,0 % en el base, lejos del 15 % de compra. El valor intrínseco (21,34 BRL, 3,95 USD) está un 48,7 % por debajo: la distancia es de método, no de beneficio. Se cerraría solo si los tipos en reales bajaran de forma duradera (cada punto de tasa libre suma ≈ 6 % al valor) o si el ROE subiera por encima del 27 %. Con el Ke de hoy, la tesis no se cierra ni a varios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 de B3; conferencia el 4-nov)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coste del crédito y guía de 2027; primer dato tras el giro electoral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ministro de Hacienda y marco fiscal del nuevo mandato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bono a 10 años y con él el Ke (≈ 6 % del valor por punto)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Reunión del Copom y Focus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Selic de 2027 (11,75 % en el Focus del 23-oct)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guía de 2027 y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Payout y CET1 objetivo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Reforma de los impuestos a la banca o al JCP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Subir el tipo efectivo restaría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en reales altos más tiempo tras la reelección de Lula (bono a 10 años del 15,4 %)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del valor intrínseco por punto de tasa libre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Itaú gana algo con la Selic alta (margen del capital propio); el beneficio apenas se mueve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crédito: morosidad de particulares y pymes y coste del crédito por encima de la guía (38,5-43,5 mil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de 56.900 M (≈ 2 veces la cartera a más de 90 días) y cartera más garantizada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 la banca o límites al JCP para cerrar el déficit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NIIF del 8,8 % depende del JCP; ya ha habido intentos sin éxito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digital (Nubank, Mercado Pago) y Pix en comisiones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 del 35,5 % en Brasil y cartera de alta renta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débil: el ADR en USD cae más que la acción en B3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el 26-oct (ADR −20,4 % frente a ITUB4 −13,2 %)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para el inversor en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(los rivales digitales y las grandes tecnológicas automatizan crédito y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invierte (NeoSpace, asistente «ia.i») [12].</w:t>
            </w:r>
          </w:p>
        </w:tc>
      </w:tr>
    </w:tbl>
    <w:p>
      <w:pPr>
        <w:spacing w:after="160" w:before="0"/>
      </w:pPr>
    </w:p>
    <w:p>
      <w:pPr>
        <w:pStyle w:val="Heading2"/>
      </w:pPr>
      <w:r>
        <w:t xml:space="preserve">Pre-mortem</w:t>
      </w:r>
    </w:p>
    <w:p>
      <w:pPr>
        <w:spacing w:after="100"/>
      </w:pPr>
      <w:r>
        <w:t xml:space="preserve">Octubre de 2028: el ADR ha perdido un 35 %. El nuevo Gobierno amplió el gasto, el bono a 10 años pasó del 16 % y la Selic no bajó; la morosidad de particulares y pymes subió y el coste del crédito llegó al 3,5 % de la cartera. El Congreso limitó el JCP y el tipo efectivo subió 5 puntos. El ROE bajó al 20 %, los extraordinarios se acabaron y el mercado pasó a pagar 1,4 veces el valor contable, como a Bradesco. El real perdió otro 15 %.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abarata la atención, el análisis de crédito y el cobro: Itaú ya tiene la mejor eficiencia de los grandes bancos (37,4 %) y compra NeoSpace para entrenar modelos con sus datos [1, 12]. Pero también baja la barrera de los bancos digitales y de las tecnológicas en crédito al consumo. Efecto neto pequeño en 3-5 años.</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Sustainability Index World)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por 24.º año seguido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2024-02</w:t>
            </w:r>
          </w:p>
        </w:tc>
      </w:tr>
    </w:tbl>
    <w:p>
      <w:pPr>
        <w:spacing w:after="160" w:before="0"/>
      </w:pPr>
    </w:p>
    <w:p>
      <w:pPr>
        <w:pStyle w:val="Heading2"/>
      </w:pPr>
      <w:r>
        <w:t xml:space="preserve">Asuntos materiales</w:t>
      </w:r>
    </w:p>
    <w:p>
      <w:pPr>
        <w:spacing w:after="100"/>
      </w:pPr>
      <w:r>
        <w:t xml:space="preserve">Lo material es la gestión del riesgo de crédito con criterios climáticos (agro, energía) y la inclusión financiera; el banco declara métricas de riesgo social, ambiental y climático en su marco de apetito de riesgo [3]. No se ha encontrado una cifra que mueva la valoración.</w:t>
      </w:r>
    </w:p>
    <w:p>
      <w:pPr>
        <w:pStyle w:val="Heading2"/>
      </w:pPr>
      <w:r>
        <w:t xml:space="preserve">Controversias</w:t>
      </w:r>
    </w:p>
    <w:p>
      <w:pPr>
        <w:spacing w:after="100"/>
      </w:pPr>
      <w:r>
        <w:t xml:space="preserve">Sin sanciones relevantes localizadas en los últimos tres años en las fuentes leídas (20-F 2025, MD&amp;A); el 20-F detalla contingencias fiscales y civiles que el banco provisiona y que en el 1T26 dieron un ajuste extraordinario de +667 M en el resultado gerencial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crédito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la guía de coste del crédito de 2026 y qué espera para 2027 con la Selic alta más tiempo?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el CET1 objetivo del 11,5 % y el payout con extraordinarios tras el giro fiscal?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6,9 % de dividendo es parte de la rentabilidad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JCP e 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eliminar el JCP en el tipo efectivo y en el ROE?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NIIF del 8,8 % depende de él.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rebajó la guía de comisiones a +2-5 % y es temporal?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ROE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NeoSpace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ahorro de costes o de pérdidas espera de NeoSpace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2.925 M por una empresa de IA necesita un retorno medible.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($ITUB)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26-oct domina la «compra en la caída» a corto plazo («descuento del lunes negro», «¿vuelve a 8 USD?») frente a quien lo vende; antes, euforia tras la primera vuelta. Mucho mensaje automático sin contenido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líneas: «la ejecución justifica la prima» (abril) y «un ROE extraordinario no basta para batir una tasa libre del 14 %» (septiembre), que es la misma objeción que este informe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brasileña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locales ven a Itaú como el banco defensivo ante cualquier resultado electoral; dudas por el 1T26 y por las comisiones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la caída tras la victoria de Lula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viene de la prima de riesgo, no del banco; pero el precio de antes (9,67 USD) ya cotizaba a 2,6 veces el valor contable con un bono al 13 %. Comprar la caída supone que el bono vuelva a bajar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ROE frente a la tasa libre brasileña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cálculo del informe: ROE recurrente − Ke = 1,9-3,0 puntos con el bono al 15,44 %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Itaú como banco defensivo de Brasil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en lo operativo (morosidad 1,9 %, CET1 12,3 %, ROE 24 %), y por eso cayó menos que Bradesco o BB el 26-oct [30].</w:t>
            </w:r>
          </w:p>
        </w:tc>
      </w:tr>
    </w:tbl>
    <w:p>
      <w:pPr>
        <w:spacing w:after="160" w:before="0"/>
      </w:pPr>
    </w:p>
    <w:p>
      <w:pPr>
        <w:spacing w:after="100"/>
      </w:pPr>
      <w:r>
        <w:t xml:space="preserve">El inversor particular estadounidense trata a ITUB como una apuesta táctica a la política brasileña (subió un 24 % con la primera vuelta y cayó un 20 % con la segunda); el analista local lo ve como el refugio dentro de la banca. Nadie en las fuentes leídas discute la calidad del banco; la discusión es el precio frente al coste del capital en reales, que es la tesis de este informe. No hay capitulación: el día de la caída predominaban los mensajes de compra.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31 (14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11,4 %: explica la causa (créditos fiscales, regularizaciones, mezcla de países) y no lo proyectes en el DCF. Explicación: 11,4 % NIIF en 2024: los intereses sobre el capital propio (JCP) son deducibles y la cobertura de las inversiones en el exterior se contabiliza en impuestos [4]. Normal en la banca brasileña. El DCF adaptado usa un 9 %, el de 2025, porque está calibrado para que el beneficio sea ROE × patrimonio; no cambia el valor que manda (residual income sobre beneficio recurrente después de impuestos).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8,8 %: explica la causa (créditos fiscales, regularizaciones, mezcla de países) y no lo proyectes en el DCF. Explicación: 8,8 % NIIF en 2025 por la misma causa (JCP deducible y cobertura cambiaria) [4]. La guía gerencial de 2026 (29,5-32,5 %) es antes de esos efectos [1]. El riesgo es legal: limitar el JCP subiría el tipo; está en riesgos.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19,0 % frente a un ROIC de 20,4 % y un incremental histórico de 31,6 %: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5,00 %. Explicación: El 5,0 % es NOMINAL EN REALES: IPCA de largo plazo del Focus (3,5 % [15]) + 1,5 de crecimiento real. Equivale a un 1,5 % real, dentro de la regla. La tasa libre (15,44 %) y el Ke (21,49 %) están en la misma moneda. En el modelo de exceso de rentabilidad el terminal casi no pesa porque el ROE del año 10 (21,5 %) iguala al Ke.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3T25 y 4T25 y BPA de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MD&amp;A del 2T26 (solo 2T26, 1T26 y 2T25); 2) nota de prensa del 4T25 en la web de RI (403); 3) NeoFeed y prensa (solo el resultado del 4T25)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resultado del 3T25 se deriva y se marca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y coste de la financiación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MD&amp;A 2T26 (no los da en ese formato); 2) 20-F 2025 (notas de captación por plazo, no comparables con el motor); 3) no aplica a un banco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e ingresos y margen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serie del BCB (no separa por banco); 2) MD&amp;A de Itaú (cartera con garantías y títulos privados, perímetro distinto); 3) informes de los rivales (fuera de presupuesto; el margen EBIT no aplica a un banco)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crédito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BCB (sin previsión oficial); 2) Febraban (no consultada a tiempo); 3) Relatório de Economia Bancária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 y remuneración individual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(solo totales del consejo y de la dirección); 2) actas resumidas de la junta en 6-K (no traen el porcentaje); 3) Formulário de Referência 2025 (6-K del 6-ago-2026, no leído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 4 (no aplica a un emisor extranjero); 2) informes mensuales de la CVM (art. 11, no leídos); 3) prensa (sin noticias de compras o ventas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 (P/VC pagado)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(compras propias sin múltiplo publicado: Avenue, NeoSpace no es un banco); 2) prensa de fusiones bancarias en Brasil 2020-2026 (sin P/VC verificable en fuente primaria); 3) notas de las adquirentes (no leídas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(no la da para el ADR); 2) B3 (préstamo de acciones, no leído);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Discussion &amp; Analysis and Complete Financial Statements, 2T26 (BR GAAP gerencial y contable): resultado recurrente, ROE, CET1, morosidad, coste del crédito, margen, segmentos, previsiones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https://www.sec.gov/Archives/edgar/data/1132597/000113259726000223/managementdiscussionanal.htm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Itaú Unibanco registra lucro de R$ 12,4 bilhões e ROE de 24,3 % no segundo trimestre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Itaú Unibanco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https://www.itau.com.br/media/dam/m/4a2ea1e7879ff197/original/itau-unibanco-registra-lucro-de-12-4-bilhoes-e-roe1-24-3-no-segundo-trimestre-de-2026-04-08-26.pdf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(NIIF): cuentas, gobierno (Item 6), accionistas (Item 7), auditor, payout del 72 %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https://www.sec.gov/Archives/edgar/data/1132597/000113259726000132/itub-20251231.htm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del 20-F 2025 (cuenta, balance y flujos NIIF 2023-2025; CET1 y activos ponderados por riesgo)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https://www.sec.gov/Archives/edgar/data/1132597/000113259726000132/itub-20251231_htm.xml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los 20-F 2022 y 2023 y company facts (NIIF 2020-2023)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https://www.sec.gov/Archives/edgar/data/1132597/000129281424001692/itubform20f_2023_htm.xml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Complete Financial Statements in IFRS, 31-dic-2025 (resultado recurrente NIIF, BPA, VC y dividendo por acción reexpresados)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https://www.sec.gov/Archives/edgar/data/1132597/000113259726000059/completefinancialstateme.htm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4T23: resultado recurrente gerencial 2023 (35.618 M) y 2022 (30.786 M), ROE 21,0 % y 20,3 %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https://www.sec.gov/Archives/edgar/data/1132597/000129281424000317/ex99-1.htm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4T21: resultado recurrente gerencial 2021 (26.879 M) y 2020 (18.536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https://www.sec.gov/Archives/edgar/data/1132597/000119312522035752/d294237dex991.htm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MD&amp;A del 4T20: resultado recurrente 2019 (28.363 M), cobertura de la morosidad 320 %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https://www.sec.gov/Archives/edgar/data/1132597/000119312521028105/d127419dex991.htm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bate R$ 46,8 bilhões de lucro anual (resultado recurrente 2025, ROE 23,4 %,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NeoFeed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https://neofeed.com.br/negocios/itau-bate-r-468-bilhoes-de-lucro-anual-e-atinge-o-maior-resultado-da-historia-de-um-banco-brasileiro/en/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Fact: 2026 guidance (revisión de comisiones y seguros a +2,0-5,0 %)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https://www.sec.gov/Archives/edgar/data/1132597/000113259726000219/materialfact_2026guidanc.htm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Fact: acquisition of all shares issued by NeoSpace (2.925 M BRL, pago en parte aplazado)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https://www.sec.gov/Archives/edgar/data/1132597/000113259726000245/materialfact_neospace.htm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Sistema Gerenciador de Séries Temporais, serie 20539: saldo de las operaciones de crédito del sistema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https://api.bcb.gov.br/dados/serie/bcdata.sgs.20539/dados?formato=json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bancos comparables (capitalización, ROE, P/VC, PER adelantado),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https://finance.yahoo.com/quote/ITUB/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Expectativas de mercado (Focus): IPCA y Selic 2026-2030,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https://olinda.bcb.gov.br/olinda/servico/Expectativas/versao/v1/odata/ExpectativasMercadoAnuais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Fact: Stock Buyback Program (hasta 200 M de preferentes, feb-2026 a ago-2027)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https://www.sec.gov/Archives/edgar/data/1132597/000113259726000054/materialfact_stockbuybac.htm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(ITUB, EWZ, BBD; ITUB4.SA, ^BVSP) hasta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https://finance.yahoo.com/quote/ITUB/history/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(precio, consenso, objetivos, P/VC, ROE) de ITUB, ITUB4.SA y comparables,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https://finance.yahoo.com/quote/ITUB4.SA/analysis/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10-Year Bond Yield (15,44 % el 26-oct-2026, +2,46 puntos)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Ibovespa: caída del 13,7 % el 26-oct-2026 (Itaú −13,2 %, Bradesco −21,2 %, Banco do Brasil −27,3 %)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https://tradingeconomics.com/brazil/stock-market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Brazilian Assets Sold Off: Brazil ETFs Drop Over 27% as Lula’s Re-Election Shatters Fiscal Consolidation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https://www.tradingkey.com/analysis/stocks/us-stocks/262239407-brazil-assets-selloff-lula-reelection-etf-banks-oil-stocks-tradingkey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Cotação PTAX do dólar (5,5007 BRL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https://olinda.bcb.gov.br/olinda/servico/PTAX/versao/v1/odata/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(ITUB4): ação cai mais de 10 % desde máximas e analistas veem janela (objetivos de BTG, XP, Bradesco BBI, Genial y BofA)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https://www.moneytimes.com.br/itau-itub4-acao-cai-mais-10-desde-maximas-e-analistas-veem-janela-veja-potencial-rnda/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Lula ou Flávio Bolsonaro? (Santander: Itaú, «la alternativa defensiva más natural», objetivo 51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https://www.seudinheiro.com/2026/empresas/lula-ou-flavio-bolsonaro-veja-a-acao-que-pode-blindar-seus-investimentos-no-segundo-turno-davs/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balanços do 3T26: Itaú publica el 3-nov tras el cierre y conferencia el 4-nov a las 10:00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https://www.seudinheiro.com/2026/economia/temporada-de-balancos-do-3t26-bate-a-porta-veja-as-datas-das-divulgacoes-e-das-teleconferencias-davs/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Fact: acquisition of all shares issued by NeoSpace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Itaú Unibanco Holding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https://www.sec.gov/Archives/edgar/data/1132597/000113259726000245/a6-k_itubx10262026.htm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$ITUB (2 a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https://api.stocktwits.com/api/2/streams/symbol/ITUB.json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análisis y noticias de ITUB (abr-oct 2026), incluido «Itaú Unibanco: Outstanding ROE Isn’t Enough To Beat A 14% Risk-Free Rate»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https://seekingalpha.com/api/sa/combined/ITUB.xml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 y Seu Dinheiro: notas con comentarios de analistas y lectores sobre ITUB4 (mayo y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 / 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https://www.moneytimes.com.br/itau-itub4-acao-cai-mais-10-desde-maximas-e-analistas-veem-janela-veja-potencial-rnda/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 bancaria de Itaú Unibanco: exceso de rentabilidad, P/VC justificado, Ke en reales y sensibilidades (valoracion-banco.md, generado por notas/valoracion-banco.mjs)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84,6 %</w:t>
      </w:r>
      <w:r>
        <w:t xml:space="preserve"> · Secciones con menos del 60 % de campos cubiertos: </w:t>
      </w:r>
      <w:r>
        <w:rPr>
          <w:b/>
          <w:bCs/>
        </w:rPr>
        <w:t xml:space="preserve">gobierno, transacciones</w:t>
      </w:r>
      <w:r>
        <w:t xml:space="preserve"> · Generado el 27 oct 2026.</w:t>
      </w:r>
    </w:p>
    <w:p>
      <w:pPr>
        <w:pStyle w:val="Nota"/>
        <w:spacing w:after="100"/>
      </w:pPr>
      <w:r>
        <w:t xml:space="preserve">ES UN BANCO y el motor no tiene modelo de bancos: EBITDA, ROIC, valor empresa, deuda neta y circulante no significan nada aquí. Adaptaciones: (1) la calidad se mide con ROE recurrente − Ke (coste del capital propio en reales) en lugar de ROIC − WACC, con la misma regla de nunca menos de 4,5 puntos; (2) el valor intrínseco sale de un modelo de exceso de rentabilidad (residual income) con P/VC justificado de contraste (valoracion-banco.md [31]), que entra al 100 % como «suma de partes» con valor directo; (3) el DCF del motor es un flujo para el accionista (beneficio − retención para crecer con el CET1 objetivo, deuda 0) y solo es comprobación (peso 0). Bases contables: la serie histórica del informe es NIIF del 20-F (cuentas.mjs --sec solo devolvía US GAAP de 2007-2010; se leyeron las instancias XBRL del 20-F 2025, 2023 y 2022 [4, 5]); el BPA, el ROE, la regla a 12 meses y el modelo bancario usan el resultado recurrente gerencial BR GAAP, el de referencia del mercado [1, 7, 8, 9, 10]. Millones de BRL. Línea de compra: ADR ITUB en NYSE (7,70 USD al cierre del 26-oct-2026, 1 ADR = 1 preferente ITUB4), convertido a 5,4064 BRL/USD (Yahoo al cierre; PTAX 5,5007 [23]) = 41,63 BRL; ITUB4 cerró a 41,70 BRL en B3 [18]. Se usa el ADR porque es el práctico (IBKR no tiene la suscripción de datos de B3). Yahoo no tenía aún la barra diaria del 26-oct de ITUB4. Último trimestre publicado: 2T26; el 3T26 sale el 3-nov tras el cierre [26].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Itaú Unibanco Holding S.A. (ITUB)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41,63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(37,08 – 50,85)</c:v>
                </c:pt>
                <c:pt idx="1">
                  <c:v>Precio objetivo de los analistas (30,50 – 60,00)</c:v>
                </c:pt>
                <c:pt idx="2">
                  <c:v>Comparables: PER NTM (30,27 – 54,08)</c:v>
                </c:pt>
                <c:pt idx="3">
                  <c:v>DCF (WACC y g ± 0,5) (21,73 – 23,46)</c:v>
                </c:pt>
                <c:pt idx="4">
                  <c:v>Escenarios (bajista – alcista) (16,79 – 25,86)</c:v>
                </c:pt>
                <c:pt idx="5">
                  <c:v>Suma de partes (18,14 – 24,54)</c:v>
                </c:pt>
                <c:pt idx="6">
                  <c:v>DCF con la prima implícita del mercado (4,2 %)</c:v>
                </c:pt>
                <c:pt idx="7">
                  <c:v>Precio actual (41,63)</c:v>
                </c:pt>
              </c:strCache>
            </c:strRef>
          </c:cat>
          <c:val>
            <c:numRef>
              <c:f>Hoja1!$B$2:$B$9</c:f>
              <c:numCache>
                <c:formatCode>#,##0.0</c:formatCode>
                <c:ptCount val="8"/>
                <c:pt idx="0">
                  <c:v>37.08</c:v>
                </c:pt>
                <c:pt idx="1">
                  <c:v>30.5</c:v>
                </c:pt>
                <c:pt idx="2">
                  <c:v>30.27</c:v>
                </c:pt>
                <c:pt idx="3">
                  <c:v>21.73</c:v>
                </c:pt>
                <c:pt idx="4">
                  <c:v>16.79</c:v>
                </c:pt>
                <c:pt idx="5">
                  <c:v>18.14</c:v>
                </c:pt>
                <c:pt idx="6">
                  <c:v>23.84</c:v>
                </c:pt>
                <c:pt idx="7">
                  <c:v>41.42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(37,08 – 50,85)</c:v>
                </c:pt>
                <c:pt idx="1">
                  <c:v>Precio objetivo de los analistas (30,50 – 60,00)</c:v>
                </c:pt>
                <c:pt idx="2">
                  <c:v>Comparables: PER NTM (30,27 – 54,08)</c:v>
                </c:pt>
                <c:pt idx="3">
                  <c:v>DCF (WACC y g ± 0,5) (21,73 – 23,46)</c:v>
                </c:pt>
                <c:pt idx="4">
                  <c:v>Escenarios (bajista – alcista) (16,79 – 25,86)</c:v>
                </c:pt>
                <c:pt idx="5">
                  <c:v>Suma de partes (18,14 – 24,54)</c:v>
                </c:pt>
                <c:pt idx="6">
                  <c:v>DCF con la prima implícita del mercado (4,2 %)</c:v>
                </c:pt>
                <c:pt idx="7">
                  <c:v>Precio actual (41,63)</c:v>
                </c:pt>
              </c:strCache>
            </c:strRef>
          </c:cat>
          <c:val>
            <c:numRef>
              <c:f>Hoja1!$C$2:$C$9</c:f>
              <c:numCache>
                <c:formatCode>#,##0.0</c:formatCode>
                <c:ptCount val="8"/>
                <c:pt idx="0">
                  <c:v>13.770000000000003</c:v>
                </c:pt>
                <c:pt idx="1">
                  <c:v>29.5</c:v>
                </c:pt>
                <c:pt idx="2">
                  <c:v>23.81</c:v>
                </c:pt>
                <c:pt idx="3">
                  <c:v>1.7300000000000004</c:v>
                </c:pt>
                <c:pt idx="4">
                  <c:v>9.07</c:v>
                </c:pt>
                <c:pt idx="5">
                  <c:v>6.399999999999999</c:v>
                </c:pt>
                <c:pt idx="6">
                  <c:v>1.5700000000000003</c:v>
                </c:pt>
                <c:pt idx="7">
                  <c:v>0.4200000000000017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(BRL, millones)</a:t>
            </a:r>
          </a:p>
        </c:rich>
      </c:tx>
      <c:overlay val="0"/>
    </c:title>
    <c:autoTitleDeleted val="0"/>
    <c:plotArea>
      <c:layout/>
      <c:barChart>
        <c:barDir val="col"/>
        <c:grouping val="stacked"/>
        <c:varyColors val="0"/>
        <c:ser>
          <c:idx val="0"/>
          <c:order val="0"/>
          <c:tx>
            <c:strRef>
              <c:f>Hoja1!$B$1</c:f>
              <c:strCache>
                <c:ptCount val="1"/>
                <c:pt idx="0">
                  <c:v>Banca minorista (Varejo)</c:v>
                </c:pt>
              </c:strCache>
            </c:strRef>
          </c:tx>
          <c:spPr>
            <a:solidFill>
              <a:srgbClr val="2A78D6"/>
            </a:solidFill>
            <a:ln w="12700">
              <a:solidFill>
                <a:srgbClr val="FFFFFF"/>
              </a:solidFill>
            </a:ln>
          </c:spPr>
          <c:invertIfNegative val="0"/>
          <c:cat>
            <c:strRef>
              <c:f>Hoja1!$A$2:$A$4</c:f>
              <c:strCache>
                <c:ptCount val="3"/>
                <c:pt idx="0">
                  <c:v>1T26</c:v>
                </c:pt>
                <c:pt idx="1">
                  <c:v>2T25</c:v>
                </c:pt>
                <c:pt idx="2">
                  <c:v>2T26</c:v>
                </c:pt>
              </c:strCache>
            </c:strRef>
          </c:cat>
          <c:val>
            <c:numRef>
              <c:f>Hoja1!$B$2:$B$4</c:f>
              <c:numCache>
                <c:formatCode>#,##0</c:formatCode>
                <c:ptCount val="3"/>
                <c:pt idx="0">
                  <c:v>29439</c:v>
                </c:pt>
                <c:pt idx="1">
                  <c:v>28361</c:v>
                </c:pt>
                <c:pt idx="2">
                  <c:v>30243</c:v>
                </c:pt>
              </c:numCache>
            </c:numRef>
          </c:val>
        </c:ser>
        <c:ser>
          <c:idx val="1"/>
          <c:order val="1"/>
          <c:tx>
            <c:strRef>
              <c:f>Hoja1!$C$1</c:f>
              <c:strCache>
                <c:ptCount val="1"/>
                <c:pt idx="0">
                  <c:v>Banca mayorista (Atacado)</c:v>
                </c:pt>
              </c:strCache>
            </c:strRef>
          </c:tx>
          <c:spPr>
            <a:solidFill>
              <a:srgbClr val="EB6834"/>
            </a:solidFill>
            <a:ln w="12700">
              <a:solidFill>
                <a:srgbClr val="FFFFFF"/>
              </a:solidFill>
            </a:ln>
          </c:spPr>
          <c:invertIfNegative val="0"/>
          <c:cat>
            <c:strRef>
              <c:f>Hoja1!$A$2:$A$4</c:f>
              <c:strCache>
                <c:ptCount val="3"/>
                <c:pt idx="0">
                  <c:v>1T26</c:v>
                </c:pt>
                <c:pt idx="1">
                  <c:v>2T25</c:v>
                </c:pt>
                <c:pt idx="2">
                  <c:v>2T26</c:v>
                </c:pt>
              </c:strCache>
            </c:strRef>
          </c:cat>
          <c:val>
            <c:numRef>
              <c:f>Hoja1!$C$2:$C$4</c:f>
              <c:numCache>
                <c:formatCode>#,##0</c:formatCode>
                <c:ptCount val="3"/>
                <c:pt idx="0">
                  <c:v>15094</c:v>
                </c:pt>
                <c:pt idx="1">
                  <c:v>15138</c:v>
                </c:pt>
                <c:pt idx="2">
                  <c:v>15225</c:v>
                </c:pt>
              </c:numCache>
            </c:numRef>
          </c:val>
        </c:ser>
        <c:ser>
          <c:idx val="2"/>
          <c:order val="2"/>
          <c:tx>
            <c:strRef>
              <c:f>Hoja1!$D$1</c:f>
              <c:strCache>
                <c:ptCount val="1"/>
                <c:pt idx="0">
                  <c:v>Mercado y corporación</c:v>
                </c:pt>
              </c:strCache>
            </c:strRef>
          </c:tx>
          <c:spPr>
            <a:solidFill>
              <a:srgbClr val="1BAF7A"/>
            </a:solidFill>
            <a:ln w="12700">
              <a:solidFill>
                <a:srgbClr val="FFFFFF"/>
              </a:solidFill>
            </a:ln>
          </c:spPr>
          <c:invertIfNegative val="0"/>
          <c:cat>
            <c:strRef>
              <c:f>Hoja1!$A$2:$A$4</c:f>
              <c:strCache>
                <c:ptCount val="3"/>
                <c:pt idx="0">
                  <c:v>1T26</c:v>
                </c:pt>
                <c:pt idx="1">
                  <c:v>2T25</c:v>
                </c:pt>
                <c:pt idx="2">
                  <c:v>2T26</c:v>
                </c:pt>
              </c:strCache>
            </c:strRef>
          </c:cat>
          <c:val>
            <c:numRef>
              <c:f>Hoja1!$D$2:$D$4</c:f>
              <c:numCache>
                <c:formatCode>#,##0</c:formatCode>
                <c:ptCount val="3"/>
                <c:pt idx="0">
                  <c:v>2289</c:v>
                </c:pt>
                <c:pt idx="1">
                  <c:v>2330</c:v>
                </c:pt>
                <c:pt idx="2">
                  <c:v>2517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(2T26)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Banca minorista (Varejo)</c:v>
                </c:pt>
                <c:pt idx="1">
                  <c:v>Banca mayorista (Atacado)</c:v>
                </c:pt>
                <c:pt idx="2">
                  <c:v>Mercado y corporación</c:v>
                </c:pt>
              </c:strCache>
            </c:strRef>
          </c:cat>
          <c:val>
            <c:numRef>
              <c:f>Hoja1!$B$2:$B$4</c:f>
              <c:numCache>
                <c:formatCode>General</c:formatCode>
                <c:ptCount val="3"/>
                <c:pt idx="0">
                  <c:v>63</c:v>
                </c:pt>
                <c:pt idx="1">
                  <c:v>31.7</c:v>
                </c:pt>
                <c:pt idx="2">
                  <c:v>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Brasil (con unidades en el exterior fuera de América Latina)</c:v>
                </c:pt>
                <c:pt idx="1">
                  <c:v>América Latina (Chile, Colombia, Uruguay, Paraguay, Argentina)</c:v>
                </c:pt>
              </c:strCache>
            </c:strRef>
          </c:cat>
          <c:val>
            <c:numRef>
              <c:f>Hoja1!$B$2:$B$3</c:f>
              <c:numCache>
                <c:formatCode>0"%"</c:formatCode>
                <c:ptCount val="2"/>
                <c:pt idx="0">
                  <c:v>92.2</c:v>
                </c:pt>
                <c:pt idx="1">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BRL)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3476</c:v>
                </c:pt>
                <c:pt idx="1">
                  <c:v>4021</c:v>
                </c:pt>
                <c:pt idx="2">
                  <c:v>4683</c:v>
                </c:pt>
                <c:pt idx="3">
                  <c:v>5366</c:v>
                </c:pt>
                <c:pt idx="4">
                  <c:v>5805</c:v>
                </c:pt>
                <c:pt idx="5">
                  <c:v>6465</c:v>
                </c:pt>
                <c:pt idx="6">
                  <c:v>7137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Itaú Unibanco</c:v>
                </c:pt>
                <c:pt idx="1">
                  <c:v>Banco do Brasil</c:v>
                </c:pt>
                <c:pt idx="2">
                  <c:v>Bradesco</c:v>
                </c:pt>
                <c:pt idx="3">
                  <c:v>Santander Brasil</c:v>
                </c:pt>
                <c:pt idx="4">
                  <c:v>BTG Pactual</c:v>
                </c:pt>
                <c:pt idx="5">
                  <c:v>Nubank (Nu Holdings)</c:v>
                </c:pt>
                <c:pt idx="6">
                  <c:v>Caixa Econômica Federal</c:v>
                </c:pt>
              </c:strCache>
            </c:strRef>
          </c:cat>
          <c:val>
            <c:numRef>
              <c:f>Hoja1!$B$2:$B$8</c:f>
              <c:numCache>
                <c:formatCode>0.0"%"</c:formatCode>
                <c:ptCount val="7"/>
                <c:pt idx="0">
                  <c:v>35.1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(BRL,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111995</c:v>
                </c:pt>
                <c:pt idx="1">
                  <c:v>114542</c:v>
                </c:pt>
                <c:pt idx="2">
                  <c:v>124526</c:v>
                </c:pt>
                <c:pt idx="3">
                  <c:v>135739</c:v>
                </c:pt>
                <c:pt idx="4">
                  <c:v>138947</c:v>
                </c:pt>
                <c:pt idx="5">
                  <c:v>150063</c:v>
                </c:pt>
                <c:pt idx="6">
                  <c:v>162068</c:v>
                </c:pt>
                <c:pt idx="7">
                  <c:v>174223</c:v>
                </c:pt>
                <c:pt idx="8">
                  <c:v>186418</c:v>
                </c:pt>
                <c:pt idx="9">
                  <c:v>198536</c:v>
                </c:pt>
                <c:pt idx="10">
                  <c:v>210845</c:v>
                </c:pt>
                <c:pt idx="11">
                  <c:v>223285</c:v>
                </c:pt>
                <c:pt idx="12">
                  <c:v>235789</c:v>
                </c:pt>
                <c:pt idx="13">
                  <c:v>248285</c:v>
                </c:pt>
                <c:pt idx="14">
                  <c:v>260700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41067</c:v>
                </c:pt>
                <c:pt idx="1">
                  <c:v>36022</c:v>
                </c:pt>
                <c:pt idx="2">
                  <c:v>38780</c:v>
                </c:pt>
                <c:pt idx="3">
                  <c:v>46509</c:v>
                </c:pt>
                <c:pt idx="4">
                  <c:v>48833</c:v>
                </c:pt>
                <c:pt idx="5">
                  <c:v>55073</c:v>
                </c:pt>
                <c:pt idx="6">
                  <c:v>58182</c:v>
                </c:pt>
                <c:pt idx="7">
                  <c:v>61675</c:v>
                </c:pt>
                <c:pt idx="8">
                  <c:v>64874</c:v>
                </c:pt>
                <c:pt idx="9">
                  <c:v>67899</c:v>
                </c:pt>
                <c:pt idx="10">
                  <c:v>71687</c:v>
                </c:pt>
                <c:pt idx="11">
                  <c:v>75470</c:v>
                </c:pt>
                <c:pt idx="12">
                  <c:v>78989</c:v>
                </c:pt>
                <c:pt idx="13">
                  <c:v>82679</c:v>
                </c:pt>
                <c:pt idx="14">
                  <c:v>86292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36.7</c:v>
                </c:pt>
                <c:pt idx="1">
                  <c:v>31.4</c:v>
                </c:pt>
                <c:pt idx="2">
                  <c:v>31.1</c:v>
                </c:pt>
                <c:pt idx="3">
                  <c:v>34.3</c:v>
                </c:pt>
                <c:pt idx="4">
                  <c:v>35.1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36.7</c:v>
                </c:pt>
                <c:pt idx="1">
                  <c:v>31.4</c:v>
                </c:pt>
                <c:pt idx="2">
                  <c:v>31.1</c:v>
                </c:pt>
                <c:pt idx="3">
                  <c:v>34.3</c:v>
                </c:pt>
                <c:pt idx="4">
                  <c:v>35.1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23.9</c:v>
                </c:pt>
                <c:pt idx="1">
                  <c:v>25.5</c:v>
                </c:pt>
                <c:pt idx="2">
                  <c:v>26.6</c:v>
                </c:pt>
                <c:pt idx="3">
                  <c:v>30.3</c:v>
                </c:pt>
                <c:pt idx="4">
                  <c:v>32.3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4.5</c:v>
                </c:pt>
                <c:pt idx="5">
                  <c:v>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(BRL,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26760</c:v>
                </c:pt>
                <c:pt idx="1">
                  <c:v>29207</c:v>
                </c:pt>
                <c:pt idx="2">
                  <c:v>33105</c:v>
                </c:pt>
                <c:pt idx="3">
                  <c:v>41085</c:v>
                </c:pt>
                <c:pt idx="4">
                  <c:v>44857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26760</c:v>
                </c:pt>
                <c:pt idx="1">
                  <c:v>29207</c:v>
                </c:pt>
                <c:pt idx="2">
                  <c:v>33105</c:v>
                </c:pt>
                <c:pt idx="3">
                  <c:v>41085</c:v>
                </c:pt>
                <c:pt idx="4">
                  <c:v>44857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16.8</c:v>
                </c:pt>
                <c:pt idx="1">
                  <c:v>17.4</c:v>
                </c:pt>
                <c:pt idx="2">
                  <c:v>17.6</c:v>
                </c:pt>
                <c:pt idx="3">
                  <c:v>19.6</c:v>
                </c:pt>
                <c:pt idx="4">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21.5</c:v>
                </c:pt>
                <c:pt idx="1">
                  <c:v>21.5</c:v>
                </c:pt>
                <c:pt idx="2">
                  <c:v>21.5</c:v>
                </c:pt>
                <c:pt idx="3">
                  <c:v>21.5</c:v>
                </c:pt>
                <c:pt idx="4">
                  <c:v>21.5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18.2</c:v>
                </c:pt>
                <c:pt idx="2">
                  <c:v>18.5</c:v>
                </c:pt>
                <c:pt idx="3">
                  <c:v>20.5</c:v>
                </c:pt>
                <c:pt idx="4">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(BRL,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6267</c:v>
                </c:pt>
                <c:pt idx="1">
                  <c:v>6706</c:v>
                </c:pt>
                <c:pt idx="2">
                  <c:v>10348</c:v>
                </c:pt>
                <c:pt idx="3">
                  <c:v>21314</c:v>
                </c:pt>
                <c:pt idx="4">
                  <c:v>48299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2">
                  <c:v>689</c:v>
                </c:pt>
                <c:pt idx="3">
                  <c:v>1775</c:v>
                </c:pt>
                <c:pt idx="4">
                  <c:v>3085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5</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IUPAR (Itaúsa y Cia. E. Johnston / familias Setubal, Villela y Moreira Salles)</c:v>
                </c:pt>
                <c:pt idx="1">
                  <c:v>Itaúsa (directo, además de IUPAR)</c:v>
                </c:pt>
                <c:pt idx="2">
                  <c:v>Flotante (preferentes ITUB4 y ADR ITUB)</c:v>
                </c:pt>
              </c:strCache>
            </c:strRef>
          </c:cat>
          <c:val>
            <c:numRef>
              <c:f>Hoja1!$B$2:$B$4</c:f>
              <c:numCache>
                <c:formatCode>0.0"%"</c:formatCode>
                <c:ptCount val="3"/>
                <c:pt idx="0">
                  <c:v>26.35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84.3</c:v>
                </c:pt>
                <c:pt idx="1">
                  <c:v>31.3</c:v>
                </c:pt>
                <c:pt idx="2">
                  <c:v>12.5</c:v>
                </c:pt>
                <c:pt idx="3">
                  <c:v>8.3</c:v>
                </c:pt>
                <c:pt idx="4">
                  <c:v>-30.6</c:v>
                </c:pt>
                <c:pt idx="5">
                  <c:v>-22.6</c:v>
                </c:pt>
                <c:pt idx="6">
                  <c:v>30.8</c:v>
                </c:pt>
                <c:pt idx="7">
                  <c:v>54.7</c:v>
                </c:pt>
                <c:pt idx="8">
                  <c:v>-23.1</c:v>
                </c:pt>
                <c:pt idx="9">
                  <c:v>85.7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64.5</c:v>
                </c:pt>
                <c:pt idx="1">
                  <c:v>23.6</c:v>
                </c:pt>
                <c:pt idx="2">
                  <c:v>-2.5</c:v>
                </c:pt>
                <c:pt idx="3">
                  <c:v>27.7</c:v>
                </c:pt>
                <c:pt idx="4">
                  <c:v>-20.4</c:v>
                </c:pt>
                <c:pt idx="5">
                  <c:v>-17.3</c:v>
                </c:pt>
                <c:pt idx="6">
                  <c:v>12.1</c:v>
                </c:pt>
                <c:pt idx="7">
                  <c:v>32.6</c:v>
                </c:pt>
                <c:pt idx="8">
                  <c:v>-30.4</c:v>
                </c:pt>
                <c:pt idx="9">
                  <c:v>48.8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5.3</c:v>
                </c:pt>
                <c:pt idx="1">
                  <c:v>7</c:v>
                </c:pt>
                <c:pt idx="2">
                  <c:v>8.8</c:v>
                </c:pt>
                <c:pt idx="3">
                  <c:v>6.7</c:v>
                </c:pt>
                <c:pt idx="4">
                  <c:v>9.1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c:v>
                </c:pt>
                <c:pt idx="1">
                  <c:v>7</c:v>
                </c:pt>
                <c:pt idx="2">
                  <c:v>7</c:v>
                </c:pt>
                <c:pt idx="3">
                  <c:v>7</c:v>
                </c:pt>
                <c:pt idx="4">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(BRL,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33760</c:v>
                </c:pt>
                <c:pt idx="1">
                  <c:v>35281</c:v>
                </c:pt>
                <c:pt idx="2">
                  <c:v>38179</c:v>
                </c:pt>
                <c:pt idx="3">
                  <c:v>41139</c:v>
                </c:pt>
                <c:pt idx="4">
                  <c:v>43920</c:v>
                </c:pt>
                <c:pt idx="5">
                  <c:v>47103</c:v>
                </c:pt>
                <c:pt idx="6">
                  <c:v>50369</c:v>
                </c:pt>
                <c:pt idx="7">
                  <c:v>53489</c:v>
                </c:pt>
                <c:pt idx="8">
                  <c:v>56865</c:v>
                </c:pt>
                <c:pt idx="9">
                  <c:v>60276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(BRL,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184237</c:v>
                </c:pt>
                <c:pt idx="1">
                  <c:v>64308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(BRL) · precio actual 41,63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16.79</c:v>
                </c:pt>
                <c:pt idx="1">
                  <c:v>22.55</c:v>
                </c:pt>
                <c:pt idx="2">
                  <c:v>25.86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41,63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(37,08 – 50,85)</c:v>
                </c:pt>
                <c:pt idx="1">
                  <c:v>Precio objetivo de los analistas (30,50 – 60,00)</c:v>
                </c:pt>
                <c:pt idx="2">
                  <c:v>Comparables: PER NTM (30,27 – 54,08)</c:v>
                </c:pt>
                <c:pt idx="3">
                  <c:v>DCF (WACC y g ± 0,5) (21,73 – 23,46)</c:v>
                </c:pt>
                <c:pt idx="4">
                  <c:v>Escenarios (bajista – alcista) (16,79 – 25,86)</c:v>
                </c:pt>
                <c:pt idx="5">
                  <c:v>Suma de partes (18,14 – 24,54)</c:v>
                </c:pt>
                <c:pt idx="6">
                  <c:v>DCF con la prima implícita del mercado (4,2 %)</c:v>
                </c:pt>
                <c:pt idx="7">
                  <c:v>Precio actual (41,63)</c:v>
                </c:pt>
              </c:strCache>
            </c:strRef>
          </c:cat>
          <c:val>
            <c:numRef>
              <c:f>Hoja1!$B$2:$B$9</c:f>
              <c:numCache>
                <c:formatCode>#,##0.0</c:formatCode>
                <c:ptCount val="8"/>
                <c:pt idx="0">
                  <c:v>37.08</c:v>
                </c:pt>
                <c:pt idx="1">
                  <c:v>30.5</c:v>
                </c:pt>
                <c:pt idx="2">
                  <c:v>30.27</c:v>
                </c:pt>
                <c:pt idx="3">
                  <c:v>21.73</c:v>
                </c:pt>
                <c:pt idx="4">
                  <c:v>16.79</c:v>
                </c:pt>
                <c:pt idx="5">
                  <c:v>18.14</c:v>
                </c:pt>
                <c:pt idx="6">
                  <c:v>23.84</c:v>
                </c:pt>
                <c:pt idx="7">
                  <c:v>41.42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(37,08 – 50,85)</c:v>
                </c:pt>
                <c:pt idx="1">
                  <c:v>Precio objetivo de los analistas (30,50 – 60,00)</c:v>
                </c:pt>
                <c:pt idx="2">
                  <c:v>Comparables: PER NTM (30,27 – 54,08)</c:v>
                </c:pt>
                <c:pt idx="3">
                  <c:v>DCF (WACC y g ± 0,5) (21,73 – 23,46)</c:v>
                </c:pt>
                <c:pt idx="4">
                  <c:v>Escenarios (bajista – alcista) (16,79 – 25,86)</c:v>
                </c:pt>
                <c:pt idx="5">
                  <c:v>Suma de partes (18,14 – 24,54)</c:v>
                </c:pt>
                <c:pt idx="6">
                  <c:v>DCF con la prima implícita del mercado (4,2 %)</c:v>
                </c:pt>
                <c:pt idx="7">
                  <c:v>Precio actual (41,63)</c:v>
                </c:pt>
              </c:strCache>
            </c:strRef>
          </c:cat>
          <c:val>
            <c:numRef>
              <c:f>Hoja1!$C$2:$C$9</c:f>
              <c:numCache>
                <c:formatCode>#,##0.0</c:formatCode>
                <c:ptCount val="8"/>
                <c:pt idx="0">
                  <c:v>13.770000000000003</c:v>
                </c:pt>
                <c:pt idx="1">
                  <c:v>29.5</c:v>
                </c:pt>
                <c:pt idx="2">
                  <c:v>23.81</c:v>
                </c:pt>
                <c:pt idx="3">
                  <c:v>1.7300000000000004</c:v>
                </c:pt>
                <c:pt idx="4">
                  <c:v>9.07</c:v>
                </c:pt>
                <c:pt idx="5">
                  <c:v>6.399999999999999</c:v>
                </c:pt>
                <c:pt idx="6">
                  <c:v>1.5700000000000003</c:v>
                </c:pt>
                <c:pt idx="7">
                  <c:v>0.4200000000000017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