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Sabesp (Cia. de Saneamento de SP)</w:t>
      </w:r>
    </w:p>
    <w:p>
      <w:pPr>
        <w:spacing w:after="60"/>
        <w:rPr>
          <w:color w:val="52514E"/>
          <w:sz w:val="22"/>
          <w:szCs w:val="22"/>
        </w:rPr>
      </w:pPr>
      <w:r>
        <w:rPr>
          <w:color w:val="52514E"/>
          <w:sz w:val="22"/>
          <w:szCs w:val="22"/>
        </w:rPr>
        <w:t xml:space="preserve">SBSP3 · B3 (Novo Mercado); ADS en la NYSE (SBS) · ISIN BRSBSPACNOR5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BRL</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25,27 BRL</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25,42 BRL</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+2,9 % (base +8,7 %)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14,46 BRL · mercado 15,84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89.142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Sabesp (Cia. de Saneamento de SP)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SBSP3 / BRSBSPACNOR5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 (Novo Mercado); ADS en la NYSE (SBS)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Ibovespa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Water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São Paulo (Brasil)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https://ri.sabesp.com.br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25,27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 – 35,32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89.142 M BRL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130.441 M BRL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653 M BRL/día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25,42 BRL</w:t>
      </w:r>
      <w:r>
        <w:t xml:space="preserve"> frente a 25,27 · Rentabilidad a 12 meses </w:t>
      </w:r>
      <w:r>
        <w:rPr>
          <w:b/>
          <w:bCs/>
        </w:rPr>
        <w:t xml:space="preserve">+2,9 % (base +8,7 %)</w:t>
      </w:r>
      <w:r>
        <w:t xml:space="preserve"> · Valor intrínseco 14,46 BRL · con la prima implícita del mercado: 15,84 (-37,3 %) · Alcista / bajista -31,5 % / -86,3 %</w:t>
      </w:r>
    </w:p>
    <w:p>
      <w:pPr>
        <w:spacing w:after="100"/>
      </w:pPr>
      <w:r>
        <w:rPr>
          <w:b/>
        </w:rPr>
        <w:t xml:space="preserve">La recomendación y por qué.</w:t>
      </w:r>
      <w:r>
        <w:t xml:space="preserve"> Mantener, con convicción media, y no apta para comprar por la regla de calidad. La regla a 12 meses da un objetivo ponderado de 25,42 BRL y una rentabilidad del 2,9 % (8,7 % el base, con dividendo), lejos del 15 % que pide una compra; el valor intrínseco es de 14,46 BRL, un 42,8 % por debajo del precio de 25,27 (cierre del 26-oct en B3; el ADS cerró a 4,73 USD). El objetivo medio de los analistas, 34,60 BRL, es anterior a las elecciones y queda por encima de nuestro alcista a 12 meses (33,54). La convicción es media porque la señal de Mantener no está cerca de ningún umbral; bajaría si el 3T26 (5-nov) muestra un resultado financiero por encima de 1.200 M.</w:t>
      </w:r>
    </w:p>
    <w:p>
      <w:pPr>
        <w:spacing w:after="100"/>
      </w:pPr>
      <w:r>
        <w:rPr>
          <w:b/>
        </w:rPr>
        <w:t xml:space="preserve">El negocio.</w:t>
      </w:r>
      <w:r>
        <w:t xml:space="preserve"> Sabesp es un monopolio regulado de agua en São Paulo con concesión hasta 2060, que tras la privatización de 2024 pasó de un margen EBITDA ajustado del 42 % en 2021 al 59,5 % en 2025 y duplicó la inversión (15.202 M en 2025) [2]. La tarifa remunera la base de activos regulada al 7,86 % real [11]. Su ROIC es del 13,0 % y su WACC en reales del 15,7 %: ROIC − WACC = −2,7 puntos, por debajo del mínimo de 4,5 que exige el método y sin excepción posible. Con la tasa libre de antes de las elecciones seguiría en −1,2; el −8,0 del escáner del 26-oct contaba dos veces el riesgo país. La sostenibilidad es «Sí»: el contrato y la indexación al IPCA financian el crecimiento proyectado; lo que no hay es creación de valor con los tipos de hoy.</w:t>
      </w:r>
    </w:p>
    <w:p>
      <w:pPr>
        <w:spacing w:after="100"/>
      </w:pPr>
      <w:r>
        <w:rPr>
          <w:b/>
        </w:rPr>
        <w:t xml:space="preserve">Sector y ciclo.</w:t>
      </w:r>
      <w:r>
        <w:t xml:space="preserve"> La victoria de Lula el 25-oct no cambia el poder concedente: Tarcísio, que privatizó Sabesp, fue reelegido gobernador el 4-oct [27]. Lo que cambia es federal: el bono a 10 años subió de 12,98 % a 15,44 % [20], el real cayó un 9 % y el Ibovespa un 13,9 % [23]; Brasilia puede tocar decretos del Marco Legal, no el contrato estatal.</w:t>
      </w:r>
    </w:p>
    <w:p>
      <w:pPr>
        <w:spacing w:after="100"/>
      </w:pPr>
      <w:r>
        <w:rPr>
          <w:b/>
        </w:rPr>
        <w:t xml:space="preserve">Finanzas.</w:t>
      </w:r>
      <w:r>
        <w:t xml:space="preserve"> El FCF es negativo y lo será hasta 2029: la deuda neta pasó de 19.100 M a 34.200 M en 18 meses [2, 4] y el BPA ajustado del 2T26 cayó un 41 % por los intereses. Se usa la cuenta ajustada: sin ingresos de construcción (14.437 M en 2025, sin margen) ni la actualización del activo financiero [2].</w:t>
      </w:r>
    </w:p>
    <w:p>
      <w:pPr>
        <w:spacing w:after="100"/>
      </w:pPr>
      <w:r>
        <w:rPr>
          <w:b/>
        </w:rPr>
        <w:t xml:space="preserve">Equipo y gobierno.</w:t>
      </w:r>
      <w:r>
        <w:t xml:space="preserve"> Sin accionista de control (límite de voto del 30 %), con Equatorial (15 %) como accionista de referencia y el Estado (18 %) con acción especial [1].</w:t>
      </w:r>
    </w:p>
    <w:p>
      <w:pPr>
        <w:spacing w:after="100"/>
      </w:pPr>
      <w:r>
        <w:rPr>
          <w:b/>
        </w:rPr>
        <w:t xml:space="preserve">Valoración.</w:t>
      </w:r>
      <w:r>
        <w:t xml:space="preserve"> El DCF da 10,70 BRL con un WACC del 15,7 % (15,14 BRL con la tasa libre de antes de las elecciones: la mitad de la distancia es de tasa). El precio descuenta una rentabilidad anual del 11,9 %, casi la regulatoria, o un crecimiento del 15,2 % anual frente al 7,7 % de nuestro base. Los comparables dan 29,73 BRL por PER; el EV es ≈ 1,15 veces la base de activos estimada.</w:t>
      </w:r>
    </w:p>
    <w:p>
      <w:pPr>
        <w:spacing w:after="100"/>
      </w:pPr>
      <w:r>
        <w:rPr>
          <w:b/>
        </w:rPr>
        <w:t xml:space="preserve">Riesgos y catalizadores.</w:t>
      </w:r>
      <w:r>
        <w:t xml:space="preserve"> Tipos altos durante años (−30 % del DCF con los 2,46 puntos de la semana), deuda en CDI creciente y el riesgo político estatal de 2030. Catalizadores: 3T26 el 5-nov, reajuste tarifario de 2027 en diciembre y Copom.</w:t>
      </w:r>
    </w:p>
    <w:p>
      <w:pPr>
        <w:spacing w:after="100"/>
      </w:pPr>
      <w:r>
        <w:rPr>
          <w:b/>
        </w:rPr>
        <w:t xml:space="preserve">Qué cambiaría la decisión.</w:t>
      </w:r>
      <w:r>
        <w:t xml:space="preserve"> Vender por encima de 28,91 BRL (ponderada ≤ −10 %); por la regla de 12 meses la compra empezaría por debajo de 14,46 BRL, pero no habría compra mientras ROIC − WACC sea inferior a 4,5: haría falta una tasa libre en reales cerca del 10 % o un ROIC del 20 %. También un reajuste de 2027 por debajo del +15 % o un resultado financiero por encima de 1.200 M al trimestre.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25,42 BRL</w:t>
      </w:r>
      <w:r>
        <w:t xml:space="preserve"> (rentabilidad +2,9 % (base +8,7 %)) · Valor intrínseco: 14,46 BRL (-42,8 % sobre 25,27) · con la prima implícita del mercado: 15,84 (-37,3 %)</w:t>
      </w:r>
    </w:p>
    <w:p>
      <w:pPr>
        <w:spacing w:after="100"/>
      </w:pPr>
      <w:r>
        <w:t xml:space="preserve">Sabesp es la mayor empresa de saneamiento de América Latina: 28 millones de clientes, concesión exclusiva hasta 2060 y una tarifa que remunera su base de activos (88.000 M en 2024 [10]) al 7,86 % real [11]. La privatización de 2024 la convirtió en una máquina de eficiencia (margen EBITDA ajustado del 59,5 % en 2025 [2]) y de inversión (≈ 70.000 M hasta 2029 [12]).</w:t>
      </w:r>
    </w:p>
    <w:p>
      <w:pPr>
        <w:spacing w:after="100"/>
      </w:pPr>
      <w:r>
        <w:t xml:space="preserve">El precio de 25,27 BRL descuenta una rentabilidad anual del 11,9 %, casi la regulatoria: el mercado la valora como un bono indexado a la base de activos (EV/BAR ≈ 1,15 veces) y a 13,2 veces nuestro BPA de 2027e. Nuestro WACC en reales, con el bono a 10 años al 15,4 % tras la victoria de Lula, es del 15,7 %: el DCF da 10,70 BRL.</w:t>
      </w:r>
    </w:p>
    <w:p>
      <w:pPr>
        <w:spacing w:after="100"/>
      </w:pPr>
      <w:r>
        <w:t xml:space="preserve">El mercado acierta en que el negocio es sólido y crece; se equivoca, a nuestro juicio, en el coste de capital, o apuesta a que los tipos en reales bajarán. Para invertir hay que creer que la tasa libre volverá al 10-11 % en dos o tres años: es una apuesta macro, no de empresa, y la calidad (ROIC − WACC = −2,7) no pasa el filtro del método.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1,67 = 14,36 · 12,0x × 2,24 = 26,88 · 12,9x × 2,60 = 33,54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 (nuestro base -22,3 %)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 / -86,3 %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frente a 15,7 % y 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15,0 %)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financiable al ROIC actual: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14,46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14,46 y 28,91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28,91 BRL (ponderada a 12 meses ≤ −10 %), pasaríamos a Vender.</w:t>
      </w:r>
    </w:p>
    <w:p>
      <w:pPr>
        <w:pStyle w:val="ListParagraph"/>
        <w:numPr>
          <w:ilvl w:val="0"/>
          <w:numId w:val="2"/>
        </w:numPr>
        <w:spacing w:after="60"/>
      </w:pPr>
      <w:r>
        <w:t xml:space="preserve">Si el reajuste de 2027 queda por debajo del +15 % de ingresos, revisaríamos el BPA a la baja.</w:t>
      </w:r>
    </w:p>
    <w:p>
      <w:pPr>
        <w:pStyle w:val="ListParagraph"/>
        <w:numPr>
          <w:ilvl w:val="0"/>
          <w:numId w:val="2"/>
        </w:numPr>
        <w:spacing w:after="60"/>
      </w:pPr>
      <w:r>
        <w:t xml:space="preserve">Si el resultado financiero del 3T26 o del 4T26 supera 1.200 M, rebajaríamos el BPA de 2027e.</w:t>
      </w:r>
    </w:p>
    <w:p>
      <w:pPr>
        <w:pStyle w:val="ListParagraph"/>
        <w:numPr>
          <w:ilvl w:val="0"/>
          <w:numId w:val="2"/>
        </w:numPr>
        <w:spacing w:after="60"/>
      </w:pPr>
      <w:r>
        <w:t xml:space="preserve">Solo con ROIC − WACC ≥ 4,5 (tasa libre en reales ≈ 10 % o menos) podría ser compra: hoy no lo es a ningún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Sabesp es una regulada de calidad que crecerá con su base de activos y que los tipos en reales bajarán: paga 12-13 veces el beneficio y ≈ 1,15 veces la base de activos, con una rentabilidad implícita del 11,9 %.</w:t>
      </w:r>
    </w:p>
    <w:p>
      <w:pPr>
        <w:keepNext/>
        <w:spacing w:after="100"/>
      </w:pPr>
      <w:r>
        <w:rPr>
          <w:b/>
          <w:bCs/>
        </w:rPr>
        <w:t xml:space="preserve">Lo que creemos nosotros.</w:t>
      </w:r>
    </w:p>
    <w:p>
      <w:pPr>
        <w:spacing w:after="100"/>
      </w:pPr>
      <w:r>
        <w:t xml:space="preserve">El crecimiento es seguro, pero la tarifa remunera la inversión al 7,86 % real y la financia con deuda en CDI: con la tasa libre al 15,4 % cada real invertido rinde menos de lo que cuesta. No es una oportunidad tras la caída del 21 %; es un precio que sigue dependiendo de que bajen los tipos.</w:t>
      </w:r>
    </w:p>
    <w:p>
      <w:pPr>
        <w:keepNext/>
        <w:spacing w:after="100"/>
      </w:pPr>
      <w:r>
        <w:rPr>
          <w:b/>
          <w:bCs/>
        </w:rPr>
        <w:t xml:space="preserve">Por qué podemos tener razón.</w:t>
      </w:r>
    </w:p>
    <w:p>
      <w:pPr>
        <w:spacing w:after="100"/>
      </w:pPr>
      <w:r>
        <w:t xml:space="preserve">La caída del 26-oct fue de tasa, no de negocio, y nuestro DCF ya incorpora la tasa nueva. El consenso y los objetivos de los analistas (34,60 BRL) son anteriores a las elecciones y aún no recogen el coste de la deuda.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BRL) · precio actual 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Contrato hasta 2060</w:t>
      </w:r>
      <w:r>
        <w:t xml:space="preserve"> con tarifa indexada al IPCA y base de activos actualizada cada año (88.000 M en 2024).</w:t>
      </w:r>
    </w:p>
    <w:p>
      <w:pPr>
        <w:pStyle w:val="ListParagraph"/>
        <w:numPr>
          <w:ilvl w:val="0"/>
          <w:numId w:val="2"/>
        </w:numPr>
        <w:spacing w:after="60"/>
      </w:pPr>
      <w:r>
        <w:rPr>
          <w:b/>
        </w:rPr>
        <w:t xml:space="preserve">Eficiencia demostrada</w:t>
      </w:r>
      <w:r>
        <w:t xml:space="preserve">: margen EBITDA ajustado del 42 % en 2021 al 59,5 % en 2025 y −17 % de plantilla.</w:t>
      </w:r>
    </w:p>
    <w:p>
      <w:pPr>
        <w:pStyle w:val="ListParagraph"/>
        <w:numPr>
          <w:ilvl w:val="0"/>
          <w:numId w:val="2"/>
        </w:numPr>
        <w:spacing w:after="60"/>
      </w:pPr>
      <w:r>
        <w:rPr>
          <w:b/>
        </w:rPr>
        <w:t xml:space="preserve">Gobierno estatal favorable</w:t>
      </w:r>
      <w:r>
        <w:t xml:space="preserve"> hasta 2030: Tarcísio reelegido el 4-oct con ≈ 64 % de los votos.</w:t>
      </w:r>
    </w:p>
    <w:p>
      <w:pPr>
        <w:pStyle w:val="ListParagraph"/>
        <w:numPr>
          <w:ilvl w:val="0"/>
          <w:numId w:val="2"/>
        </w:numPr>
        <w:spacing w:after="60"/>
      </w:pPr>
      <w:r>
        <w:rPr>
          <w:b/>
        </w:rPr>
        <w:t xml:space="preserve">Crecimiento contratado</w:t>
      </w:r>
      <w:r>
        <w:t xml:space="preserve">: ingresos +12 % en 2026e y +19 % en 2027e por el capex reconocido.</w:t>
      </w:r>
    </w:p>
    <w:p>
      <w:pPr>
        <w:pStyle w:val="ListParagraph"/>
        <w:numPr>
          <w:ilvl w:val="0"/>
          <w:numId w:val="2"/>
        </w:numPr>
        <w:spacing w:after="60"/>
      </w:pPr>
      <w:r>
        <w:rPr>
          <w:b/>
        </w:rPr>
        <w:t xml:space="preserve">Sin accionista de control</w:t>
      </w:r>
      <w:r>
        <w:t xml:space="preserve"> y con un inversor de referencia (Equatorial, 15 %) atado hasta 2035.</w:t>
      </w:r>
    </w:p>
    <w:p>
      <w:pPr>
        <w:pStyle w:val="Heading2"/>
      </w:pPr>
      <w:r>
        <w:t xml:space="preserve">En contra</w:t>
      </w:r>
    </w:p>
    <w:p>
      <w:pPr>
        <w:pStyle w:val="ListParagraph"/>
        <w:numPr>
          <w:ilvl w:val="0"/>
          <w:numId w:val="2"/>
        </w:numPr>
        <w:spacing w:after="60"/>
      </w:pPr>
      <w:r>
        <w:rPr>
          <w:b/>
        </w:rPr>
        <w:t xml:space="preserve">ROIC − WACC de −2,7 puntos</w:t>
      </w:r>
      <w:r>
        <w:t xml:space="preserve"> en reales: no pasa la calidad (mínimo 4,5) ni con la tasa libre de antes de las elecciones (−1,2).</w:t>
      </w:r>
    </w:p>
    <w:p>
      <w:pPr>
        <w:pStyle w:val="ListParagraph"/>
        <w:numPr>
          <w:ilvl w:val="0"/>
          <w:numId w:val="2"/>
        </w:numPr>
        <w:spacing w:after="60"/>
      </w:pPr>
      <w:r>
        <w:rPr>
          <w:b/>
        </w:rPr>
        <w:t xml:space="preserve">Deuda neta de 34.200 M</w:t>
      </w:r>
      <w:r>
        <w:t xml:space="preserve"> que sube hacia 54.000 M en 2028e y paga CDI con la Selic al 13,75 %.</w:t>
      </w:r>
    </w:p>
    <w:p>
      <w:pPr>
        <w:pStyle w:val="ListParagraph"/>
        <w:numPr>
          <w:ilvl w:val="0"/>
          <w:numId w:val="2"/>
        </w:numPr>
        <w:spacing w:after="60"/>
      </w:pPr>
      <w:r>
        <w:rPr>
          <w:b/>
        </w:rPr>
        <w:t xml:space="preserve">BPA ajustado del 2T26 −41 %</w:t>
      </w:r>
      <w:r>
        <w:t xml:space="preserve">, por intereses y costes de atención al cliente.</w:t>
      </w:r>
    </w:p>
    <w:p>
      <w:pPr>
        <w:pStyle w:val="ListParagraph"/>
        <w:numPr>
          <w:ilvl w:val="0"/>
          <w:numId w:val="2"/>
        </w:numPr>
        <w:spacing w:after="60"/>
      </w:pPr>
      <w:r>
        <w:rPr>
          <w:b/>
        </w:rPr>
        <w:t xml:space="preserve">DCF de 10,70 BRL</w:t>
      </w:r>
      <w:r>
        <w:t xml:space="preserve">, un 57,7 % bajo el precio; el valor intrínseco, 14,46 BRL.</w:t>
      </w:r>
    </w:p>
    <w:p>
      <w:pPr>
        <w:pStyle w:val="ListParagraph"/>
        <w:numPr>
          <w:ilvl w:val="0"/>
          <w:numId w:val="2"/>
        </w:numPr>
        <w:spacing w:after="60"/>
      </w:pPr>
      <w:r>
        <w:rPr>
          <w:b/>
        </w:rPr>
        <w:t xml:space="preserve">Riesgo político</w:t>
      </w:r>
      <w:r>
        <w:t xml:space="preserve"> federal (Marco Legal) y estatal en 2030.</w:t>
      </w:r>
    </w:p>
    <w:p>
      <w:pPr>
        <w:pStyle w:val="Heading2"/>
      </w:pPr>
      <w:r>
        <w:t xml:space="preserve">Qué tiene que pasar para que la tesis funcione</w:t>
      </w:r>
    </w:p>
    <w:p>
      <w:pPr>
        <w:spacing w:after="100"/>
      </w:pPr>
      <w:r>
        <w:t xml:space="preserve">La tesis depende de la tasa libre en reales: con el bono a 10 años al 15,4 % el precio no se sostiene en el DCF; si baja hacia el 11-12 % el valor se acerca al precio. En la empresa, el resultado financiero trimestral (≈ 1.076 M en el 2T26) y el reajuste tarifario de 2027 (que debería superar el +15 %) dicen si el BPA de 2027e (1,92) se cumple.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del Tesoro a 10 años en reales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 (26-oct)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16 % o &lt;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WACC y 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financiero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principal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atención al cliente y químicos.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Reajuste tarifario de 2027 (ARSESP)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Ingresos 2027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Reconocimiento del capex en la base de activos.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34.200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45.000 M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Financiación del plan.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11,0x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Sabesp nació en 1973 de la fusión de las empresas de agua del Estado de São Paulo y cotiza en B3 desde 1997 y en Nueva York (ADS) desde 2002 [1]. El 22-jul-2024 el Estado vendió el 32,3 % del capital (de 50,3 % a 18 %): un 15 % a Equatorial como inversor de referencia y el resto en una oferta pública; al día siguiente entró en vigor el contrato de concesión URAE-1, que unificó 371 municipios hasta 2060 a cambio de universalizar el servicio en 2029 [1]. Desde entonces la nueva dirección recortó un 17 % la plantilla, duplicó la inversión y en 2026 compró el control de EMAE (energía y embalses), que incorpora del todo el 27-oct-2026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Sabesp por el Estado de São Paulo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São Paulo; en 2002, Novo Mercado y ADS en la NYSE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Marco Legal del Saneamiento (Ley 14.026): metas del 99 % de agua y 90 % de alcantarillado en 2033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estatal 17.853 autoriza la privatización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(22-jul), Equatorial 15 %, contrato URAE-1 con metas para 2029, acción especial («golden share») del Estado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15.202 M (+120 %); ARSESP valida la base de activos de 2023 y 2024; reajuste del 6,8 % para 2026 [4, 10,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Desdoblamiento 1:5 (abril), compra del 74,9 % del voto de EMAE (enero) e incorporación del resto (27-oct) [15].</w:t>
            </w:r>
          </w:p>
        </w:tc>
      </w:tr>
    </w:tbl>
    <w:p>
      <w:pPr>
        <w:spacing w:after="160" w:before="0"/>
      </w:pPr>
    </w:p>
    <w:p>
      <w:pPr>
        <w:pStyle w:val="Heading1"/>
      </w:pPr>
      <w:r>
        <w:t xml:space="preserve">2. Modelo de negocio</w:t>
      </w:r>
    </w:p>
    <w:p>
      <w:pPr>
        <w:spacing w:after="100"/>
      </w:pPr>
      <w:r>
        <w:t xml:space="preserve">Sabesp presta agua y alcantarillado a unos 28 millones de personas en el Estado de São Paulo, sobre todo en la región metropolitana de la capital, con 9,5 millones de conexiones de agua y 8,3 millones de alcantarillado [1, 4]. Es la mayor empresa de saneamiento del hemisferio sur por ingresos. El 92 % de sus activos de concesión pertenece al contrato URAE-1 (371 municipios, hasta 2060) [1]. Desde 2026 consolida EMAE, que gestiona embalses y centrales hidroeléctricas del sistema de abastecimiento [15].</w:t>
      </w:r>
    </w:p>
    <w:p>
      <w:pPr>
        <w:pStyle w:val="Heading2"/>
      </w:pPr>
      <w:r>
        <w:t xml:space="preserve">Cómo gana dinero</w:t>
      </w:r>
    </w:p>
    <w:p>
      <w:pPr>
        <w:spacing w:after="100"/>
      </w:pPr>
      <w:r>
        <w:t xml:space="preserve">Ingresos regulados: la tarifa de equilibrio que fija ARSESP remunera la base de activos regulada (BAR: 88.000 M en 2024) a un coste de capital regulatorio (7,86 % real) más la amortización regulatoria y los costes operativos reconocidos, y se reajusta cada año por IPCA, Factor Q (calidad), Factor X (eficiencia) y Factor U (universalización) [1, 10, 11]. Si la tarifa que paga el usuario es menor, la diferencia la cubre el fondo FAUSP [1]. El beneficio crece con la base de activos (capex reconocido) y con la eficiencia por debajo de los costes reconocidos; el riesgo de volumen es pequeño (servicio esencial, tarifa mínima de 10 m³) y la estacionalidad es baja.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Saneamiento (agua y alcantarillado)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Saneamiento (agua y alcantarillado)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Millones de clientes residenciales (el 86 % del volumen facturado) y comerciales e industriales, que pagan tarifas más altas (15,6 y 21,7 BRL/m³ frente a 4,3 la residencial en el 2T26) [4]. No hay concentración: el mayor cliente es el municipio de São Paulo a través del contrato. El poder de precios no es de mercado sino regulatorio: el reajuste de 2026 fue del 6,8 % con un IPCA de 6,11 % en 16 meses [12, 13]. La expansión de la tarifa social resta (−2,6 % por mezcla en el 4T25)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facturado (millones de m³)</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Conexiones nuevas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 (BRL/m³)</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con más tarifa social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Conexiones de agua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9.483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9.517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Activas y registradas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Conexiones de alcantarillado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8.194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8.257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(M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 20.000 M en 2026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8.914 en el 2T26 con EMAE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saneamiento urbano regulado del Estado de São Paulo, donde Sabesp tiene la concesión de 375 municipios; fuera de esa área no compite salvo en licitaciones nuevas. Como referencia nacional, el saneamiento brasileño se reparte entre empresas estatales (Copasa, Sanepar, Embasa…) y privadas (Aegea, Iguá, BRK) y el Marco Legal de 2020 obliga a licitar las concesiones nuevas [1]. No hay estadística oficial del tamaño del mercado en reales que sea comparable con los ingresos; el informe usa como medida los ingresos regulados que fija ARSESP (receita requerida de 24.900 M para 2026)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24.900 M BRL de ingresos requeridos de Sabesp en 2026 según ARSESP [13]; BAR de 88.000 M en 2024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Monopolio regulado por área de concesión</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Metas de universalización (Factor U, 2029)</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70.000 M de inversión hasta 2029 que entra en la base de activos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(IPCA) en la tarifa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Reajuste de 2026 = IPCA de 16 meses (6,11 %)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(Selic)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ajustado de −1.076 M en el 2T26 frente a −118 M un año antes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social y mezcla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 de ingresos por mezcla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Clima y consumo por persona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de volumen por el tiempo en el 2T26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natural en su área hasta 2060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poder individual, pero la tarifa es política: el regulador y el Estado la fijan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y químicos (+97 % en el 2T26) son costes con poca alternativa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exclusiva de 35 años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agua por red.</w:t>
            </w:r>
          </w:p>
        </w:tc>
      </w:tr>
    </w:tbl>
    <w:p>
      <w:pPr>
        <w:spacing w:after="160" w:before="0"/>
      </w:pPr>
    </w:p>
    <w:p>
      <w:pPr>
        <w:pStyle w:val="Heading2"/>
      </w:pPr>
      <w:r>
        <w:t xml:space="preserve">Ciclo</w:t>
      </w:r>
    </w:p>
    <w:p>
      <w:pPr>
        <w:spacing w:after="100"/>
      </w:pPr>
      <w:r>
        <w:t xml:space="preserve">El sector vive un ciclo de inversión por el Marco Legal de 2020 y las privatizaciones (Sabesp 2024; Copasa y otras en estudio). La demanda apenas depende del ciclo económico: en 2020 el volumen se mantuvo y lo que cayó fue el beneficio por el tipo de cambio [1]. Lo cíclico es el coste de capital: con la Selic al 13,75 % y el bono a 10 años al 15,4 % tras las elecciones, la financiación del plan es más cara [4].</w:t>
      </w:r>
    </w:p>
    <w:p>
      <w:pPr>
        <w:pStyle w:val="Heading2"/>
      </w:pPr>
      <w:r>
        <w:t xml:space="preserve">Regulación</w:t>
      </w:r>
    </w:p>
    <w:p>
      <w:pPr>
        <w:spacing w:after="100"/>
      </w:pPr>
      <w:r>
        <w:t xml:space="preserve">ARSESP regula la tarifa con el contrato URAE-1: ciclos de 2024-2029 y 2030-2034 con reajuste anual; en los dos primeros ciclos la base de activos se actualiza cada año, y el WACC regulatorio (7,86 %) está fijado para el ciclo 2030-2034 [1, 11]. El Marco Legal federal (Ley 14.026/2020) fija las metas nacionales y da a la Agencia Nacional de Aguas (ANA) normas de referencia; un gobierno federal puede cambiar decretos y normas de referencia, pero no el contrato estatal [1]. La reforma tributaria del consumo (IBS/CBS) entra entre 2026 y 2033 y la tarifa debería trasladarla.</w:t>
      </w:r>
    </w:p>
    <w:p>
      <w:pPr>
        <w:pStyle w:val="Heading2"/>
      </w:pPr>
      <w:r>
        <w:t xml:space="preserve">Tendencias y disrupción</w:t>
      </w:r>
    </w:p>
    <w:p>
      <w:pPr>
        <w:spacing w:after="100"/>
      </w:pPr>
      <w:r>
        <w:t xml:space="preserve">Digitalización de la medición y de la atención al cliente (más coste en 2026), reducción de pérdidas de agua y gestión de la presión nocturna, y el riesgo climático (sequías como la de 2014-2015) que llevó a integrar los embalses de EMAE [4, 15]. Sabesp gana con la escala: compra energía en el mercado libre y negocia el capex a gran volumen.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empresa de saneamiento de Brasil y de América Latina por ingresos y clientes; concesión exclusiva en 375 municipios de São Paulo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Copasa (Minas Gerais)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CSMG3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 en vías de privatización; EBITDA 33 % de los ingresos publicados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Sanepar (Paraná)</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SAPR11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 EBITDA 39 % de los ingresos publicados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Water 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regulada de agua cotizada de EE. UU.; ingresos convertidos a 5,41 BRL/USD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Severn Trent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Regulada por Ofwat; ingresos convertidos a 7,20 BRL/GBP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United Utilities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Regulada por Ofwat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física no tiene efecto de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no puede cambiar de proveedor de agua por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exclusiva hasta 2060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59,5 % frente al 33-39 % de Copasa y Sanepar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Monopolio natural de red.</w:t>
            </w:r>
          </w:p>
        </w:tc>
      </w:tr>
    </w:tbl>
    <w:p>
      <w:pPr>
        <w:spacing w:after="160" w:before="0"/>
      </w:pPr>
    </w:p>
    <w:p>
      <w:pPr>
        <w:pStyle w:val="Heading2"/>
      </w:pPr>
      <w:r>
        <w:t xml:space="preserve">Amenazas</w:t>
      </w:r>
    </w:p>
    <w:p>
      <w:pPr>
        <w:spacing w:after="100"/>
      </w:pPr>
      <w:r>
        <w:t xml:space="preserve">El foso es legal, no de mercado: lo erosionaría un cambio del contrato o de la regulación (tarifa, WACC regulatorio, metas imposibles con multas), no un competidor. Probabilidad baja con el gobierno estatal de Tarcísio reelegido hasta 2030; media a partir de 2031 si cambia el color político del Estado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10,1 %</w:t>
      </w:r>
      <w:r>
        <w:t xml:space="preserve">, EBITDA </w:t>
      </w:r>
      <w:r>
        <w:rPr>
          <w:b/>
          <w:bCs/>
        </w:rPr>
        <w:t xml:space="preserve">19,9 %</w:t>
      </w:r>
      <w:r>
        <w:t xml:space="preserve">, BPA </w:t>
      </w:r>
      <w:r>
        <w:rPr>
          <w:b/>
          <w:bCs/>
        </w:rPr>
        <w:t xml:space="preserve">28,9 %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BRL,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de saneamiento (sin construcción) crecieron de 15.114 M en 2021 a 22.213 M ajustados en 2025, un 10 % anual, por tarifas ligadas al IPCA, conexiones nuevas (+97.000 netas en 2025) y la base de activos que reconoce el contrato URAE-1 [2, 7]. El margen EBITDA ajustado pasó del 42 % al 59,5 %: tras la privatización la plantilla bajó un 17 % en 2025 (8.717 empleados), los gastos generales cayeron un 54,5 % y la energía pasó al mercado libre [2]. En el 1S26 el margen fue del 60,6 % (63 % en el 1T y 58 % en el 2T, por atención al cliente, químicos y una base de comparación con sentencias favorables) [3, 4]. El beneficio ajustado subió un 22 % en 2025, a 6.318 M, pero en el 2T26 cayó un 41 % por el coste de una deuda neta que pasó de 23.000 a 34.000 M con la Selic al 13,75-15 % [4]. 2024 no es comparable con lo anterior por la privatización.</w:t>
      </w:r>
    </w:p>
    <w:p>
      <w:pPr>
        <w:pStyle w:val="Heading2"/>
      </w:pPr>
      <w:r>
        <w:t xml:space="preserve">Ajustes y partidas no recurrentes</w:t>
      </w:r>
    </w:p>
    <w:p>
      <w:pPr>
        <w:spacing w:after="100"/>
      </w:pPr>
      <w:r>
        <w:t xml:space="preserve">La cuenta publicada lleva tres partidas que no son caja ni negocio recurrente: (1) los ingresos y costes de construcción (14.437 M en 2025, margen cero: es el capex registrado como servicio de construcción según NIIF 12/ICPC 01); (2) la actualización del activo financiero de la indemnización (1.676 M en 2025 y 9.151 M en 2024, el año del nuevo contrato), un ingreso contable sin caja hasta el final de la concesión; (3) no recurrentes (en 2025, créditos fiscales de +369 M y +1.660 M de actualización de créditos fiscales en el resultado financiero; en 2024, el plan de bajas voluntarias de 630 M y otros) [2]. Este informe usa la cuenta ajustada de la empresa en 2024-2025: BPA publicado 2025 12,37 BRL antes del desdoblamiento (2,47 después) frente a 9,24 (1,85) ajustado [2]. El desdoblamiento 1:5 de 2026 se aplica a todos los años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Cifras ajustadas de la empresa (sin construcción, activo financiero, no recurrentes ni EMAE; BPA en acciones tras el desdoblamiento); el 3T25 se deduce del año menos los otros tres trimestres [2, 3, 4, 8, 9]. En el 4T25 (17-mar-2026) la dirección destacó el capex de 15.200 M en 2025, más del doble que en 2024, el cumplimiento adelantado de las metas del Factor U de 2024-2025 y un EBITDA ajustado de 13.200 M (+17 %) [2]. En el 1T26 (8-may) el EBITDA ajustado subió un 26 %, con un corte de facturación de dos días por el paso a SAP S/4HANA y un verano suave [3]. En el 2T26 (13-ago) el discurso cambió: BPA ajustado de 0,33 frente a 0,57, por menor consumo por persona, la mezcla de clientes con tarifa social, un 39 % más de servicios de atención al cliente, químicos un 97 % más caros y un resultado financiero de −1.076 M con deuda neta de 34.000 M; la dirección mantuvo la guía de capex de casi 20.000 M en 2026 y el cumplimiento del Factor U [4]. La acción cayó un 7 % ese día. Las preguntas giraron en torno a costes y deuda; la dirección no dio una guía de margen.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Privatización (22-jul-2024) y contrato de concesión URAE-1 (23-jul-2024): nace el activo financiero de la indemnización (17.602 M) y se reconoce su actualización en ingresos (9.151 M en 2024), que la cuenta ajustada excluye.).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bruta pasó de 25.258 M en 2024 a 40.142 M en 2025 y 51.658 M en jun-2026 para financiar el plan de inversión; la deuda neta, de 19.100 M a 34.200 M [2, 4]. El capital invertido (patrimonio + deuda neta) crece más deprisa que el EBITDA: es la fase de inversión del contrato, que la tarifa reconoce con retraso de un año (la base de activos se actualiza cada año en los dos primeros ciclos) [1]. Los activos de la concesión (intangible, activo de contrato y activo financiero) se agrupan en «intangibles» en este informe.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-7.673</w:t>
      </w:r>
      <w:r>
        <w:t xml:space="preserve">, conversión </w:t>
      </w:r>
      <w:r>
        <w:rPr>
          <w:b/>
          <w:bCs/>
        </w:rPr>
        <w:t xml:space="preserve">-38 %</w:t>
      </w:r>
      <w:r>
        <w:t xml:space="preserve"> del beneficio neto; adquisiciones 0, dividendos 4.975, recompras 475.</w:t>
      </w:r>
    </w:p>
    <w:p>
      <w:pPr>
        <w:spacing w:after="100"/>
      </w:pPr>
      <w:r>
        <w:t xml:space="preserve">El flujo operativo (después de intereses e impuestos) fue de 8.361 M en 2025 y el capex en caja de 13.740 M (15.202 M devengados) [2, 6]: el FCF es negativo desde 2024 y lo será mientras dure el plan (≈ 20.000 M de capex en 2026) [4]. Casi todo el capex es de expansión ligada a las metas de universalización de 2029 (agua 99 % y alcantarillado 90 %); el de mantenimiento no se publica (estimación propia: del orden de la amortización, 2.200-2.900 M) [1]. Los pagos de PPP (480 M en 2025) se tratan como arrendamientos.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Auditores Independentes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(20-F 2025, con informe sobre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contabilidad de concesiones (NIIF 12/ICPC 01) complica la lectura: el capex se registra como ingreso y coste de construcción (sin margen desde 2025), el contrato URAE-1 creó un activo financiero que se actualiza en ingresos (9.151 M en 2024, 1.676 M en 2025) y los ajustes de la empresa los excluyen [1, 2]. El BPA publicado de 2024 (14,02 antes del desdoblamiento) duplica el ajustado (7,57): en esta empresa, el ajustado es el que mide el negocio. Los no recurrentes se repiten casi todos los trimestres (créditos fiscales, litigios, plan de bajas, incidente de Jaguaré), lo que obliga a vigilar que no se conviertan en recurrentes [2, 3, 4]. Los indicadores del motor (Altman, Piotroski, Beneish) salen distorsionados por la privatización de 2024 y el salto del activo.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contable sin caja (actualización del activo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1.676 M en 2025; excluido del BPA de este informe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recurrentes frecuentes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trimestre trae alguno; la empresa los detalla [2, 3,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15,7 %.</w:t>
      </w:r>
    </w:p>
    <w:p>
      <w:pPr>
        <w:spacing w:after="100"/>
      </w:pPr>
      <w:r>
        <w:t xml:space="preserve">Con el capital invertido contable (patrimonio más deuda neta), el ROIC subió del 10,1 % de 2023 al 12,4 % de 2024 y al 13,0 % de 2025 por la eficiencia de la privatización, y el ROIC incremental de 2021-2025 fue del 24,6 %. Pero en reales, con la tasa libre al 15,4 % tras las elecciones, el WACC es del 15,7 %: ROIC − WACC = −2,7 puntos. Con la tasa libre de antes de la segunda vuelta (≈ 13 % [21]) el WACC sería del 14,2 % y la diferencia seguiría negativa (−1,2). La cifra que manejaba el escáner del 26-oct (−8,0) sumaba 3 puntos de riesgo país encima del bono en reales, que ya lo lleva: doble cuenta. La rentabilidad regulada tampoco salva la prueba: el WACC regulatorio es del 7,86 % real [11], ≈ 12,2 % nominal con un IPCA del 4-4,5 %, por debajo del coste de capital de mercado de hoy. El ROIC excluye la actualización del activo financiero (1.676 M en 2025), un ingreso sin caja; con ella el ROIC subiría ≈ 2 puntos, aún por debajo del WACC.</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4.243 M + inversiones financieras a corto 13.197 M a 30-jun-2026 (17.441 M), frente a deuda bruta de 51.658 M (5.290 a corto) [4,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de rating corporativo en los documentos leídos; Brasil BB (S&amp;P), Ba1 (Moody's) y BB estable (Fitch)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Pasivos que no son deuda financiera pero se pagan en caja: asociaciones público-privadas (PPP de producción de agua) 3.322 M, pensiones 2.402 M, derivados de cobertura de la deuda en divisa 2.294 M, provisiones por litigios 2.148 M y obligaciones de inversión de la concesión eléctrica de EMAE 653 M a 30-jun-2026 [4]. Las PPP y los derivados van al puente como deuda (otros ajustes); las pensiones, netas de impuestos. El activo financiero de la indemnización (22.862 M) y el activo de contrato (19.009 M) son la contrapartida del capex de la concesión: los cobrará la empresa vía tarifa o al final del contrato (2060) [5].</w:t>
      </w:r>
    </w:p>
    <w:p>
      <w:pPr>
        <w:pStyle w:val="Heading1"/>
      </w:pPr>
      <w:r>
        <w:t xml:space="preserve">12. Asignación de capital</w:t>
      </w:r>
    </w:p>
    <w:p>
      <w:pPr>
        <w:pStyle w:val="Confianza"/>
        <w:spacing w:after="100"/>
      </w:pPr>
      <w:r>
        <w:t xml:space="preserve">Confianza: Media</w:t>
      </w:r>
    </w:p>
    <w:p>
      <w:pPr>
        <w:spacing w:after="100"/>
      </w:pPr>
      <w:r>
        <w:t xml:space="preserve">Dividendo mínimo estatutario del 25 % del beneficio ajustado, pagado sobre todo como intereses sobre el capital propio (deducibles) [16]. En 2025 pagó 2.364 M (los del ejercicio 2024) y dejó 2.060 M a pagar a fin de año; en el 2T26 pagó 1.687 M [2, 4]. Compró acciones propias por 475 M en el 4T25 para los planes de acciones [2]. La prioridad declarada de la caja es el capex de universalización (≈ 20.000 M en 2026), financiado con deuda: no hay recompras programadas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EMAE (energía y embalses del sistema de abastecimiento): 74,9 % del voto y 29,9 %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el resto, con acciones de Sabesp (1,3195 por acción de EMAE, 27-oct-2026)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Reciente: consolidada desde el 1-ene-2026; fondo de comercio y activo identificable de 505 M [5].</w:t>
            </w:r>
          </w:p>
        </w:tc>
      </w:tr>
    </w:tbl>
    <w:p>
      <w:pPr>
        <w:spacing w:after="160" w:before="0"/>
      </w:pPr>
    </w:p>
    <w:p>
      <w:pPr>
        <w:spacing w:after="100"/>
      </w:pPr>
      <w:r>
        <w:t xml:space="preserve">La dirección asigna el capital al plan que exige el contrato: el capex se duplicó en 2025 (15.202 M) y la deuda neta pasó de 19.100 M a 34.200 M en 18 meses [2, 4]. Esa inversión entra en la base de activos y la tarifa la remunera, pero al 7,86 % real regulatorio, que con la Selic al 13,75 % deja poco margen sobre el coste de la deuda en CDI. La compra de EMAE es pequeña (≈ 2 % de la capitalización) y estratégica (embalses y energía propia). El reparto es el mínimo legal: correcto en fase de inversión.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Augusto Leone Piani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CFA; antes presidente del consejo de Equatorial Energia, consejero delegado de HPX Corp. y responsable mundial de estrategia y fusiones de Kraft Heinz. En Sabesp desde la privatización: plantilla −17 % y capex ×2,2 en 2025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Szlak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relación con inversores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Combio (2023-2024) y de Kraft Heinz para Latinoamérica y Canadá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Gonçalves Silva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Presidió Embraer (2012-2025) y GE Brasil (2001-2007)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Roberval Tavares de Souza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ingeniería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ejecución del capex de universalización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Luciane Godinho Domingues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regulación y compra de energía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relación con ARSESP y los reajustes anuales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Metas del Factor U de 2024-2025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Cumplidas un mes antes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Acelerar el capex (≈ 15.000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15.202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cercano a 20.000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7.458 M en el 1S26 (en curso)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desde octubre de 2024, traído en buena parte del entorno de Equatorial y Kraft Heinz, con un historial corto pero cumplido en las metas físicas y de capex [1, 2]. Lo que falta demostrar es el control de costes en la fase de atención al cliente (2T26) y la financiación del plan con tipos altos. No hay plan de sucesión publicado; el plan de acciones del CEO tiene una consolidación de 8 años ligada al Factor U y al TSR [5].</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Gonçalves Silva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Gustavo Rocha Gattass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Mateus Affonso Bandeira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Augusto Miranda da Paz Júnior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Propuesto por Equatorial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Tinn Freire Amado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Equatorial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Eduardo Parente Menezes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de Equatorial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Karla Bertocco Trindade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por el Estado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Anderson Marcio de Oliveira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ejecutivo de la SEMIL (Estado)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Claudia Polto da Cunha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por el Estado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(20-F 2025, con informe sobre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de São Paulo (con acción especial)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50,3 % al 18 % en la privatización de jul-2024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Equatorial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jul-2024; acuerdo de inversión hasta el 1-ene-2035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20,99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dirección cobró 49,3 M en 2025 (8,6 M en 2024, aún con la empresa estatal), de ellos 39,5 M de variable y acciones; la remuneración individual más alta fue de 21,0 M, la del primer ejecutivo previsiblemente [1]. La junta de abril de 2026 aprobó 71,2 M para 2026 [1]. El plan de acciones restringidas consolida en 4 años (8 para el CEO) y el de rendimiento depende del Factor U y del rendimiento total para el accionista; si se cumplen las metas de 2029 la consolidación se adelanta a octubre de 2030 [5]. Con el límite global del 1 % del capital. No hemos encontrado el voto de la junta.</w:t>
      </w:r>
    </w:p>
    <w:p>
      <w:pPr>
        <w:pStyle w:val="Heading2"/>
      </w:pPr>
      <w:r>
        <w:t xml:space="preserve">Operaciones vinculadas, estructura de control y defensas</w:t>
      </w:r>
    </w:p>
    <w:p>
      <w:pPr>
        <w:spacing w:after="100"/>
      </w:pPr>
      <w:r>
        <w:t xml:space="preserve">Sin accionista de control: los estatutos prohíben votar más del 30 % del capital y los pactos por encima de ese límite, y obligan a una OPA con un 200 % de prima a quien pase del 30 % [1]. El Estado conserva una acción especial con veto sobre el nombre, la sede, el objeto social (agua y alcantarillado) y el propio límite de voto, que se extingue si baja del 10 % [1, 16]. Equatorial tiene un acuerdo de inversión con el Estado hasta 2035 (permanencia y derechos de nombramiento) y propone a tres consejeros y al entorno del CEO: es influencia de hecho sin control [1]. La compra de EMAE en 2026 se hizo a un tercero.</w:t>
      </w:r>
    </w:p>
    <w:p>
      <w:pPr>
        <w:pStyle w:val="Heading2"/>
      </w:pPr>
      <w:r>
        <w:t xml:space="preserve">Señales de alerta</w:t>
      </w:r>
    </w:p>
    <w:p>
      <w:pPr>
        <w:pStyle w:val="ListParagraph"/>
        <w:numPr>
          <w:ilvl w:val="0"/>
          <w:numId w:val="2"/>
        </w:numPr>
        <w:spacing w:after="60"/>
      </w:pPr>
      <w:r>
        <w:t xml:space="preserve">Formularios 4 de consejeros y directivos en may-jun 2026 por la entrega de acciones de los planes (sin compras ni ventas de mercado relevantes identificadas) [17].</w:t>
      </w:r>
    </w:p>
    <w:p>
      <w:pPr>
        <w:pStyle w:val="ListParagraph"/>
        <w:numPr>
          <w:ilvl w:val="0"/>
          <w:numId w:val="2"/>
        </w:numPr>
        <w:spacing w:after="60"/>
      </w:pPr>
      <w:r>
        <w:t xml:space="preserve">La victoria de Lula (25-oct-2026) no cambia el gobierno del Estado (Tarcísio reelegido el 4-oct), pero el PT criticó la privatización en la campaña.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resultados. Guía de capex: cerca de 20.000 M en 2026 (confirmada el 12-ago-2026) y ≈ 70.000 M entre jul-2024 y 2029 para universalizar (notas de resultados del 2T26 y SEMIL). Metas del Factor U del ciclo 2024-2026: 87 % de agua, 77 % de recogida y 71 % de tratamiento de alcantarillado, que la dirección dice superar.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7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7 analistas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23,80 – 41,00</w:t>
            </w:r>
          </w:p>
        </w:tc>
      </w:tr>
    </w:tbl>
    <w:p>
      <w:pPr>
        <w:spacing w:after="160" w:before="0"/>
      </w:pPr>
    </w:p>
    <w:p>
      <w:pPr>
        <w:pStyle w:val="Heading2"/>
      </w:pPr>
      <w:r>
        <w:t xml:space="preserve">Revisiones de estimaciones</w:t>
      </w:r>
    </w:p>
    <w:p>
      <w:pPr>
        <w:spacing w:after="100"/>
      </w:pPr>
      <w:r>
        <w:t xml:space="preserve">El BPA de consenso de 2027 bajó de 2.62 hace 90 días a 2.42 (−8 %), sobre todo tras el 2T26 (costes y deuda); el de 2026, de 1.79 a 1.77 [19]. Las cifras de Yahoo son del 26-27 oct y es probable que aún no recojan la subida de tipos tras las elecciones. Solo hay una fuente gratuita con estimaciones completas; los objetivos se contrastan con los de Itaú BBA, BBI, Goldman y Morgan Stanley de dic-2025 (145-174 BRL antes del desdoblamiento, 29-35 después) [13].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3,4 su precio entre el cierre de 2021 (7,79) y el de 2025 (26,64) con la privatización, y en 2025 subió un 55 % frente al 34 % del Ibovespa [18]. En 2026 hizo máximos en abril (35,32), cayó un 34 % hasta agosto (2T26 flojo: −7 % el 13-ago) y rebotó un 25 % en octubre con las encuestas que daban opciones a Flávio Bolsonaro [18]. El 26-oct, tras la victoria de Lula, cayó un 21,0 % (de 31,98 a 25,27) y el ADS un 26,1 % (de 6,40 a 4,73 USD), frente al −13,9 % del Ibovespa y −19,8 % del EWZ [18, 23]. Las rentabilidades de 3, 5 y 10 años y la serie anual son de bolsa.mjs hasta el 23-oct; las de «en el año» y «1 año» incluyen el cierre del 26-oct.</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-11,0 % / -26,7 % / +1,1 %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 / +9,1 %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35,32 (23-abr) al mínimo de 23,17 (20-ago): 2T26 con BPA ajustado −41 % (costes de atención al cliente, químicos, deuda neta de 34.000 M con Selic alta) y −7 % el 13-ago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con las encuestas de la segunda vuelta que daban un empate a Flávio Bolsonaro y Lula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Victoria de Lula en la segunda vuelta del 25-oct: Ibovespa −13,9 %, bono a 10 años del 12,98 % al 15,44 %, real −9 % (PTAX 5,50), subastas del Tesoro canceladas [20, 22,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Lula gana la presidencia; el gobierno federal controla el Marco Legal del Saneamiento (decretos, normas de referencia de la ANA) y la financiación del BNDES, no el contrato estatal URAE-1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Tarcísio de Freitas reelegido gobernador de São Paulo en primera vuelta: el poder concedente y la acción especial siguen en manos favorables al contrato hasta 2030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acciones de Sabesp a los minoritarios de EMAE (1,3195 por acción; ≈ 11 M de acciones, 0,3 % del capital): emisión pequeña, ya aprobada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por debajo de lo esperado (BPA ajustado 0,33 frente a 0,57)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tras el cierre; conferencia el 6-nov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26-oct es macro (tipos, real y riesgo fiscal federal), no del negocio: el gobierno estatal que firmó el contrato acaba de ser reelegido y la tarifa se reajusta por IPCA, así que la inflación no destruye la tarifa; lo que sube es el coste de la deuda (34.000 M netos, gran parte a CDI) y la tasa de descuento. No hay colocación pendiente: Equatorial está obligada a permanecer por el acuerdo de inversión y el Estado ya bajó al 18 %. El veredicto es «no cambia»: la señal la deciden la regla a 12 meses y la calidad, que no pasa.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Precios de cierre ajustados al desdoblamiento [18]. Con el BPA ajustado, la acción cotizó a un PER de 9-11 veces el beneficio del año siguiente entre 2021 y 2024; a fin de 2025, con la euforia de la privatización y la expectativa de bajada de tipos, a 17,6 veces el BPA que estimamos para 2026. La privatización cambió el perfil (más eficiencia y más crecimiento de la base de activos), pero también la deuda: el múltiplo de antes no es del todo comparable.</w:t>
      </w:r>
    </w:p>
    <w:p>
      <w:pPr>
        <w:pStyle w:val="Heading1"/>
      </w:pPr>
      <w:r>
        <w:t xml:space="preserve">18. Comparables cotizados</w:t>
      </w:r>
    </w:p>
    <w:p>
      <w:pPr>
        <w:pStyle w:val="Confianza"/>
        <w:spacing w:after="100"/>
      </w:pPr>
      <w:r>
        <w:t xml:space="preserve">Confianza: Media</w:t>
      </w:r>
    </w:p>
    <w:p>
      <w:pPr>
        <w:spacing w:after="100"/>
      </w:pPr>
      <w:r>
        <w:t xml:space="preserve">Dos empresas de agua brasileñas (Copasa y Sanepar, mismas reglas del Marco Legal y la misma tasa libre), dos utilities reguladas brasileñas en reales con Equatorial, accionista de referencia de Sabesp, y CPFL, y tres reguladas de agua de mercados desarrollados (American Water, Severn Trent, United Utilities) como referencia de múltiplo para un activo de agua regulado. Todas a precios del 26-oct-2026 (Yahoo) [19]. EV/EBITDA de Yahoo: base publicada (en las brasileñas con ingresos de construcción), no ajustada; por eso el PER pesa más.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Sabesp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Sanepar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Equatorial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CPFL Energia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Water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Severn Trent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United Utilities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 / 9,2x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12,9x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3,1x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spacing w:after="100"/>
      </w:pPr>
      <w:r>
        <w:t xml:space="preserve">Las brasileñas cotizan a PER de 6-21 veces y las de mercados desarrollados a 13-22 veces con tipos reales mucho más bajos. Sabesp, a 10,5 veces el BPA de consenso de 2027 (Yahoo) y 13,2 veces el nuestro, queda en el medio: prima frente a Copasa y Sanepar (estatales) por la eficiencia privada y el crecimiento de la base de activos, y descuento frente a las británicas y estadounidenses por el coste de capital en reales. La mediana del PER adelantado de los siete es de 12,9 veces.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ajustados crecen con la base de activos regulada (BAR), no con el mercado: 88.000 M validados para 2024 [10], 15.202 M de capex en 2025 y ≈ 20.000 M en 2026 [2, 4]. 2026e +12 % (fijo): receita requerida de ARSESP de 24.900 M [13], con el 1S26 en +8,8 % y EMAE desde el 1T. 2027e +19 %: la BAR se actualiza cada año en los dos primeros ciclos y recoge el capex récord de 2025-2026 (el consenso de Yahoo da +19,5 % [19]). Después baja al 10 %, 7,5 % y 7 % con el capex y converge al 4,5-5 % (IPCA + volumen) en 2033-2035.</w:t>
      </w:r>
    </w:p>
    <w:p>
      <w:pPr>
        <w:keepNext/>
        <w:spacing w:after="100"/>
      </w:pPr>
      <w:r>
        <w:rPr>
          <w:b/>
          <w:bCs/>
        </w:rPr>
        <w:t xml:space="preserve">Márgenes.</w:t>
      </w:r>
    </w:p>
    <w:p>
      <w:pPr>
        <w:spacing w:after="100"/>
      </w:pPr>
      <w:r>
        <w:t xml:space="preserve">Margen EBITDA ajustado del 60 % en 2026e (60,6 % en el 1S26 [3, 4]) que sube al 64 % en 2027e y al 66-67 % desde 2028e: la tarifa remunera la base nueva mientras los costes crecen con el IPCA. El margen regulado teórico (ingresos requeridos − costes reconocidos) sería del 68-70 % (estimación propia); el 67 % deja sitio a la tarifa social y a costes de calidad como los del 2T26.</w:t>
      </w:r>
    </w:p>
    <w:p>
      <w:pPr>
        <w:keepNext/>
        <w:spacing w:after="100"/>
      </w:pPr>
      <w:r>
        <w:rPr>
          <w:b/>
          <w:bCs/>
        </w:rPr>
        <w:t xml:space="preserve">Inversión y circulante.</w:t>
      </w:r>
    </w:p>
    <w:p>
      <w:pPr>
        <w:spacing w:after="100"/>
      </w:pPr>
      <w:r>
        <w:t xml:space="preserve">Capex de 20.000 M en 2026e (guía [4]), 17.000 M, 13.000 M y 11.000 M en 2027-2029 (≈ 70.000 M entre jul-2024 y 2029 [12]) y 9.000 M en 2030; después, el 18-21 % de las ventas, ≈ 1,2 veces la amortización, porque la BAR se actualiza por IPCA sin necesidad de capex. Circulante del 7 % de las ventas. Ingresos de construcción fuera: son el mismo capex.</w:t>
      </w:r>
    </w:p>
    <w:p>
      <w:pPr>
        <w:keepNext/>
        <w:spacing w:after="100"/>
      </w:pPr>
      <w:r>
        <w:rPr>
          <w:b/>
          <w:bCs/>
        </w:rPr>
        <w:t xml:space="preserve">Coste del capital.</w:t>
      </w:r>
    </w:p>
    <w:p>
      <w:pPr>
        <w:spacing w:after="100"/>
      </w:pPr>
      <w:r>
        <w:t xml:space="preserve">Todo en reales. Tasa libre 15,435 %: bono del Tesoro a 10 años del 26-oct-2026, tras subir 2,46 puntos por la victoria de Lula [20]. Sin prima de riesgo país: ya está en el bono en reales (el escáner la sumaba otra vez). Beta 0,80 (0,95 mensual de 5 años frente al Ibovespa y 1,07-1,35 semanal [18]; rebajada por ser regulada con tarifa indexada). Prima de mercado 5,5 %. Ke 19,8 %; coste de la deuda 13,5 % antes de impuestos (34 %); peso de la deuda 38 %. WACC 15,7 %. Con la tasa libre de antes de las elecciones (≈ 13 % [21]), 14,2 %.</w:t>
      </w:r>
    </w:p>
    <w:p>
      <w:pPr>
        <w:keepNext/>
        <w:spacing w:after="100"/>
      </w:pPr>
      <w:r>
        <w:rPr>
          <w:b/>
          <w:bCs/>
        </w:rPr>
        <w:t xml:space="preserve">Valor terminal.</w:t>
      </w:r>
    </w:p>
    <w:p>
      <w:pPr>
        <w:spacing w:after="100"/>
      </w:pPr>
      <w:r>
        <w:t xml:space="preserve">Gordon con el 4,5 % nominal en reales (3,5 % de IPCA del Focus para 2029-2030 [24] + 1 punto real por volumen y universalización), entre la inflación y la tasa libre menos medio punto. El valor terminal es el 52 % del valor. La concesión acaba en 2060 con indemnización de los activos no amortizados [5]: un Gordon perpetuo la aproxima. El múltiplo de salida (8 veces) no decide.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59.924 M (42 %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(ROIC 13,0 %)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frente al 8,2 %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(histórico: 24,6 %)</w:t>
            </w:r>
          </w:p>
        </w:tc>
      </w:tr>
    </w:tbl>
    <w:p>
      <w:pPr>
        <w:spacing w:after="160" w:before="0"/>
      </w:pPr>
    </w:p>
    <w:p>
      <w:pPr>
        <w:spacing w:after="100"/>
      </w:pPr>
      <w:r>
        <w:t xml:space="preserve">La proyección reinvierte el 42 % del NOPAT. Con el ROIC del último ejercicio (13,0 %), eso financia un crecimiento del 5,4 % anual, frente al 8,2 % de ingresos proyectado. Supone que el capital nuevo rinde un 16,8 %, frente a un ROIC incremental histórico del 24,6 %.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reajuste del 6,8 % desde el 1-ene-2026 [13] más la recuperación del capex; volumen +1,5 % (conexiones nuevas, −1,1 % por el tiempo en el 2T [4]); otros: EMAE desde el 1T26 y mezcla de tarifa social.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tarifa de equilibrio recoge la BAR de 2025-2026 (≈ +35.000 M de capex) al WACC regulatorio de 7,86 % real [11], más el IPCA (4,3 % para 2027 en el Focus [24]); volumen +2 % por las metas del Factor 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BAR que sigue creciendo con 17.000 M de capex en 2027 e IPCA del 3,75 %; volumen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final de las metas de universalización (99 % de agua, 90 % de alcantarillado); IPCA + base.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ciclo tarifario 2030-2034 con el WACC regulatorio fijado [11]; IPCA + volumen.</w:t>
            </w:r>
          </w:p>
        </w:tc>
      </w:tr>
    </w:tbl>
    <w:p>
      <w:pPr>
        <w:spacing w:after="160" w:before="0"/>
      </w:pPr>
    </w:p>
    <w:p>
      <w:pPr>
        <w:spacing w:after="100"/>
      </w:pPr>
      <w:r>
        <w:t xml:space="preserve">Sí. El crecimiento no depende de ganar cuota (es un monopolio regulado) sino de que la tarifa remunere la inversión: el contrato URAE-1 actualiza la base de activos cada año en los dos primeros ciclos y la tarifa se reajusta por IPCA [1]. La prueba del motor da un crecimiento financiable del 5,4 % al ROIC actual frente al 8,2 % proyectado, pero no cuenta que la BAR y la tarifa se indexan al IPCA (≈ 4 % al año) sin capital nuevo: con ello, lo financiable supera lo proyectado. El capital nuevo rinde un 16,8 % frente a un incremental histórico del 24,6 %. Lo que la calidad no sostiene es la creación de valor: el rendimiento regulado (≈ 12 % nominal) queda por debajo del WACC de mercado (15,7 %).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7,7 %)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 (WACC: 15,7 %)</w:t>
            </w:r>
          </w:p>
        </w:tc>
      </w:tr>
    </w:tbl>
    <w:p>
      <w:pPr>
        <w:spacing w:after="160" w:before="0"/>
      </w:pPr>
    </w:p>
    <w:p>
      <w:pPr>
        <w:spacing w:after="100"/>
      </w:pPr>
      <w:r>
        <w:t xml:space="preserve">El DCF da 10,70 BRL por acción (−57,7 %), con el 52 % del valor en el terminal. No es que el negocio vaya mal: es que cada real invertido rinde lo que da la tarifa (≈ 12 % nominal) y se descuenta al 15,7 %. El DCF inverso lo dice mejor: el precio de 25,27 BRL equivale a una rentabilidad anual implícita del 11,9 %, casi exactamente el rendimiento regulatorio, o a crecer al 15,2 % anual en 2027-2035 frente al 7,7 % de nuestro caso base. El mercado valora Sabesp como un bono indexado a la base de activos (EV/BAR ≈ 1,15 veces); nuestro coste de capital, tras la subida del bono a 10 años de 12,98 % a 15,44 %, pide más. Con la tasa libre de antes de las elecciones el DCF sería de 15,14 BRL: la mitad de la distancia al precio es de tasa, no de cifras. Con la prima implícita del mercado (4,2 %) sale 12,42 BRL.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Selic y bono suben otro punto, la tarifa social y el consumo por persona restan, ARSESP reconoce menos capex o con más retraso y los costes de calidad del 2T26 se quedan: crecimiento 2,5 puntos menor, margen 3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tarifa recoge la base de activos cada año, el capex sigue la guía y los tipos se quedan altos en 2027 y bajan algo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riesgo fiscal se calma, la Selic baja hacia el 10 % del Focus, la eficiencia sigue y el regulador reconoce el capex a tiempo: crecimiento 1,5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BRL) · precio actual 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10,55 BRL (-58,3 %).</w:t>
      </w:r>
    </w:p>
    <w:p>
      <w:pPr>
        <w:spacing w:after="100"/>
      </w:pPr>
      <w:r>
        <w:t xml:space="preserve">El DCF da 3,46 BRL en el bajista, 10,70 en el base y 17,32 en el alcista: incluso el alcista queda un 31,5 % por debajo del precio. La asimetría es negativa porque el valor depende sobre todo de la tasa de descuento: con el WACC del 15,7 %, la inversión masiva destruye valor contable aunque la tarifa la remunere. A 12 meses, en cambio, el PER (8,6-12,9 veces) y el BPA (1,67-2,60 en 2028e) dan 14,36-33,54 BRL: el mercado mira el beneficio, no el coste de capital.</w:t>
      </w:r>
    </w:p>
    <w:p>
      <w:pPr>
        <w:pStyle w:val="Heading1"/>
      </w:pPr>
      <w:r>
        <w:t xml:space="preserve">22. Suma de partes</w:t>
      </w:r>
    </w:p>
    <w:p>
      <w:pPr>
        <w:pStyle w:val="Confianza"/>
        <w:spacing w:after="100"/>
      </w:pPr>
      <w:r>
        <w:t xml:space="preserve">Confianza: Media</w:t>
      </w:r>
    </w:p>
    <w:p>
      <w:pPr>
        <w:spacing w:after="100"/>
      </w:pPr>
      <w:r>
        <w:t xml:space="preserve">No aplica: EMAE (energía y embalses) pesa menos del 3 % de los ingresos y del EBITDA; el resto es un único negocio regulado [4].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BRL) · precio actual 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14,46 BRL (-42,8 % sobre 25,27).</w:t>
      </w:r>
    </w:p>
    <w:p>
      <w:pPr>
        <w:spacing w:after="100"/>
      </w:pPr>
      <w:r>
        <w:t xml:space="preserve">Pesos: DCF 50 %, escenarios 30 % y comparables 20 %. El DCF es el método natural para una regulada con la retribución proyectada; los comparables (PER de 12,9 veces de mediana) dan 29,73 BRL y el EV/EBITDA 24,50, porque las reguladas de mercados desarrollados cotizan con tipos reales de 1-2 %, y las brasileñas, ya castigadas el 26-oct, a PER de 6-21 veces. El EV sobre la BAR estimada es de ≈ 1,15 veces (130.441 M ÷ 113.800 M); Genial calculaba 1,2 veces la BAR de 2026 antes de las elecciones, con una TIR real implícita del 9,4 % [10]. No hay transacciones con múltiplo publicado. La dispersión es enorme (10,70 a 29,73) y refleja una sola pregunta: a qué tasa se descuenta una renta regulada en reales.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(13.2x) ÷ 1.1 (tope: la mediana de 5 años, 9.7x,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r>
    </w:tbl>
    <w:p>
      <w:pPr>
        <w:spacing w:after="160" w:before="0"/>
      </w:pPr>
    </w:p>
    <w:p>
      <w:pPr>
        <w:spacing w:after="100"/>
      </w:pPr>
      <w:r>
        <w:rPr>
          <w:b/>
          <w:bCs/>
        </w:rPr>
        <w:t xml:space="preserve">Objetivo a 12 meses (ponderado):</w:t>
      </w:r>
      <w:r>
        <w:t xml:space="preserve"> 25,42 BRL · rentabilidad +2,9 % (base +8,7 %) · señal Mantener.</w:t>
      </w:r>
    </w:p>
    <w:p>
      <w:pPr>
        <w:spacing w:after="100"/>
      </w:pPr>
      <w:r>
        <w:t xml:space="preserve">Para comparar, con la regla v2 (historia al cierre, mismo precio): 11,4x / 12,2x / 12,9x, 8,5 % Mantener; con el tope anterior del base (×1,3, 14-oct mediodía): -0,2 %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(1,92 BRL) queda un 21 % por debajo del consenso de Yahoo (2,42, siete analistas), con ventas parecidas (29.600 M frente a 30.000 M). La diferencia es de intereses: suponemos un coste neto de la deuda del 13 % sobre ≈ 47.000 M de deuda neta media (6.100 M), con la curva de tipos de después de las elecciones, mientras que el consenso, probablemente anterior, contaba con la Selic del Focus (11,75 % en 2027). Nuestro precio base (26,88 BRL) queda un 22 % por debajo del objetivo medio de los analistas (34,60), que también es anterior al 26-oct. No lo acercamos.</w:t>
      </w:r>
    </w:p>
    <w:p>
      <w:pPr>
        <w:keepNext/>
        <w:spacing w:after="100"/>
      </w:pPr>
      <w:r>
        <w:rPr>
          <w:b/>
          <w:bCs/>
        </w:rPr>
        <w:t xml:space="preserve">Del valor intrínseco al objetivo a 12 meses.</w:t>
      </w:r>
    </w:p>
    <w:p>
      <w:pPr>
        <w:spacing w:after="100"/>
      </w:pPr>
      <w:r>
        <w:t xml:space="preserve">El objetivo a 12 meses (25,42 BRL ponderado, 26,88 el base) queda muy por encima del valor intrínseco (14,46): el mercado paga 12 veces el beneficio de una regulada que crece al 10 % y nuestro DCF castiga que ese crecimiento rinda menos que el coste de capital. La distancia (≈ 76 %) no la cierra un catalizador: la cerraría una bajada de la tasa libre en reales (cada punto vale ≈ 2 BRL de DCF) o una revisión del WACC regulatorio en 2030. Por eso la tesis no es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(conferencia el 6-nov)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atención al cliente y resultado financiero con la deuda neta de ≈ 38.000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ARSESP publica el reajuste tarifario de 2027 (actualización de la BAR con el capex de 2025-2026)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ingresos de 2027; +19 % en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Reuniones del Copom y política fiscal del nuevo mandato de Lula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tasa libre decide el valor: cada punto, ≈ 2 BRL de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Decretos y normas de referencia de la ANA sobre el Marco Legal del Saneamiento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cambios favorables a las estatales; el contrato URAE-1 no cambia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Metas de universalización del Factor 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cumplimiento sostiene la tarifa; un incumplimiento la recorta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Segundo ciclo tarifario (2030-2034)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WACC regulatorio de 7,86 % fijado [11]; elecciones estatales en oct-2030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en reales altos durante años (riesgo fiscal federal tras la victoria de Lula)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(DCF de 15,14 a 10,70 BRL con +2,46 puntos de tasa libre)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indexada al IPCA y BAR actualizada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15 % y Selic sin bajar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en CDI con 34.000 M de deuda neta creciente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BPA 2028e −25 % en el bajista (1,67 frente a 2,24)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deuda en IPCA, coberturas de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trimestral por encima de 1.200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político en el Estado de São Paulo en 2030 (poder concedente y acción especial)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si se reabre el contrato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firmado hasta 2060; Haddad dijo en 2026 que respetaría los contratos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para gobernador de 2030; propuestas de revisión del contrato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federales en el Marco Legal del Saneamiento y en la financiación del BNDES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es estatal; el Congreso tumbó en 2023 parte de los decretos que favorecían a las estatales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Decretos nuevos y normas de referencia de la 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Regulador que reconoce menos capex o con retraso (revisión de la BAR)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anual de inversiones y reajuste en la parte baja ya digerido (6,8 %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Reajuste de 2027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servicio y quejas de clientes (Factor Q, presión 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atención al cliente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Quejas en ARSESP y Procon; costes de servicios +39 % como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Sequía (como 2014-2015) que obligue a racionar y baje el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Climático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los embalses de EMAE y obras de seguridad hídrica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del sistema Cantareira por debajo del 30 %</w:t>
            </w:r>
          </w:p>
        </w:tc>
      </w:tr>
    </w:tbl>
    <w:p>
      <w:pPr>
        <w:spacing w:after="160" w:before="0"/>
      </w:pPr>
    </w:p>
    <w:p>
      <w:pPr>
        <w:pStyle w:val="Heading2"/>
      </w:pPr>
      <w:r>
        <w:t xml:space="preserve">Pre-mortem</w:t>
      </w:r>
    </w:p>
    <w:p>
      <w:pPr>
        <w:spacing w:after="100"/>
      </w:pPr>
      <w:r>
        <w:t xml:space="preserve">Es octubre de 2029 y la acción ha perdido un 40 %. El nuevo gobierno federal no consiguió anclar las cuentas públicas: la inflación se quedó por encima del 5 %, la Selic no bajó del 14 % y el bono a 10 años se mantuvo en el 15-16 %. Sabesp siguió invirtiendo 15.000-20.000 M al año, como exige el contrato, y su deuda neta pasó de 34.000 a 60.000 M: el resultado financiero se comió la mejora del EBITDA y el BPA de 2028 se quedó en 1,6 BRL. ARSESP, presionada por las quejas de clientes y por el año electoral de 2030, reconoció el capex con retraso y la tarifa social siguió restando. El mercado, que en 2025 pagaba 17 veces el beneficio por la euforia de la privatización, pasó a pagar 9 veces como Copasa y Sanepar. Los indicadores que lo anunciaban: el resultado financiero trimestral por encima de 1.200 M, el bono a 10 años sin bajar del 15 % tras el primer año de mandato y un reajuste de 2027 por debajo de la actualización de la BAR.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w:t>
      </w:r>
    </w:p>
    <w:p>
      <w:pPr>
        <w:spacing w:after="100"/>
      </w:pPr>
      <w:r>
        <w:t xml:space="preserve">La IA no sustituye una red de agua. Toca costes: detección de fugas y pérdidas, gestión de presión, mantenimiento predictivo y atención al cliente (la empresa cambió de proveedor de centro de llamadas y gastó un 39 % más en servicios en el 2T26 [4]). Si la eficiencia queda por debajo de los costes reconocidos, la empresa se la queda hasta la revisión siguiente; luego el regulador la traslada en parte al usuario (Factor X). Señal: pérdidas de agua y coste por conexión.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negocio es el ESG: universalizar el agua y el alcantarillado (1,8 millones de personas con agua y 3,8 millones con alcantarillado nuevos en 2024-2025) [4]. Lo material para las cifras es cumplir las metas del Factor U (que ajustan la tarifa) y la calidad del servicio (Factor Q): las quejas de clientes subieron tras la privatización y en 2026 la empresa gasta más en atención al cliente [4]. B3 le dio la etiqueta de «acciones verdes» en 2024 (más del 50 % de los ingresos en actividades verdes, certificado por S&amp;P Global) [1].</w:t>
      </w:r>
    </w:p>
    <w:p>
      <w:pPr>
        <w:pStyle w:val="Heading2"/>
      </w:pPr>
      <w:r>
        <w:t xml:space="preserve">Controversias</w:t>
      </w:r>
    </w:p>
    <w:p>
      <w:pPr>
        <w:spacing w:after="100"/>
      </w:pPr>
      <w:r>
        <w:t xml:space="preserve">Incidente de Jaguaré en 2026 (68 M de costes no recurrentes en el 2T26) [4]; quejas de clientes y críticas políticas a la privatización en la campaña de 2026 (prensa). Sin sanciones relevantes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BAR certificada de 2025 y cuánta inversión de 2026 reconocerá ARSESP en el reajuste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+19 % de ingresos de 2027e de nuestro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deuda está en CDI, en IPCA y en divisa, y cuánto sube el coste por cada punto de Selic?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intereses son la mayor diferencia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 regulatorio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7,86 % es real antes o después de impuestos, y cómo se compara con el coste de la deuda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inversión crea valor con los tipos de hoy.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protecciones tiene el contrato frente a un cambio de gobierno estatal en 2030 o a decretos federales?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riesgo de cola.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atención al cliente del 2T26 son recurrentes y los reconoce la tarifa?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58 % en el 2T26 frente al 63 % del 1T.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Activo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qué tasa se actualiza la indemnización y cuándo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22.862 M de activo y 1.676 M de ingresos sin caja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($SBS)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septiembre dominaba la idea de «para siempre» y la calidad de la ejecución; el 26-oct, mensajes de pánico («Brazil stocks are getting slaughtered») y de compra del rebote, con volumen siete veces el normal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(titulares y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julio, «una de las mejores historias de ejecución de Brasil»; el 7-oct, que la euforia política había adelantado la rentabilidad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federal tras Lula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es estatal y el gobernador reelegido lo defiende; el canal real es el coste de capital y de la deuda, que este informe recoge en el WACC y en el BPA.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privatización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le dan la razón: margen EBITDA ajustado del 42 % en 2021 al 59,5 % en 2025 y metas del Factor U cumplidas.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euforia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nuestro DCF: con la tasa libre de hoy, el precio pide más de lo que da la tarifa.</w:t>
            </w:r>
          </w:p>
        </w:tc>
      </w:tr>
    </w:tbl>
    <w:p>
      <w:pPr>
        <w:spacing w:after="160" w:before="0"/>
      </w:pPr>
    </w:p>
    <w:p>
      <w:pPr>
        <w:spacing w:after="100"/>
      </w:pPr>
      <w:r>
        <w:t xml:space="preserve">El sentimiento de los particulares pasó de complaciente a asustado en un día, pero sin argumentos nuevos sobre el negocio. No cambia la decisión: el riesgo político que ven ya está en la tasa de descuento, y la tesis de ejecución que defendían está en las cifras. Muestra pequeña (dos sitios con debate real; Reddit y los foros brasileños no abrieron).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30 (15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16,8 % frente a un ROIC de 13,0 % y un incremental histórico de 24,6 %: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9,2 % real: genera una variación de circulante de -294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4,50 %. Explicación: El 4,5 % es nominal en reales: inflación del Focus para 2029-2030 (3,5 % [24]) más un punto real, con una tasa libre del 15,4 %. El control (≤ 3 %) está pensado para divisas de inflación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ITR 2T26 (texto sin tabla legible); 2) 20-F 2025, Item 5 (tabla no extraíble del HTML); 3) notas de resultados (no la traen)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TCAC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(sin tamaño de mercado en reales); 2) SNIS/SINISA (sin serie de ingresos sectoriales accesible); 3) prensa sectorial (cifras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(solo B3 Ações Verdes); 2) web de RI (no abierta); 3) búsqueda de MSCI/Sustainalytics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y comisiones del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6 (sin resultado de votos); 2) actas de la junta de abr-2026 (no descargadas: web de RI con JavaScript); 3) Formulário de Referência de la CVM (no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(privatización: precio por acción, sin múltiplo de RAB publicado); 2) compras de Aegea (Corsan 2022) y subastas de Cedae 2021 (pagos de concesión, no valor empresa); 3) EMAE 2026 (energía, otro negocio)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B3 (sin acceso); 2) Yahoo (sin dato para SBSP3);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NIIF, notas, contrato de concesión URAE-1, consejo, remuneración, auditor (EY),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Sabesp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https://www.sec.gov/Archives/edgar/data/1170858/000129281426002681/sbsform20f_2025.htm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Earnings Release 4Q25 (cuenta publicada y ajustada de 2025 y 2024, balance, flujos,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https://www.sec.gov/Archives/edgar/data/1170858/000129281426000921/sbspr4q25_6k.htm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1Q26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https://www.sec.gov/Archives/edgar/data/1170858/000129281426002895/sbspr1q26_6k.htm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2Q26 (cuenta ajustada, balance y flujos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https://www.sec.gov/Archives/edgar/data/1170858/000129281426004210/sbsitr2q26_6k.htm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Informações Trimestrais (ITR) 2T26: notas (EMAE, BPA y acciones tras el desdoblamiento 1:5, deuda, activo financiero de la concesión)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https://www.sec.gov/Archives/edgar/data/1170858/000129281426004252/sbsitr2q26_6k.htm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abiertos de la CVM: DFP 2024 y 2025 e ITR 2025-2026 consolidados (DRE, BPA, BPP, DFC) de Sabesp (código CVM 14443)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Comissão de Valores Mobiliários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https://dados.cvm.gov.br/dados/CIA_ABERTA/DOC/DFP/DADOS/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Sabesp (cuenta, balance y flujos 2015-2024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https://data.sec.gov/api/xbrl/companyfacts/CIK0001170858.json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3Q25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https://www.sec.gov/Archives/edgar/data/1170858/000129281425003899/sbspr3q25_6k.htm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2Q25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https://www.sec.gov/Archives/edgar/data/1170858/000129281425003037/sbspr2q25_6k.htm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(SBSP3): base de ativos de 2024 aprovada (BAR de 78,5 y 88 mil M BRL en 2023 y 2024; EV/BAR 26E 1,2x)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Genial Investimentos (Analisa)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https://analisa.genialinvestimentos.com.br/acoes/sabesp/sabesp-sbsp3-base-de-ativos-de-2024-aprovada/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atualizando estimativas após o 1T25 (WACC regulatório de 7,86 % estable en el ciclo 2030-2034)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XP Investimentos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https://conteudos.xpi.com.br/acoes/relatorios/sabesp-sbsp3-atualizando-estimativas-apos-o-1t25/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Mesmo com investimento 151 % maior, tarifa da Sabesp não terá aumento real para o consumidor em 2026 (≈ 70 mil M de inversión hasta 2029; IPCA de 16 meses 6,11 %)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Secretaría de Medio Ambiente, Infraestructura y Logística de SP (SEMIL)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https://semil.sp.gov.br/2025/12/mesmo-com-investimento-151-maior-tarifa-da-sabesp-nao-tera-aumento-real-para-o-consumidor-em-2026/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por que o reajuste tarifário tira um importante fator de risco (reajuste de 6,8 % desde el 1-ene-2026; receita requerida 24,9 mil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https://www.infomoney.com.br/?p=3125083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y datos de Copasa, Sanepar, American Water, Severn Trent, United Utilities (ingresos, EBITDA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relevantes conjuntos Sabesp-EMAE: incorporación de acciones (1,3195 acciones de Sabesp por acción de EMAE, entrega 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https://www.sec.gov/Archives/edgar/data/1170858/000129281426004962/sbs20261021_6k.htm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modificados (capital de 3.534.409.282 acciones tras EMAE)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Sabesp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https://www.sec.gov/Archives/edgar/data/1170858/000129281426004674/sbs20260922_6k.htm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3 y 4 de consejeros y directivos (mar-jun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https://www.sec.gov/cgi-bin/browse-edgar?action=getcompany&amp;CIK=0001170858&amp;type=4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SBSP3.SA, SBS, ^BVSP y EWZ (precio, rango, volumen, beta, cierres de ejercicio); cierre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https://finance.yahoo.com/quote/SBSP3.SA/history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quoteSummary de SBSP3.SA y comparables (consenso de BPA, objetivos, recomendaciones,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https://query2.finance.yahoo.com/v10/finance/quoteSummary/SBSP3.SA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10-Year Government Bond Yield: 15,435 % el 26-oct-2026 (+2,46 puntos tras la victoria de Lula)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Brazil’s 10-Year Yield Edges Higher Ahead of Election Runoff (por encima del 13 % en octubre; Datafolha 50-50)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https://tradingeconomics.com/brazil/government-bond-yield/news/594734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PTAX del dólar: 5,5007 BRL/USD (venta)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https://olinda.bcb.gov.br/olinda/servico/PTAX/versao/v1/odata/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Ibovespa −13,9 % el 26-oct-2026; cancelación de subastas del Tesoro; Selic 13,75 %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https://tradingeconomics.com/brazil/stock-market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IPCA 3,5 % en 2029-2030 y Selic 11,75 % en 2027 y 10 % en 2028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https://olinda.bcb.gov.br/olinda/servico/Expectativas/versao/v1/odata/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balances del 3T26: Sabesp publica el 5-nov tras el cierre; conferencia el 6-nov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https://www.seudinheiro.com/2026/economia/temporada-de-balancos-do-3t26-bate-a-porta-veja-as-datas-das-divulgacoes-e-das-teleconferencias-davs/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ERP implícita del S&amp;P 500 por mes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 elección a gobernador de São Paulo: Tarcísio de Freitas reelegido en primera vuelta (≈ 64 % de los votos válidos con la mitad escrutada)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Correio da Manhã</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https://www.correiodamanha.com.br/politica/2026/10/324229-tarcisio-de-freitas-e-reeleito-governador-de-sao-paulo-no-primeiro-turno.html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Como a Sabesp virou pauta na campanha de Haddad por SP (no revertir la privatización, «respeitam contratos»; analizar los efectos)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Investidor10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https://investidor10.com.br/noticias/como-a-sabesp-sbsp3-virou-pauta-na-campanha-de-haddad-por-sp-nas-eleicoes-2026-119405/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$SBS (mar-oct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https://api.stocktwits.com/api/2/streams/symbol/SBS.json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SBS («Political Euphoria Has Pulled Returns Forward», 7-oct-2026; «Still One Of Brazil’s Best Execution Stories»,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https://seekingalpha.com/api/sa/combined/SBS.xml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82,9 %</w:t>
      </w:r>
      <w:r>
        <w:t xml:space="preserve"> · Secciones con menos del 60 % de campos cubiertos: </w:t>
      </w:r>
      <w:r>
        <w:rPr>
          <w:b/>
          <w:bCs/>
        </w:rPr>
        <w:t xml:space="preserve">gobierno, transacciones</w:t>
      </w:r>
      <w:r>
        <w:t xml:space="preserve"> · Generado el 27 oct 2026.</w:t>
      </w:r>
    </w:p>
    <w:p>
      <w:pPr>
        <w:pStyle w:val="Nota"/>
        <w:spacing w:after="100"/>
      </w:pPr>
      <w:r>
        <w:t xml:space="preserve">Cifras en millones de BRL, ejercicio natural, NIIF. Línea elegida: SBSP3 en B3 (BRL), la del mercado principal; el ADS SBS de la NYSE representa una acción [1] y cerró el 26-oct a 4,73 USD (25,27 BRL ÷ 4,73 = 5,34 BRL/USD, en línea con el cierre del real; la PTAX del día fue 5,5007 [22]). Para un inversor europeo con IBKR, la línea práctica es el ADS en USD (la cuenta no tiene datos de B3 y no consta permiso para Brasil). Último trimestre publicado: 2T26; el 3T26 sale el 5-nov-2026 tras el cierre [25]. El XBRL de la SEC no trae 2025 (el 20-F de 2025 no está en companyfacts): 2025 y 2026 salen de las notas de resultados, del ITR y de los datos abiertos de la CVM (DFP e ITR) [2, 3, 4, 5, 6]. La cuenta es la AJUSTADA de la empresa en 2024-2025 (sin ingresos de construcción, sin la actualización del activo financiero de la indemnización y sin no recurrentes) y la publicada sin construcción en 2021-2023 (ver financieros.ajustes). Acciones en base del desdoblamiento 1:5 de 2026 [5]; 3.527,6 M tras la entrega de acciones a los minoritarios de EMAE el 27-oct (estimación: 3.516,6 M en circulación + ≈ 11 M nuevas) [15, 19]. La base de activos regulada (BAR) de jun-2026 es estimación propia sobre la de 2024 validada por ARSESP [10]. Las rentabilidades de 3-10 años y la serie anual de bolsa llegan al 23-oct (Yahoo no tenía aún la sesión del 26-oct en el histórico); el precio del 26-oct sale de la misma fuente [18].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Sabesp (Cia. de Saneamento de SP) (SBSP3)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(23,17 – 35,32)</c:v>
                </c:pt>
                <c:pt idx="1">
                  <c:v>Precio objetivo de los analistas (23,80 – 41,00)</c:v>
                </c:pt>
                <c:pt idx="2">
                  <c:v>Comparables: PER NTM (25,35 – 40,21)</c:v>
                </c:pt>
                <c:pt idx="3">
                  <c:v>DCF (WACC y g ± 0,5) (9,01 – 12,70)</c:v>
                </c:pt>
                <c:pt idx="4">
                  <c:v>Escenarios (bajista – alcista) (3,46 – 17,32)</c:v>
                </c:pt>
                <c:pt idx="5">
                  <c:v>DCF con la prima implícita del mercado (4,2 %)</c:v>
                </c:pt>
                <c:pt idx="6">
                  <c:v>Precio actual (25,27)</c:v>
                </c:pt>
              </c:strCache>
            </c:strRef>
          </c:cat>
          <c:val>
            <c:numRef>
              <c:f>Hoja1!$B$2:$B$8</c:f>
              <c:numCache>
                <c:formatCode>#,##0.0</c:formatCode>
                <c:ptCount val="7"/>
                <c:pt idx="0">
                  <c:v>23.17</c:v>
                </c:pt>
                <c:pt idx="1">
                  <c:v>23.8</c:v>
                </c:pt>
                <c:pt idx="2">
                  <c:v>25.35</c:v>
                </c:pt>
                <c:pt idx="3">
                  <c:v>9.01</c:v>
                </c:pt>
                <c:pt idx="4">
                  <c:v>3.46</c:v>
                </c:pt>
                <c:pt idx="5">
                  <c:v>11.07</c:v>
                </c:pt>
                <c:pt idx="6">
                  <c:v>25.14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(23,17 – 35,32)</c:v>
                </c:pt>
                <c:pt idx="1">
                  <c:v>Precio objetivo de los analistas (23,80 – 41,00)</c:v>
                </c:pt>
                <c:pt idx="2">
                  <c:v>Comparables: PER NTM (25,35 – 40,21)</c:v>
                </c:pt>
                <c:pt idx="3">
                  <c:v>DCF (WACC y g ± 0,5) (9,01 – 12,70)</c:v>
                </c:pt>
                <c:pt idx="4">
                  <c:v>Escenarios (bajista – alcista) (3,46 – 17,32)</c:v>
                </c:pt>
                <c:pt idx="5">
                  <c:v>DCF con la prima implícita del mercado (4,2 %)</c:v>
                </c:pt>
                <c:pt idx="6">
                  <c:v>Precio actual (25,27)</c:v>
                </c:pt>
              </c:strCache>
            </c:strRef>
          </c:cat>
          <c:val>
            <c:numRef>
              <c:f>Hoja1!$C$2:$C$8</c:f>
              <c:numCache>
                <c:formatCode>#,##0.0</c:formatCode>
                <c:ptCount val="7"/>
                <c:pt idx="0">
                  <c:v>12.149999999999999</c:v>
                </c:pt>
                <c:pt idx="1">
                  <c:v>17.2</c:v>
                </c:pt>
                <c:pt idx="2">
                  <c:v>14.86</c:v>
                </c:pt>
                <c:pt idx="3">
                  <c:v>3.6899999999999995</c:v>
                </c:pt>
                <c:pt idx="4">
                  <c:v>13.86</c:v>
                </c:pt>
                <c:pt idx="5">
                  <c:v>2.83</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(BRL, millones)</a:t>
            </a:r>
          </a:p>
        </c:rich>
      </c:tx>
      <c:overlay val="0"/>
    </c:title>
    <c:autoTitleDeleted val="0"/>
    <c:plotArea>
      <c:layout/>
      <c:barChart>
        <c:barDir val="col"/>
        <c:grouping val="stacked"/>
        <c:varyColors val="0"/>
        <c:ser>
          <c:idx val="0"/>
          <c:order val="0"/>
          <c:tx>
            <c:strRef>
              <c:f>Hoja1!$B$1</c:f>
              <c:strCache>
                <c:ptCount val="1"/>
                <c:pt idx="0">
                  <c:v>Saneamiento (agua y alcantarillado)</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15114</c:v>
                </c:pt>
                <c:pt idx="1">
                  <c:v>17192</c:v>
                </c:pt>
                <c:pt idx="2">
                  <c:v>19972</c:v>
                </c:pt>
                <c:pt idx="3">
                  <c:v>21726</c:v>
                </c:pt>
                <c:pt idx="4">
                  <c:v>22213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Saneamiento (agua y alcantarillado)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 de São Paulo (Brasil)</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Sabesp</c:v>
                </c:pt>
                <c:pt idx="1">
                  <c:v>Copasa (Minas Gerais)</c:v>
                </c:pt>
                <c:pt idx="2">
                  <c:v>Sanepar (Paraná)</c:v>
                </c:pt>
                <c:pt idx="3">
                  <c:v>American Water Works</c:v>
                </c:pt>
                <c:pt idx="4">
                  <c:v>Severn Trent</c:v>
                </c:pt>
                <c:pt idx="5">
                  <c:v>United Utilities</c:v>
                </c:pt>
              </c:strCache>
            </c:strRef>
          </c:cat>
          <c:val>
            <c:numRef>
              <c:f>Hoja1!$B$2:$B$7</c:f>
              <c:numCache>
                <c:formatCode>0.0"%"</c:formatCode>
                <c:ptCount val="6"/>
                <c:pt idx="0">
                  <c:v>49.6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(BRL,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15114</c:v>
                </c:pt>
                <c:pt idx="1">
                  <c:v>17192</c:v>
                </c:pt>
                <c:pt idx="2">
                  <c:v>19972</c:v>
                </c:pt>
                <c:pt idx="3">
                  <c:v>21726</c:v>
                </c:pt>
                <c:pt idx="4">
                  <c:v>22213</c:v>
                </c:pt>
                <c:pt idx="5">
                  <c:v>24879</c:v>
                </c:pt>
                <c:pt idx="6">
                  <c:v>29605</c:v>
                </c:pt>
                <c:pt idx="7">
                  <c:v>32566</c:v>
                </c:pt>
                <c:pt idx="8">
                  <c:v>35008</c:v>
                </c:pt>
                <c:pt idx="9">
                  <c:v>37459</c:v>
                </c:pt>
                <c:pt idx="10">
                  <c:v>39707</c:v>
                </c:pt>
                <c:pt idx="11">
                  <c:v>41890</c:v>
                </c:pt>
                <c:pt idx="12">
                  <c:v>43985</c:v>
                </c:pt>
                <c:pt idx="13">
                  <c:v>46184</c:v>
                </c:pt>
                <c:pt idx="14">
                  <c:v>48263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6399</c:v>
                </c:pt>
                <c:pt idx="1">
                  <c:v>7589</c:v>
                </c:pt>
                <c:pt idx="2">
                  <c:v>9137</c:v>
                </c:pt>
                <c:pt idx="3">
                  <c:v>11339</c:v>
                </c:pt>
                <c:pt idx="4">
                  <c:v>13221</c:v>
                </c:pt>
                <c:pt idx="5">
                  <c:v>14927</c:v>
                </c:pt>
                <c:pt idx="6">
                  <c:v>18948</c:v>
                </c:pt>
                <c:pt idx="7">
                  <c:v>21494</c:v>
                </c:pt>
                <c:pt idx="8">
                  <c:v>23456</c:v>
                </c:pt>
                <c:pt idx="9">
                  <c:v>25098</c:v>
                </c:pt>
                <c:pt idx="10">
                  <c:v>26603</c:v>
                </c:pt>
                <c:pt idx="11">
                  <c:v>28067</c:v>
                </c:pt>
                <c:pt idx="12">
                  <c:v>29470</c:v>
                </c:pt>
                <c:pt idx="13">
                  <c:v>30943</c:v>
                </c:pt>
                <c:pt idx="14">
                  <c:v>32336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43.6</c:v>
                </c:pt>
                <c:pt idx="1">
                  <c:v>44.2</c:v>
                </c:pt>
                <c:pt idx="2">
                  <c:v>47</c:v>
                </c:pt>
                <c:pt idx="3">
                  <c:v>51.6</c:v>
                </c:pt>
                <c:pt idx="4">
                  <c:v>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42.3</c:v>
                </c:pt>
                <c:pt idx="1">
                  <c:v>44.1</c:v>
                </c:pt>
                <c:pt idx="2">
                  <c:v>45.7</c:v>
                </c:pt>
                <c:pt idx="3">
                  <c:v>52.2</c:v>
                </c:pt>
                <c:pt idx="4">
                  <c:v>59.5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27.4</c:v>
                </c:pt>
                <c:pt idx="1">
                  <c:v>29.9</c:v>
                </c:pt>
                <c:pt idx="2">
                  <c:v>31.8</c:v>
                </c:pt>
                <c:pt idx="3">
                  <c:v>40.1</c:v>
                </c:pt>
                <c:pt idx="4">
                  <c:v>49.6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18.2</c:v>
                </c:pt>
                <c:pt idx="2">
                  <c:v>17.6</c:v>
                </c:pt>
                <c:pt idx="3">
                  <c:v>23.8</c:v>
                </c:pt>
                <c:pt idx="4">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2.1</c:v>
                </c:pt>
                <c:pt idx="5">
                  <c:v>10.9</c:v>
                </c:pt>
                <c:pt idx="6">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65</c:v>
                </c:pt>
                <c:pt idx="1">
                  <c:v>65</c:v>
                </c:pt>
                <c:pt idx="2">
                  <c:v>65</c:v>
                </c:pt>
                <c:pt idx="3">
                  <c:v>65</c:v>
                </c:pt>
                <c:pt idx="4">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c:v>
                </c:pt>
                <c:pt idx="1">
                  <c:v>5</c:v>
                </c:pt>
                <c:pt idx="2">
                  <c:v>3</c:v>
                </c:pt>
                <c:pt idx="3">
                  <c:v>0</c:v>
                </c:pt>
                <c:pt idx="4">
                  <c:v>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c:v>
                </c:pt>
                <c:pt idx="1">
                  <c:v>16</c:v>
                </c:pt>
                <c:pt idx="2">
                  <c:v>16</c:v>
                </c:pt>
                <c:pt idx="3">
                  <c:v>27</c:v>
                </c:pt>
                <c:pt idx="4">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(BRL,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-413</c:v>
                </c:pt>
                <c:pt idx="1">
                  <c:v>-246</c:v>
                </c:pt>
                <c:pt idx="2">
                  <c:v>41</c:v>
                </c:pt>
                <c:pt idx="3">
                  <c:v>-1196</c:v>
                </c:pt>
                <c:pt idx="4">
                  <c:v>-5859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2306</c:v>
                </c:pt>
                <c:pt idx="1">
                  <c:v>3121</c:v>
                </c:pt>
                <c:pt idx="2">
                  <c:v>3524</c:v>
                </c:pt>
                <c:pt idx="3">
                  <c:v>5174</c:v>
                </c:pt>
                <c:pt idx="4">
                  <c:v>6318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c:v>
                </c:pt>
                <c:pt idx="1">
                  <c:v>8.7</c:v>
                </c:pt>
                <c:pt idx="2">
                  <c:v>10.1</c:v>
                </c:pt>
                <c:pt idx="3">
                  <c:v>12.4</c:v>
                </c:pt>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15.7</c:v>
                </c:pt>
                <c:pt idx="1">
                  <c:v>15.7</c:v>
                </c:pt>
                <c:pt idx="2">
                  <c:v>15.7</c:v>
                </c:pt>
                <c:pt idx="3">
                  <c:v>15.7</c:v>
                </c:pt>
                <c:pt idx="4">
                  <c:v>15.7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9.2</c:v>
                </c:pt>
                <c:pt idx="1">
                  <c:v>11.9</c:v>
                </c:pt>
                <c:pt idx="2">
                  <c:v>12.3</c:v>
                </c:pt>
                <c:pt idx="3">
                  <c:v>15.5</c:v>
                </c:pt>
                <c:pt idx="4">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2.66</c:v>
                </c:pt>
                <c:pt idx="1">
                  <c:v>2.25</c:v>
                </c:pt>
                <c:pt idx="2">
                  <c:v>2.05</c:v>
                </c:pt>
                <c:pt idx="3">
                  <c:v>1.68</c:v>
                </c:pt>
                <c:pt idx="4">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(BRL,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254</c:v>
                </c:pt>
                <c:pt idx="1">
                  <c:v>604</c:v>
                </c:pt>
                <c:pt idx="2">
                  <c:v>824</c:v>
                </c:pt>
                <c:pt idx="3">
                  <c:v>929</c:v>
                </c:pt>
                <c:pt idx="4">
                  <c:v>2364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475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Dominical</c:v>
                </c:pt>
              </c:strCache>
            </c:strRef>
          </c:cat>
          <c:val>
            <c:numRef>
              <c:f>Hoja1!$B$2:$B$3</c:f>
              <c:numCache>
                <c:formatCode>0</c:formatCode>
                <c:ptCount val="2"/>
                <c:pt idx="0">
                  <c:v>3</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 de São Paulo (con acción especial)</c:v>
                </c:pt>
                <c:pt idx="1">
                  <c:v>Equatorial S.A.</c:v>
                </c:pt>
                <c:pt idx="2">
                  <c:v>Capital libre</c:v>
                </c:pt>
              </c:strCache>
            </c:strRef>
          </c:cat>
          <c:val>
            <c:numRef>
              <c:f>Hoja1!$B$2:$B$4</c:f>
              <c:numCache>
                <c:formatCode>0.0"%"</c:formatCode>
                <c:ptCount val="3"/>
                <c:pt idx="0">
                  <c:v>18</c:v>
                </c:pt>
                <c:pt idx="1">
                  <c:v>15</c:v>
                </c:pt>
                <c:pt idx="2">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52.1</c:v>
                </c:pt>
                <c:pt idx="1">
                  <c:v>19.2</c:v>
                </c:pt>
                <c:pt idx="2">
                  <c:v>-8.2</c:v>
                </c:pt>
                <c:pt idx="3">
                  <c:v>92.3</c:v>
                </c:pt>
                <c:pt idx="4">
                  <c:v>-26.6</c:v>
                </c:pt>
                <c:pt idx="5">
                  <c:v>-9.6</c:v>
                </c:pt>
                <c:pt idx="6">
                  <c:v>42.3</c:v>
                </c:pt>
                <c:pt idx="7">
                  <c:v>31.9</c:v>
                </c:pt>
                <c:pt idx="8">
                  <c:v>17.4</c:v>
                </c:pt>
                <c:pt idx="9">
                  <c:v>55.2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38.9</c:v>
                </c:pt>
                <c:pt idx="1">
                  <c:v>26.9</c:v>
                </c:pt>
                <c:pt idx="2">
                  <c:v>15</c:v>
                </c:pt>
                <c:pt idx="3">
                  <c:v>31.9</c:v>
                </c:pt>
                <c:pt idx="4">
                  <c:v>2.9</c:v>
                </c:pt>
                <c:pt idx="5">
                  <c:v>-12.1</c:v>
                </c:pt>
                <c:pt idx="6">
                  <c:v>5</c:v>
                </c:pt>
                <c:pt idx="7">
                  <c:v>22</c:v>
                </c:pt>
                <c:pt idx="8">
                  <c:v>-10.4</c:v>
                </c:pt>
                <c:pt idx="9">
                  <c:v>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6.8</c:v>
                </c:pt>
                <c:pt idx="1">
                  <c:v>7.2</c:v>
                </c:pt>
                <c:pt idx="2">
                  <c:v>7.5</c:v>
                </c:pt>
                <c:pt idx="3">
                  <c:v>6.9</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7.2</c:v>
                </c:pt>
                <c:pt idx="1">
                  <c:v>7.2</c:v>
                </c:pt>
                <c:pt idx="2">
                  <c:v>7.2</c:v>
                </c:pt>
                <c:pt idx="3">
                  <c:v>7.2</c:v>
                </c:pt>
                <c:pt idx="4">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(BRL,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-8006</c:v>
                </c:pt>
                <c:pt idx="1">
                  <c:v>-2494</c:v>
                </c:pt>
                <c:pt idx="2">
                  <c:v>3632</c:v>
                </c:pt>
                <c:pt idx="3">
                  <c:v>7235</c:v>
                </c:pt>
                <c:pt idx="4">
                  <c:v>10575</c:v>
                </c:pt>
                <c:pt idx="5">
                  <c:v>12479</c:v>
                </c:pt>
                <c:pt idx="6">
                  <c:v>13654</c:v>
                </c:pt>
                <c:pt idx="7">
                  <c:v>14791</c:v>
                </c:pt>
                <c:pt idx="8">
                  <c:v>15761</c:v>
                </c:pt>
                <c:pt idx="9">
                  <c:v>16727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(BRL,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37989</c:v>
                </c:pt>
                <c:pt idx="1">
                  <c:v>41049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(BRL) · precio actual 25,27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3.46</c:v>
                </c:pt>
                <c:pt idx="1">
                  <c:v>10.7</c:v>
                </c:pt>
                <c:pt idx="2">
                  <c:v>17.32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(23,17 – 35,32)</c:v>
                </c:pt>
                <c:pt idx="1">
                  <c:v>Precio objetivo de los analistas (23,80 – 41,00)</c:v>
                </c:pt>
                <c:pt idx="2">
                  <c:v>Comparables: PER NTM (25,35 – 40,21)</c:v>
                </c:pt>
                <c:pt idx="3">
                  <c:v>DCF (WACC y g ± 0,5) (9,01 – 12,70)</c:v>
                </c:pt>
                <c:pt idx="4">
                  <c:v>Escenarios (bajista – alcista) (3,46 – 17,32)</c:v>
                </c:pt>
                <c:pt idx="5">
                  <c:v>DCF con la prima implícita del mercado (4,2 %)</c:v>
                </c:pt>
                <c:pt idx="6">
                  <c:v>Precio actual (25,27)</c:v>
                </c:pt>
              </c:strCache>
            </c:strRef>
          </c:cat>
          <c:val>
            <c:numRef>
              <c:f>Hoja1!$B$2:$B$8</c:f>
              <c:numCache>
                <c:formatCode>#,##0.0</c:formatCode>
                <c:ptCount val="7"/>
                <c:pt idx="0">
                  <c:v>23.17</c:v>
                </c:pt>
                <c:pt idx="1">
                  <c:v>23.8</c:v>
                </c:pt>
                <c:pt idx="2">
                  <c:v>25.35</c:v>
                </c:pt>
                <c:pt idx="3">
                  <c:v>9.01</c:v>
                </c:pt>
                <c:pt idx="4">
                  <c:v>3.46</c:v>
                </c:pt>
                <c:pt idx="5">
                  <c:v>11.07</c:v>
                </c:pt>
                <c:pt idx="6">
                  <c:v>25.14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(23,17 – 35,32)</c:v>
                </c:pt>
                <c:pt idx="1">
                  <c:v>Precio objetivo de los analistas (23,80 – 41,00)</c:v>
                </c:pt>
                <c:pt idx="2">
                  <c:v>Comparables: PER NTM (25,35 – 40,21)</c:v>
                </c:pt>
                <c:pt idx="3">
                  <c:v>DCF (WACC y g ± 0,5) (9,01 – 12,70)</c:v>
                </c:pt>
                <c:pt idx="4">
                  <c:v>Escenarios (bajista – alcista) (3,46 – 17,32)</c:v>
                </c:pt>
                <c:pt idx="5">
                  <c:v>DCF con la prima implícita del mercado (4,2 %)</c:v>
                </c:pt>
                <c:pt idx="6">
                  <c:v>Precio actual (25,27)</c:v>
                </c:pt>
              </c:strCache>
            </c:strRef>
          </c:cat>
          <c:val>
            <c:numRef>
              <c:f>Hoja1!$C$2:$C$8</c:f>
              <c:numCache>
                <c:formatCode>#,##0.0</c:formatCode>
                <c:ptCount val="7"/>
                <c:pt idx="0">
                  <c:v>12.149999999999999</c:v>
                </c:pt>
                <c:pt idx="1">
                  <c:v>17.2</c:v>
                </c:pt>
                <c:pt idx="2">
                  <c:v>14.86</c:v>
                </c:pt>
                <c:pt idx="3">
                  <c:v>3.6899999999999995</c:v>
                </c:pt>
                <c:pt idx="4">
                  <c:v>13.86</c:v>
                </c:pt>
                <c:pt idx="5">
                  <c:v>2.83</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