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KONE Oyj</w:t>
      </w:r>
    </w:p>
    <w:p>
      <w:pPr>
        <w:spacing w:after="60"/>
        <w:rPr>
          <w:color w:val="52514E"/>
          <w:sz w:val="22"/>
          <w:szCs w:val="22"/>
        </w:rPr>
      </w:pPr>
      <w:r>
        <w:rPr>
          <w:color w:val="52514E"/>
          <w:sz w:val="22"/>
          <w:szCs w:val="22"/>
        </w:rPr>
        <w:t xml:space="preserve">KNEBV · Nasdaq Helsinki · ISIN FI0009013403 · Industrials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51,40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55,57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+11,6 % (base +11,6 %)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45,49 EUR · mercado 53,33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26.641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KONE Oyj</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KNEBV / FI0009013403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Helsinki</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Helsinki 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Industrials / Machinery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Espoo (Finlandia) · 1910</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www.kone.com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51,40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46,22 – 64,42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518,3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26.641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26.395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55,57 EUR</w:t>
      </w:r>
      <w:r>
        <w:t xml:space="preserve"> frente a 51,40 · Rentabilidad a 12 meses </w:t>
      </w:r>
      <w:r>
        <w:rPr>
          <w:b/>
          <w:bCs/>
        </w:rPr>
        <w:t xml:space="preserve">+11,6 % (base +11,6 %)</w:t>
      </w:r>
      <w:r>
        <w:t xml:space="preserve"> · Valor intrínseco 45,49 EUR · con la prima implícita del mercado: 53,33 (+3,8 %) · Alcista / bajista +0,3 % / -27,0 %</w:t>
      </w:r>
    </w:p>
    <w:p>
      <w:pPr>
        <w:spacing w:after="100"/>
      </w:pPr>
      <w:r>
        <w:rPr>
          <w:b/>
        </w:rPr>
        <w:t xml:space="preserve">La recomendación y por qué.</w:t>
      </w:r>
      <w:r>
        <w:t xml:space="preserve"> Mantener, con convicción baja. Con nuestro BPA de 2028e y la regla común de múltiplos, el objetivo a 12 meses es de 55,57 EUR frente a 51,40 EUR (cierre del 8 de octubre, el último que hemos podido fechar): +11,6 % con el dividendo, tanto ponderado como en el caso base. No llega a los umbrales de compra (15 % y 12 %) y el valor intrínseco (45,49 EUR) queda un 11,5 % por debajo del precio. El objetivo medio de los analistas (60,11 EUR) queda por encima de nuestro base. La convicción es baja porque las dos reglas discrepan (Vender con nuestro WACC, Mantener con la prima del mercado) y porque las cifras salen de extractos de búsqueda, no de los documentos completos; subiría si el 3T26 (28 de octubre) confirma un margen ajustado dentro de la guía y los pedidos de modernización a doble dígito.</w:t>
      </w:r>
    </w:p>
    <w:p>
      <w:pPr>
        <w:spacing w:after="100"/>
      </w:pPr>
      <w:r>
        <w:rPr>
          <w:b/>
        </w:rPr>
        <w:t xml:space="preserve">El negocio.</w:t>
      </w:r>
      <w:r>
        <w:t xml:space="preserve"> KONE es uno de los cuatro grandes del ascensor: 11.245 M EUR de ventas en 2025, un 63 % en mantenimiento y modernización, con precios indexados y clientes cautivos [3, 4]. Crea valor con holgura: ROIC del 43,5 % frente a un WACC del 7,85 %, aunque sobrestimado por un balance incompleto. El margen EBIT ajustado subió del 9,9 % de 2022 al 12,2 % de 2025 con las ventas casi planas: poder de precios y mezcla [3, 12]. </w:t>
      </w:r>
      <w:r>
        <w:rPr>
          <w:b/>
        </w:rPr>
        <w:t xml:space="preserve">Sostenibilidad: Sí</w:t>
      </w:r>
      <w:r>
        <w:t xml:space="preserve">; el 3,4 % anual que proyectamos casi no necesita capital, es parecido al crecimiento del mercado (≈3,9 %) y se apoya en ese poder de precios, no en ganar cuota [13].</w:t>
      </w:r>
    </w:p>
    <w:p>
      <w:pPr>
        <w:spacing w:after="100"/>
      </w:pPr>
      <w:r>
        <w:rPr>
          <w:b/>
        </w:rPr>
        <w:t xml:space="preserve">Sector y finanzas.</w:t>
      </w:r>
      <w:r>
        <w:t xml:space="preserve"> El equipo nuevo está en contracción por China (ventas allí −18,7 % en 2025, 19 % del total) y Roland Berger no espera recuperación antes de 2027; la modernización crece (pedidos del 2T26 +10,6 %) [1, 4, 13]. Caja neta de 245,5 M a junio de 2026 y pay-out del 95 % [1].</w:t>
      </w:r>
    </w:p>
    <w:p>
      <w:pPr>
        <w:spacing w:after="100"/>
      </w:pPr>
      <w:r>
        <w:rPr>
          <w:b/>
        </w:rPr>
        <w:t xml:space="preserve">Equipo y gobierno.</w:t>
      </w:r>
      <w:r>
        <w:t xml:space="preserve"> Resta: la familia Herlin controla ≈63 % de los votos con ≈14 % del capital mediante acciones A, y ha aprobado la mayor operación de la historia de KONE: la combinación con TKE por 29.400 M de valor empresa, 5.000 M en efectivo y hasta 270 M de acciones nuevas (52 % de las actuales) [6, 24, 25]. Se pagan ≈22 veces el EBIT ajustado de TKE a cambio de 700 M de sinergias que dependen de competencia.</w:t>
      </w:r>
    </w:p>
    <w:p>
      <w:pPr>
        <w:spacing w:after="100"/>
      </w:pPr>
      <w:r>
        <w:rPr>
          <w:b/>
        </w:rPr>
        <w:t xml:space="preserve">Valoración.</w:t>
      </w:r>
      <w:r>
        <w:t xml:space="preserve"> El DCF de KONE sola da 46,37 EUR. El DCF inverso dice que el precio descuenta un crecimiento del 5,0 % anual en 2027e-2035e (base 3,5 %) o un margen EBITDA del 18 % (base 16,5 %), es decir, una rentabilidad del 7,3 % frente a nuestro WACC del 7,85 % y al 6,8 % que pide el mercado. La diferencia es de tasa de descuento: con la prima del mercado el valor sube a 53,33 EUR. A 12 meses usamos el PER actual (23,8 veces nuestro BPA de 2027e), muy por debajo de la mediana de cinco años (28,6 veces); no suponemos vuelta a la media.</w:t>
      </w:r>
    </w:p>
    <w:p>
      <w:pPr>
        <w:spacing w:after="100"/>
      </w:pPr>
      <w:r>
        <w:rPr>
          <w:b/>
        </w:rPr>
        <w:t xml:space="preserve">Riesgos y catalizadores.</w:t>
      </w:r>
      <w:r>
        <w:t xml:space="preserve"> El mayor es TKE: unas desinversiones en Europa que recorten las sinergias tras haber emitido las acciones, con un efecto del orden del bajista (−14,4 %). Le sigue la compresión del múltiplo hacia los comparables (19,5 veces, −18 %). Catalizadores: 3T26 el 28-oct-2026, guía de 2027 en febrero y decisiones de competencia (CMA y Comisión Europea) antes del cierre, previsto como pronto en el 2T27 [10, 57].</w:t>
      </w:r>
    </w:p>
    <w:p>
      <w:pPr>
        <w:spacing w:after="100"/>
      </w:pPr>
      <w:r>
        <w:rPr>
          <w:b/>
        </w:rPr>
        <w:t xml:space="preserve">Qué cambiaría la decisión.</w:t>
      </w:r>
      <w:r>
        <w:t xml:space="preserve"> Compraríamos por debajo de 45,49 EUR (cumpliría los tres requisitos) y venderíamos por encima de 63,74 EUR. Pasaríamos a Comprar si el margen ajustado de 2026 supera el 13 % y la operación con TKE recibe autorización sin remedios relevantes; pasaríamos a Vender si la Comisión abre una fase 2 con desinversiones en Europa o si el margen ajustado cae por debajo del 12 %.</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55,57 EUR</w:t>
      </w:r>
      <w:r>
        <w:t xml:space="preserve"> (rentabilidad +11,6 % (base +11,6 %)) · Valor intrínseco: 45,49 EUR (-11,5 % sobre 51,40) · con la prima implícita del mercado: 53,33 (+3,8 %)</w:t>
      </w:r>
    </w:p>
    <w:p>
      <w:pPr>
        <w:spacing w:after="100"/>
      </w:pPr>
      <w:r>
        <w:t xml:space="preserve">KONE es un negocio de servicio disfrazado de fabricante: el 63 % de sus 11.245 M EUR de ventas es mantenimiento y modernización de una base instalada cautiva, con precios indexados, poco capital y un ROIC muy por encima de su coste de capital [3, 4]. Ha demostrado poder de precios: el margen EBIT ajustado subió 2,3 puntos entre 2022 y 2025 con las ventas casi planas.</w:t>
      </w:r>
    </w:p>
    <w:p>
      <w:pPr>
        <w:spacing w:after="100"/>
      </w:pPr>
      <w:r>
        <w:t xml:space="preserve">A 51,40 EUR, el precio descuenta un crecimiento del 5,0 % anual o un margen EBITDA del 18 % con nuestro WACC del 7,85 %: más de lo que KONE ha hecho nunca. Cotiza a 22,5 veces el beneficio de los próximos 12 meses, por encima de la mediana de comparables (19,5) pero en el mínimo de su historia (25-37 veces).</w:t>
      </w:r>
    </w:p>
    <w:p>
      <w:pPr>
        <w:spacing w:after="100"/>
      </w:pPr>
      <w:r>
        <w:t xml:space="preserve">El mercado acierta al quitar la prima histórica: China ya no empuja y la combinación con TKE (29.400 M, dilución del 52 %) trae riesgo de ejecución y de competencia [6]. Para invertir hay que creer que el mercado seguirá aceptando una rentabilidad del 7 % por un negocio tan defensivo y que TKE se cierra con las sinergias intactas. Lo primero es razonable; lo segundo, incierto hasta 2027.</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 × 2,09 = 42,22 · 23,8x × 2,33 = 55,57 · 30,6x × 2,47 = 75,58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 / 11,6 %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60,11 (nuestro base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 / -27,0 %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 frente a 7,8 % y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 frente a 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45,49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45,49 y 63,74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63,74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45,49 EUR: pasaríamos a Comprar (cumple los tres requisitos).</w:t>
      </w:r>
    </w:p>
    <w:p>
      <w:pPr>
        <w:pStyle w:val="ListParagraph"/>
        <w:numPr>
          <w:ilvl w:val="0"/>
          <w:numId w:val="2"/>
        </w:numPr>
        <w:spacing w:after="60"/>
      </w:pPr>
      <w:r>
        <w:t xml:space="preserve">Precio por encima de 63,74 EUR: pasaríamos a Vender.</w:t>
      </w:r>
    </w:p>
    <w:p>
      <w:pPr>
        <w:pStyle w:val="ListParagraph"/>
        <w:numPr>
          <w:ilvl w:val="0"/>
          <w:numId w:val="2"/>
        </w:numPr>
        <w:spacing w:after="60"/>
      </w:pPr>
      <w:r>
        <w:t xml:space="preserve">Margen EBIT ajustado de 2026 por debajo del 12,3 % (guía baja): revisaríamos el BPA de 2028e a la baja y el objetivo a 12 meses quedaría cerca del precio.</w:t>
      </w:r>
    </w:p>
    <w:p>
      <w:pPr>
        <w:pStyle w:val="ListParagraph"/>
        <w:numPr>
          <w:ilvl w:val="0"/>
          <w:numId w:val="2"/>
        </w:numPr>
        <w:spacing w:after="60"/>
      </w:pPr>
      <w:r>
        <w:t xml:space="preserve">Apertura de una fase 2 en Bruselas con remedios sobre el negocio europeo de TKE: bajaríamos el caso base hacia el bajista (42,22 EUR).</w:t>
      </w:r>
    </w:p>
    <w:p>
      <w:pPr>
        <w:pStyle w:val="ListParagraph"/>
        <w:numPr>
          <w:ilvl w:val="0"/>
          <w:numId w:val="2"/>
        </w:numPr>
        <w:spacing w:after="60"/>
      </w:pPr>
      <w:r>
        <w:t xml:space="preserve">Autorización de TKE sin remedios relevantes y sinergias confirmadas: subiríamos el BPA de 2028e y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 negocio defensivo que merece una tasa de descuento baja (rentabilidad implícita del 7,3 %), algo de crecimiento por la modernización y un descuento por el riesgo de TKE: el PER ha bajado a 23,8 veces nuestro BPA de 2027e desde 28-32 veces.</w:t>
      </w:r>
    </w:p>
    <w:p>
      <w:pPr>
        <w:keepNext/>
        <w:spacing w:after="100"/>
      </w:pPr>
      <w:r>
        <w:rPr>
          <w:b/>
          <w:bCs/>
        </w:rPr>
        <w:t xml:space="preserve">Lo que creemos nosotros.</w:t>
      </w:r>
    </w:p>
    <w:p>
      <w:pPr>
        <w:spacing w:after="100"/>
      </w:pPr>
      <w:r>
        <w:t xml:space="preserve">Coincidimos en el negocio y en el BPA (nuestro 2027e es un 8 % inferior al de Inderes) y en que el múltiplo histórico no volverá pronto. Discrepamos en la tasa: con un WACC del 7,85 % el valor de KONE sola es de 46,37 EUR, por debajo del precio.</w:t>
      </w:r>
    </w:p>
    <w:p>
      <w:pPr>
        <w:keepNext/>
        <w:spacing w:after="100"/>
      </w:pPr>
      <w:r>
        <w:rPr>
          <w:b/>
          <w:bCs/>
        </w:rPr>
        <w:t xml:space="preserve">Por qué podemos tener razón.</w:t>
      </w:r>
    </w:p>
    <w:p>
      <w:pPr>
        <w:spacing w:after="100"/>
      </w:pPr>
      <w:r>
        <w:t xml:space="preserve">Nuestra diferencia es de coste de capital, no de cifras: no tenemos una visión distinta del mercado sobre la empresa. A 12 meses, con el PER actual, la rentabilidad (+11,6 %) es la de un bono con algo de crecimiento, no la de una oportunidad.</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1,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Negocio recurrente</w:t>
      </w:r>
      <w:r>
        <w:t xml:space="preserve">: mantenimiento y modernización son el 63 % de las ventas de 2025 [4].</w:t>
      </w:r>
    </w:p>
    <w:p>
      <w:pPr>
        <w:pStyle w:val="ListParagraph"/>
        <w:numPr>
          <w:ilvl w:val="0"/>
          <w:numId w:val="2"/>
        </w:numPr>
        <w:spacing w:after="60"/>
      </w:pPr>
      <w:r>
        <w:rPr>
          <w:b/>
        </w:rPr>
        <w:t xml:space="preserve">Poder de precios demostrado</w:t>
      </w:r>
      <w:r>
        <w:t xml:space="preserve">: margen EBIT ajustado del 9,9 % en 2022 al 12,2 % en 2025 con ventas casi planas [3, 12].</w:t>
      </w:r>
    </w:p>
    <w:p>
      <w:pPr>
        <w:pStyle w:val="ListParagraph"/>
        <w:numPr>
          <w:ilvl w:val="0"/>
          <w:numId w:val="2"/>
        </w:numPr>
        <w:spacing w:after="60"/>
      </w:pPr>
      <w:r>
        <w:rPr>
          <w:b/>
        </w:rPr>
        <w:t xml:space="preserve">Pedidos al alza</w:t>
      </w:r>
      <w:r>
        <w:t xml:space="preserve">: +10,6 % en el 2T26 con la modernización a doble dígito en todas las regiones [1].</w:t>
      </w:r>
    </w:p>
    <w:p>
      <w:pPr>
        <w:pStyle w:val="ListParagraph"/>
        <w:numPr>
          <w:ilvl w:val="0"/>
          <w:numId w:val="2"/>
        </w:numPr>
        <w:spacing w:after="60"/>
      </w:pPr>
      <w:r>
        <w:rPr>
          <w:b/>
        </w:rPr>
        <w:t xml:space="preserve">Balance sin deuda</w:t>
      </w:r>
      <w:r>
        <w:t xml:space="preserve">: caja neta de 245,5 M y dividendo de 1,80 EUR (3,5 % de rentabilidad) [1].</w:t>
      </w:r>
    </w:p>
    <w:p>
      <w:pPr>
        <w:pStyle w:val="ListParagraph"/>
        <w:numPr>
          <w:ilvl w:val="0"/>
          <w:numId w:val="2"/>
        </w:numPr>
        <w:spacing w:after="60"/>
      </w:pPr>
      <w:r>
        <w:rPr>
          <w:b/>
        </w:rPr>
        <w:t xml:space="preserve">Múltiplo en mínimos</w:t>
      </w:r>
      <w:r>
        <w:t xml:space="preserve">: 23,8 veces nuestro BPA de 2027e frente a una mediana de 28,6 veces.</w:t>
      </w:r>
    </w:p>
    <w:p>
      <w:pPr>
        <w:pStyle w:val="Heading2"/>
      </w:pPr>
      <w:r>
        <w:t xml:space="preserve">En contra</w:t>
      </w:r>
    </w:p>
    <w:p>
      <w:pPr>
        <w:pStyle w:val="ListParagraph"/>
        <w:numPr>
          <w:ilvl w:val="0"/>
          <w:numId w:val="2"/>
        </w:numPr>
        <w:spacing w:after="60"/>
      </w:pPr>
      <w:r>
        <w:rPr>
          <w:b/>
        </w:rPr>
        <w:t xml:space="preserve">TKE cara y dilutiva</w:t>
      </w:r>
      <w:r>
        <w:t xml:space="preserve">: 29.400 M de valor empresa (≈22 veces el EBIT ajustado) y hasta 270 M de acciones nuevas [6].</w:t>
      </w:r>
    </w:p>
    <w:p>
      <w:pPr>
        <w:pStyle w:val="ListParagraph"/>
        <w:numPr>
          <w:ilvl w:val="0"/>
          <w:numId w:val="2"/>
        </w:numPr>
        <w:spacing w:after="60"/>
      </w:pPr>
      <w:r>
        <w:rPr>
          <w:b/>
        </w:rPr>
        <w:t xml:space="preserve">Riesgo de competencia</w:t>
      </w:r>
      <w:r>
        <w:t xml:space="preserve">: Schindler se opone y la CMA británica abrió consulta en septiembre de 2026 [15, 16].</w:t>
      </w:r>
    </w:p>
    <w:p>
      <w:pPr>
        <w:pStyle w:val="ListParagraph"/>
        <w:numPr>
          <w:ilvl w:val="0"/>
          <w:numId w:val="2"/>
        </w:numPr>
        <w:spacing w:after="60"/>
      </w:pPr>
      <w:r>
        <w:rPr>
          <w:b/>
        </w:rPr>
        <w:t xml:space="preserve">Valor intrínseco por debajo del precio</w:t>
      </w:r>
      <w:r>
        <w:t xml:space="preserve">: 45,49 EUR (−11,5 %) con nuestro WACC.</w:t>
      </w:r>
    </w:p>
    <w:p>
      <w:pPr>
        <w:pStyle w:val="ListParagraph"/>
        <w:numPr>
          <w:ilvl w:val="0"/>
          <w:numId w:val="2"/>
        </w:numPr>
        <w:spacing w:after="60"/>
      </w:pPr>
      <w:r>
        <w:rPr>
          <w:b/>
        </w:rPr>
        <w:t xml:space="preserve">China</w:t>
      </w:r>
      <w:r>
        <w:t xml:space="preserve">: ventas −18,7 % en 2025 y sin recuperación antes de 2027 [4, 13].</w:t>
      </w:r>
    </w:p>
    <w:p>
      <w:pPr>
        <w:pStyle w:val="ListParagraph"/>
        <w:numPr>
          <w:ilvl w:val="0"/>
          <w:numId w:val="2"/>
        </w:numPr>
        <w:spacing w:after="60"/>
      </w:pPr>
      <w:r>
        <w:rPr>
          <w:b/>
        </w:rPr>
        <w:t xml:space="preserve">Control familiar</w:t>
      </w:r>
      <w:r>
        <w:t xml:space="preserve">: ≈63 % de los votos con ≈14 % del capital [25].</w:t>
      </w:r>
    </w:p>
    <w:p>
      <w:pPr>
        <w:pStyle w:val="Heading2"/>
      </w:pPr>
      <w:r>
        <w:t xml:space="preserve">Qué tiene que pasar para que la tesis funcione</w:t>
      </w:r>
    </w:p>
    <w:p>
      <w:pPr>
        <w:spacing w:after="100"/>
      </w:pPr>
      <w:r>
        <w:t xml:space="preserve">La tesis depende de que el mercado siga pagando una rentabilidad baja por un negocio defensivo mientras la operación con TKE avanza. La señal de que no se cumple sería una fase 2 de la Comisión Europea con desinversiones en Europa o un margen EBIT ajustado de 2026 por debajo del 12,3 % de la guía; cualquiera de las dos llevaría el PER hacia el de los comparables (19,5 veces).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 (1S26); 12,2 %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12,3 %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base del BPA de 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recibidos (crecimiento a tipos constantes)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las ventas 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Gran China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de las ventas; −18,7 %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&gt; 15 %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Origen del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Proceso de competencia de TKE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Consulta de la CMA (sep-2026); UE sin notificar en mayo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Fase 2 o remedios en Europa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las sinergias y el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245,5 M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Deuda neta antes del cierre de TKE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Soporte del dividendo.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28,2x / 22,5x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KONE nació en 1910 en Helsinki y desde 1924 la controla la familia Herlin, que conserva la mayoría de los votos a través de las acciones de clase A. Pasó de fabricante finlandés a uno de los cuatro grandes mundiales del ascensor con compras en Europa y Norteamérica en los años sesenta a noventa y con una apuesta temprana por China, que llegó a ser su primer mercado de equipo nuevo. Desde 2023 el desplome de la construcción en China ha desplazado el beneficio hacia el mantenimiento y la modernización (63 % de las ventas en 2025) [4]. En 2020 KONE pujó sin éxito por TK Elevator, que se llevaron Advent y Cinven; en abril de 2026 acordó combinarse con ella por un valor empresa de 29.400 M EUR, la mayor operación de su historia [6,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Helsinki.</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Puja fallida por TK Elevator, vendida a Advent y Cinven.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ajustado del 9,9 %, mínimo de la década, por inflación de materiales y China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Philippe Delorme asume como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y modernización llegan al 63 % de las ventas; China cae al 19 %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de combinación con TKE (29-abr) y aprobación de la junta extraordinaria (3-jun) [6, 10].</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KONE fabrica, instala, mantiene y moderniza ascensores, escaleras mecánicas y puertas automáticas. Vende en tres líneas: equipo nuevo (New Building Solutions, 36 % de las ventas de 2025), mantenimiento (Service, 42 %) y modernización (21 %) [4]. Sus clientes son promotores y constructoras en el equipo nuevo, y propietarios de edificios, comunidades y administraciones en el servicio. Vendió 11.245 M EUR en 2025: un 40 % en EMEA y un 19 % en Gran China; el resto en Norteamérica y Asia-Pacífico [3, 4].</w:t>
      </w:r>
    </w:p>
    <w:p>
      <w:pPr>
        <w:pStyle w:val="Heading2"/>
      </w:pPr>
      <w:r>
        <w:t xml:space="preserve">Cómo gana dinero</w:t>
      </w:r>
    </w:p>
    <w:p>
      <w:pPr>
        <w:spacing w:after="100"/>
      </w:pPr>
      <w:r>
        <w:t xml:space="preserve">El equipo nuevo se vende con margen bajo y sirve para capturar la base instalada: cada ascensor nuevo genera décadas de contratos de mantenimiento, con precios que se ajustan cada año a la inflación y márgenes muy superiores, y al final de su vida una modernización. Servicio y modernización ya son el 63 % de las ventas [4]. El margen depende de la densidad de la red de técnicos (rutas por ciudad), del precio del acero y de la mezcla. El negocio de servicio tiene poca estacionalidad; el equipo nuevo cobra anticipos, por lo que el circulante es reducido. La empresa espera para 2026 un margen EBIT ajustado del 12,3-13,0 % con crecimiento del 3-6 % a tipos constantes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 (mantenimiento)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Modernization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New Building Solutions (equipo nuevo)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 (mantenimiento)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Modernization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New Building Solutions (equipo nuevo)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muy atomizada: ningún cliente relevante en las cifras publicadas. La parte recurrente (contratos de mantenimiento, renovados año a año) da visibilidad: las ventas de servicio y modernización crecieron un 5,6-8,8 % en el 2T26 mientras el equipo nuevo caía, sobre todo en China [2]. El poder de precios se ve en que el margen EBIT ajustado subió del 9,9 % de 2022 al 12,2 % de 2025 con las ventas casi planas (+3,1 % en tres años) [3, 12].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recibidos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8.758,9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9.087,4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+10,6 % hasta 2.562,3 M, con la modernización creciendo a doble dígito en todas las regiones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12,3-13,0 %; 1S26 en 11,8 %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las operaciones antes de financiación e impuestos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936,5 M (851,1)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servicio + modernización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nuevo baja del 41 % al 36 %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Gran China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en Gran China −18,7 % en 2025 (−12,9 % a tipos constantes)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mundial de ascensores y escaleras mecánicas: equipo nuevo, mantenimiento y modernización. Roland Berger lo estima en 110.000 M USD en 2025 y 133.000 M USD en 2030 [13]; otros estudios dan 85.000-100.000 M USD con perímetros más estrechos [14]. Usamos Roland Berger, que incluye servicio, porque es donde KONE gana el dinero.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110.000 M USD en 2025 (Roland Berger, primavera de 2026)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residencial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KONE en Gran China cayeron un 18,7 % en 2025; Roland Berger no espera mejora hasta 2027 [4,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de la base instalada (modernización)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modernización es el segmento que más crece (≈7 % anual según Roland Berger) y los pedidos de KONE crecieron a doble dígito en todas las regiones en el 2T26 [2,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Mantenimiento de la base instalada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segmento mayor del mercado; los precios se indexan a la inflación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Urbanización en India, Oriente Medio y Sudeste asiático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y Sudamérica son las regiones con mejores perspectivas (≈5 % anual) y Asia-Pacífico pierde peso, aún ≈40 % del mercado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Concentración del sector (KONE-TKE)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operación crearía un grupo de ≈20.500 M EUR de ventas; Schindler ha dicho que se opondrá ante las autoridades [6,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grandes (Otis, Schindler, KONE, TKE) y fabricantes chinos y japoneses; guerra de precios en el equipo nuevo en China y competencia local de independientes en el mantenimiento.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constructoras negocian fuerte el equipo nuevo; en mantenimiento el cliente cambia poco porque los equipos son propietarios y el coste de un fallo es alto.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Acero y componentes electrónicos; la inflación de 2022 hundió el margen ajustado al 9,9 % pero se recuperó con precios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una red densa de técnicos y la homologación de equipos; los nuevos entran por el equipo nuevo en Asia, no por el servicio.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para el transporte vertical en edificios altos.</w:t>
            </w:r>
          </w:p>
        </w:tc>
      </w:tr>
    </w:tbl>
    <w:p>
      <w:pPr>
        <w:spacing w:after="160" w:before="0"/>
      </w:pPr>
    </w:p>
    <w:p>
      <w:pPr>
        <w:pStyle w:val="Heading2"/>
      </w:pPr>
      <w:r>
        <w:t xml:space="preserve">Ciclo</w:t>
      </w:r>
    </w:p>
    <w:p>
      <w:pPr>
        <w:spacing w:after="100"/>
      </w:pPr>
      <w:r>
        <w:t xml:space="preserve">El equipo nuevo está en contracción por China (ventas de KONE allí −18,7 % en 2025) y Roland Berger retrasa la recuperación a 2027; el servicio y la modernización siguen en expansión (pedidos del 2T26 +10,6 %) [1, 4, 13]. En 2020 las ventas de KONE solo cayeron un 0,4 % y el EBIT subió; en 2022 el golpe vino de los costes (margen ajustado del 9,9 %), no del volumen [8, 12].</w:t>
      </w:r>
    </w:p>
    <w:p>
      <w:pPr>
        <w:pStyle w:val="Heading2"/>
      </w:pPr>
      <w:r>
        <w:t xml:space="preserve">Regulación</w:t>
      </w:r>
    </w:p>
    <w:p>
      <w:pPr>
        <w:spacing w:after="100"/>
      </w:pPr>
      <w:r>
        <w:t xml:space="preserve">Normas de seguridad de ascensores (EN 81 en Europa) que obligan a revisiones periódicas y empujan la modernización de equipos antiguos. La regulación que más pesa hoy es la de competencia: la combinación con TKE necesita autorización en la UE (no notificada en mayo de 2026), en el Reino Unido (la CMA abrió consulta el 22-sep-2026) y en EE. UU. [15, 16].</w:t>
      </w:r>
    </w:p>
    <w:p>
      <w:pPr>
        <w:pStyle w:val="Heading2"/>
      </w:pPr>
      <w:r>
        <w:t xml:space="preserve">Tendencias y disrupción</w:t>
      </w:r>
    </w:p>
    <w:p>
      <w:pPr>
        <w:spacing w:after="100"/>
      </w:pPr>
      <w:r>
        <w:t xml:space="preserve">Conectividad y mantenimiento predictivo (más contratos de servicio con mayor margen), descarbonización de edificios que acelera la modernización, y competencia de fabricantes chinos en el equipo nuevo fuera de China. KONE gana con las dos primeras por su peso en servicio; la consolidación con TKE sumaría ≈3,2 millones de unidades en mantenimiento [6].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cuatro grandes mundiales del ascensor; con TKE sería el mayor por ventas (≈20.500 M EUR)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Otis Worldwide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OTIS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por base instalada; guía de ventas 2026 de 15.100-15.300 M USD y BPA ajustado de 4,01-4,05 USD, recortado en julio; servicio orgánico +9 % en el 2T26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Schindler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5.329 M CHF en el 1S26 (+1,4 % en moneda local) y margen EBIT publicado del 13,2 %; se opone a la operación KONE-TKE [15,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TK Elevator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Propiedad de Advent y Cinven; ventas implícitas ≈9.300 M EUR (20.500 M del grupo combinado menos las de KONE) y EBIT ajustado de ≈1.300 M; objetivo de la combinación [6].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Fujitec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Excluida de bolsa tras la OPA de EQT (2.700 M USD)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efectos de red en sentido estricto; la conectividad de equipos crea algo de datos propios.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equipos llevan componentes y software propios: el mantenimiento se queda casi siempre con el fabricante; servicio y modernización crecieron un 5,6-8,8 % en el 2T26 con el equipo nuevo cayendo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reconocida y tecnología propia (máquinas sin cuarto, cables de fibra de carbono), pero el equipo nuevo se compra sobre todo por precio.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compras; los márgenes no superan a los de Schindler (13,2 % frente a 12,2 % ajustado de KONE en 2025) [15,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densidad de rutas de técnicos por ciudad da economías de escala locales: la combinación con TKE espera 700 M de sinergias, sobre todo por redes de servicio más densas [2].</w:t>
            </w:r>
          </w:p>
        </w:tc>
      </w:tr>
    </w:tbl>
    <w:p>
      <w:pPr>
        <w:spacing w:after="160" w:before="0"/>
      </w:pPr>
    </w:p>
    <w:p>
      <w:pPr>
        <w:pStyle w:val="Heading2"/>
      </w:pPr>
      <w:r>
        <w:t xml:space="preserve">Amenazas</w:t>
      </w:r>
    </w:p>
    <w:p>
      <w:pPr>
        <w:spacing w:after="100"/>
      </w:pPr>
      <w:r>
        <w:t xml:space="preserve">La mayor amenaza al foso son los mantenedores independientes y los fabricantes chinos con equipo nuevo barato fuera de China; ninguna ha erosionado de momento el margen de servicio (el EBIT ajustado del grupo sube cada año desde 2022) [3]. La segunda es regulatoria: la combinación con TKE puede salir con desinversiones en Europa que reduzcan las sinergias de densidad que la justifican; Schindler ya ha dicho que se opondrá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2020-2025: ingresos </w:t>
      </w:r>
      <w:r>
        <w:rPr>
          <w:b/>
          <w:bCs/>
        </w:rPr>
        <w:t xml:space="preserve">2,5 %</w:t>
      </w:r>
      <w:r>
        <w:t xml:space="preserve">, EBITDA </w:t>
      </w:r>
      <w:r>
        <w:rPr>
          <w:b/>
          <w:bCs/>
        </w:rPr>
        <w:t xml:space="preserve">n.d.</w:t>
      </w:r>
      <w:r>
        <w:t xml:space="preserve">, BPA </w:t>
      </w:r>
      <w:r>
        <w:rPr>
          <w:b/>
          <w:bCs/>
        </w:rPr>
        <w:t xml:space="preserve">0,9 %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9.938,5 M en 2020 a 11.245,2 M en 2025 (+2,5 % anual), casi todo orgánico: el equipo nuevo en China, que fue el motor de la década anterior, cayó y lo compensaron el mantenimiento y la modernización (63 % de las ventas en 2025, frente al 60 % de 2024) [3, 4]. El margen EBIT ajustado tocó fondo en 2022 (9,9 %) por la inflación del acero y los componentes y la caída de China, y desde entonces sube cada año: 11,4 % en 2023, 11,7 % en 2024 y 12,2 % en 2025, con las ventas casi planas; es poder de precios y mezcla, no apalancamiento operativo [3, 12]. El BPA siguió el mismo camino: 1,96 EUR en 2021, 1,50 en 2022 y 1,89 en 2025 [3, 7]. En los últimos doce meses a junio de 2026 el BPA baja a 1,82 EUR por los costes de la operación con TKE (25,8 M en el 1S26) y por las divisas, aunque el EBIT ajustado del 1S26 sube un 5,9 % [1, 51]. Las líneas de impuestos, BAI y beneficio atribuido salen de Stock Analysis, Fidelity y Snowball, y cuadran con el beneficio neto publicado (961,0 M en 2024 y 991,9 M en 2025, minoritarios incluidos) [54, 55, 56].</w:t>
      </w:r>
    </w:p>
    <w:p>
      <w:pPr>
        <w:pStyle w:val="Heading2"/>
      </w:pPr>
      <w:r>
        <w:t xml:space="preserve">Ajustes y partidas no recurrentes</w:t>
      </w:r>
    </w:p>
    <w:p>
      <w:pPr>
        <w:spacing w:after="100"/>
      </w:pPr>
      <w:r>
        <w:t xml:space="preserve">KONE publica un EBIT ajustado que excluye las «partidas que afectan a la comparabilidad»: 14,5 M en 2021, 45,4 M en 2022 [58], 48,3 M en 2023, 54,0 M en 2024 y 33,1 M en 2025, sobre todo reestructuraciones, y 58,3 M en el 1S26 (25,8 M por TKE, el resto reestructuración y pensiones) [1, 3, 7]. Se repiten todos los años, por lo que no son del todo extraordinarias. El motor las devuelve al EBITDA; el BPA del objetivo a 12 meses y el PER histórico están en base publicada (con esas partidas), y nuestro BPA de 2028e supone 10 M de resultado financiero negativo y 12 M de minoritarios, como en 2025.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(22-jul) los pedidos crecieron un 10,6 % hasta 2.562,3 M, con la modernización a doble dígito en todas las regiones, y las ventas un 3,1 % hasta 2.937,6 M; el EBIT ajustado subió al 12,6 % de las ventas (12,2 %), pero el BPA (0,46 EUR) quedó por debajo de lo esperado (0,55) por los costes de TKE y las divisas [1, 2, 51]. La dirección mantuvo la guía (ventas +3-6 % a tipos constantes, margen ajustado 12,3-13,0 %) y avisó de que el equipo nuevo en China sigue siendo un lastre [1, 2]. Frente al 1T26, en el que la conferencia giró sobre la combinación con TKE anunciada el mismo día, el discurso pasó de la operación a la ejecución: los analistas preguntaron por China, por la satisfacción de clientes en el servicio y por los plazos de competencia, y según Inderes la dirección no dio información nueva relevante sobre TKE [50, 52]. Inderes subió a Acumular con objetivo de 52 EUR [28].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67"/>
        <w:gridCol w:w="1064"/>
        <w:gridCol w:w="117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costes operativos de caja (ingresos − EBITDA), por ser una cuenta por naturaleza.</w:t>
      </w:r>
    </w:p>
    <w:p>
      <w:pPr>
        <w:spacing w:after="100"/>
      </w:pPr>
      <w:r>
        <w:t xml:space="preserve">La caja neta ha bajado de forma natural porque KONE reparte casi todo su beneficio: el apalancamiento (gearing) pasó del −24,8 % a cierre de 2025 al −10,5 % en junio de 2026 tras pagar el dividendo de 1,80 EUR en marzo [1]. El patrimonio se mueve en torno a 2.800-2.900 M (2.827 M en 2025) [5]. No hay vencimientos relevantes que vigilar en KONE sola; el riesgo de balance llega con TKE.</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5.141</w:t>
      </w:r>
      <w:r>
        <w:t xml:space="preserve">, conversión </w:t>
      </w:r>
      <w:r>
        <w:rPr>
          <w:b/>
          <w:bCs/>
        </w:rPr>
        <w:t xml:space="preserve">111 %</w:t>
      </w:r>
      <w:r>
        <w:t xml:space="preserve"> del beneficio neto; adquisiciones 0, dividendos 4.996, recompras 0.</w:t>
      </w:r>
    </w:p>
    <w:p>
      <w:pPr>
        <w:spacing w:after="100"/>
      </w:pPr>
      <w:r>
        <w:t xml:space="preserve">El flujo operativo tras intereses e impuestos (Stock Analysis) fue de 1.316 M en 2025 y 1.249 M en 2024, con un capex de solo 154-168 M (1,4-1,5 % de las ventas): el negocio casi no necesita inversión [53]. 2022 fue anómalo (531,5 M) por el circulante de China y la inflación [53]. Los dividendos (931,9 M en 2025) se llevan el 70 % del flujo operativo. Falta el pago de arrendamientos (hueco): Inderes da un flujo libre tras arrendamientos de 824 M en 2024 frente a los 1.081 M de flujo operativo menos capex, lo que apunta a ≈250 M de arrendamientos y otros pagos al año; el FCF que calcula el motor está por eso sobrestimado en ≈2 puntos de ventas, y el DCF lo corrige poniendo las altas de derechos de uso en el capex (2,7 % de las ventas) [49].</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No hemos podido revisar las notas del informe anual (auditor, criterios de reconocimiento de ingresos de los contratos de equipo nuevo, pensiones), y el motor no puede calcular Altman ni Beneish por falta de balance completo; el Piotroski sale 4, sin significado con tantos datos ausentes. Lo que sí vemos: las partidas que afectan a la comparabilidad se repiten todos los años (33-58 M), la conversión del EBIT en flujo operativo es alta salvo en 2022 y no hay capitalización relevante de gastos (capex del 1,4 % de las ventas). La operación con TKE traerá asignación del precio de compra, amortización de intangibles y costes de integración que harán menos comparables las cifras desde 2027.</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que afectan a la comparabilidad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Todos los años de 2021 a 2025 hay ajustes entre el EBIT publicado y el ajustado (14,5 M en 2021, 33,1 M en 2025) y 58,3 M solo en el 1S26, de ellos 25,8 M por la operación con TKE [1, 3,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Derivados ligados a la operación con TKE dentro de la deuda neta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deuda neta del 1S26 incluye 79,7 M de pasivos por derivados y 31,1 M de activos diferidos ligados a la operación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0,4 % · </w:t>
      </w:r>
      <w:r>
        <w:rPr>
          <w:b/>
          <w:bCs/>
        </w:rPr>
        <w:t xml:space="preserve">WACC</w:t>
      </w:r>
      <w:r>
        <w:t xml:space="preserve">: 7,8 %.</w:t>
      </w:r>
    </w:p>
    <w:p>
      <w:pPr>
        <w:spacing w:after="100"/>
      </w:pPr>
      <w:r>
        <w:t xml:space="preserve">KONE crea valor con holgura: el ROIC calculado del 43,5 % en 2025 (42,7 % en 2024) supera en ≈36 puntos al WACC del 7,85 %, aunque está sobrestimado porque no tenemos los anticipos de clientes ni los arrendamientos para medir bien el capital invertido; con cualquier definición razonable el ROIC queda por encima del 25 %. Lo mueve la rotación (2,4 veces el capital) más que el margen (EBIT del 11,9 %): el negocio de servicio necesita poco capital y el equipo nuevo se cobra por adelantado. El ROIC incremental histórico (0,4 %) no significa nada con un capital tan pequeño y un beneficio que apenas ha crecido. Schindler, con un margen EBIT del 13,2 %, está en la misma liga; la gran duda es qué ROIC tendrá el grupo tras pagar 29.400 M por TKE, que con un EBIT ajustado de ≈1.300 M rendiría ≈4,5 % después de impuestos antes de sinergias [6, 18].</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neta: deuda neta con intereses de −245,5 M a 30-jun-2026 (−300,4 M un año antes) y apalancamiento (gearing) de −10,5 % (−24,8 % a cierre de 2025); caja y equivalentes de 440,5 M a cierre de 2025, a los que se suman depósitos e inversiones a corto plazo [1,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publicado localizado; la empresa espera para el grupo combinado con TKE una calificación de grado de inversión sólida [6].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KONE no tiene deuda financiera neta: la deuda neta con intereses, que incluye arrendamientos y prestaciones a empleados, era de −245,5 M a junio de 2026 [1]. Incluye 79,7 M de pasivos por derivados y 31,1 M de activos diferidos ligados a la operación con TKE [1]. El pasivo relevante que no es deuda son los anticipos de clientes del equipo nuevo, que financian el circulante; no hemos podido obtener su importe (hueco). La operación con TKE cambiaría el balance: 5.000 M en efectivo y la refinanciación de ≈9.200 M de deuda neta de TKE, con la promesa de un rating de grado de inversión sólido [6].</w:t>
      </w:r>
    </w:p>
    <w:p>
      <w:pPr>
        <w:pStyle w:val="Heading1"/>
      </w:pPr>
      <w:r>
        <w:t xml:space="preserve">12. Asignación de capital</w:t>
      </w:r>
    </w:p>
    <w:p>
      <w:pPr>
        <w:pStyle w:val="Confianza"/>
        <w:spacing w:after="100"/>
      </w:pPr>
      <w:r>
        <w:t xml:space="preserve">Confianza: Media</w:t>
      </w:r>
    </w:p>
    <w:p>
      <w:pPr>
        <w:spacing w:after="100"/>
      </w:pPr>
      <w:r>
        <w:t xml:space="preserve">KONE reparte casi todo su beneficio: dividendo de 1,80 EUR por acción B por 2025 (1,7975 por acción A), igual que por 2024, con un pay-out del 95 % del BPA de 2025; en 2020 y 2021 añadió dividendos extraordinarios (0,50 EUR por 2020) [3, 8]. No hay programa de recompra; la autocartera (11,1 M de acciones B) solo se usa para los planes de incentivos [9]. La prioridad de la caja a partir de 2026 es la combinación con TKE: 5.000 M EUR en efectivo y hasta 270 M de acciones B nuevas, además de refinanciar la mayor parte de los ≈9.200 M de deuda neta de TKE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TK Elevator (TKE), pendiente de autorizaciones de competencia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5.000 M EUR en efectivo y hasta 270 M de acciones B nuevas (15.200 M al precio del 28-abr-2026); refinanciación de ≈9.200 M de deuda neta de TKE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Aprobada por la junta extraordinaria del 3-jun-2026; cierre previsto, como pronto, en el 2T27 [10].</w:t>
            </w:r>
          </w:p>
        </w:tc>
      </w:tr>
    </w:tbl>
    <w:p>
      <w:pPr>
        <w:spacing w:after="160" w:before="0"/>
      </w:pPr>
    </w:p>
    <w:p>
      <w:pPr>
        <w:spacing w:after="100"/>
      </w:pPr>
      <w:r>
        <w:t xml:space="preserve">Hasta 2025 la dirección fue una asignadora de capital prudente: dividendos que absorben el 95 % del beneficio, recompras nulas y casi ninguna compra relevante, con un ROIC calculado del 43,5 % en 2025 que, con el balance incompleto, sobrestima el real pero confirma que el negocio necesita muy poco capital. La combinación con TKE rompe ese patrón: paga ≈22 veces el EBIT ajustado implícito de TKE (29.400 M de valor empresa) con hasta 270 M de acciones nuevas (52 % de las actuales) y 5.000 M de caja [6]. La empresa promete 700 M de sinergias de costes y un BPA ajustado mayor desde el primer año completo; el mercado lo duda (la acción cayó de ≈60 EUR antes del anuncio a 46-51 EUR) y la junta lo aprobó con el voto de la familia [10, 45].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Delorme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desde 2024. Compró acciones de KONE el 23-jul-2026, al día siguiente de los resultados del 2T26, a ≈47,7-48,0 EUR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Antti Herlin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Representa a la familia que controla la empresa y preside Holding Manutas; reelegido presidente el 5-mar-2026 [21,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Jussi Herlin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Holding Manutas; vicepresidente desde 2026 [21,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Timo Ihamuotila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preside la comisión de nombramientos y retribuciones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de los accionistas significativos; compró acciones el 23-jul-2026 [21, 23].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0-6 % a tipos constantes; margen EBIT ajustado 12,4-13,4 %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+5,8 %; margen ajustado 12,5 %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afinada a la baja en el 3T por China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11,7 %; ventas +1,3 % publicadas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+2-6 % a tipos constantes (febrero), elevada a +3-6 %; margen ajustado 12,3-13,0 %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+2,2 % publicadas; margen ajustado 11,8 %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cumplió en 2021 y se quedó corta en 2024 por China; en 2026 va en la parte baja de su guía de margen en el 1S26 (11,8 % frente a 12,3-13,0 % anual), apoyada en un segundo semestre estacionalmente mejor [1]. El consejero delegado y un consejero independiente compraron acciones el día siguiente a los resultados del 2T26, a 47,7-48,0 EUR [20, 23]. El riesgo de equipo es la integración de TKE, un grupo de tamaño parecido, durante varios años, con el consejo dominado por la familia Herlin.</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Antti Herlin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Jussi Herlin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Anna Herlin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Matti Alahuhta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Timo Ihamuotila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Duinhoven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Marika Fredriksson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Banmali Agrawala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Ranjan 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en la junta extraordinaria)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Bruno Schick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(elegido en la junta extraordinaria)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Familia Herlin (Holding Manutas y sociedades vinculadas): acciones A no cotizadas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(≈63 %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conocidos; tras la operación con TKE los vendedores recibirían hasta 270 M de acciones B</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(acciones B)</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11.112.228 acciones tras la entrega a consejeros de abril de 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36"/>
        <w:gridCol w:w="3381"/>
        <w:gridCol w:w="1521"/>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Philippe Delorme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Timo Ihamuotila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r>
    </w:tbl>
    <w:p>
      <w:pPr>
        <w:spacing w:after="160" w:before="0"/>
      </w:pPr>
    </w:p>
    <w:p>
      <w:pPr>
        <w:pStyle w:val="Heading2"/>
      </w:pPr>
      <w:r>
        <w:t xml:space="preserve">Operaciones vinculadas, estructura de control y defensas</w:t>
      </w:r>
    </w:p>
    <w:p>
      <w:pPr>
        <w:spacing w:after="100"/>
      </w:pPr>
      <w:r>
        <w:t xml:space="preserve">Doble clase: cada acción A da un voto y cada diez acciones B dan un voto [24]. Las 76,2 M de acciones A (no cotizadas, de la familia Herlin) suman 76,2 M de votos frente a 45,3 M de las 453,2 M de acciones B: ≈63 % de los votos con ≈14 % del capital [25]. Tres de los consejeros son de la familia y el presidente es Antti Herlin [22]. La operación con TKE da a los vendedores (Advent y Cinven) hasta 270 M de acciones B y el derecho a proponer dos consejeros al cierre [10, 11]; el control de la familia en votos se mantendría por las acciones A.</w:t>
      </w:r>
    </w:p>
    <w:p>
      <w:pPr>
        <w:pStyle w:val="Heading2"/>
      </w:pPr>
      <w:r>
        <w:t xml:space="preserve">Señales de alerta</w:t>
      </w:r>
    </w:p>
    <w:p>
      <w:pPr>
        <w:pStyle w:val="ListParagraph"/>
        <w:numPr>
          <w:ilvl w:val="0"/>
          <w:numId w:val="2"/>
        </w:numPr>
        <w:spacing w:after="60"/>
      </w:pPr>
      <w:r>
        <w:t xml:space="preserve">Doble clase de acciones con control de la familia Herlin (≈63 % de los votos).</w:t>
      </w:r>
    </w:p>
    <w:p>
      <w:pPr>
        <w:pStyle w:val="ListParagraph"/>
        <w:numPr>
          <w:ilvl w:val="0"/>
          <w:numId w:val="2"/>
        </w:numPr>
        <w:spacing w:after="60"/>
      </w:pPr>
      <w:r>
        <w:t xml:space="preserve">Operación transformadora con TKE pendiente de competencia; Schindler se opone y la CMA británica abrió consulta en septiembre de 2026.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Para 2026 KONE espera crecer un 3-6 % a tipos constantes (en febrero daba un 2-6 %) con un margen EBIT ajustado del 12,3-13,0 %; la guía se confirmó el 22-jul-2026 con los resultados del 2T26 y la dirección espera un efecto limitado de las divisas en el margen a los tipos de julio [1, 3]. No hay plan a medio plazo vigente publicado: la referencia es la combinación con TKE, con 700 M EUR de sinergias de costes antes de impuestos al tercer año tras el cierre y un aumento del BPA ajustado desde el primer año completo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Simply Wall St (22 analistas, BPA publicado) y Inderes (DPA) [26,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 (BPA implícito en su PER de 20x a 46,72 EUR; una sola casa) [28]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45,00 – 87,12</w:t>
            </w:r>
          </w:p>
        </w:tc>
      </w:tr>
    </w:tbl>
    <w:p>
      <w:pPr>
        <w:spacing w:after="160" w:before="0"/>
      </w:pPr>
    </w:p>
    <w:p>
      <w:pPr>
        <w:pStyle w:val="Heading2"/>
      </w:pPr>
      <w:r>
        <w:t xml:space="preserve">Revisiones de estimaciones</w:t>
      </w:r>
    </w:p>
    <w:p>
      <w:pPr>
        <w:spacing w:after="100"/>
      </w:pPr>
      <w:r>
        <w:t xml:space="preserve">Tras el 2T26 el consenso de BPA publicado para 2026 bajó a 2,06 EUR (22 analistas) por los costes de TKE y las divisas [26]. Los precios objetivo también bajan: Inderes de 56 a 52 EUR en julio y el objetivo medio, en ≈60 EUR (mediana 59,14; extremos 45 y 87,12) [28, 35]. Solo hemos podido contrastar una fuente para 2027e (Inderes, BPA implícito de 2,34 EUR), así que el consenso es frágil. Las estimaciones son de KONE sola: casi ningún analista incluye todavía TKE.</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p>
      <w:pPr>
        <w:spacing w:after="160" w:before="0"/>
      </w:pPr>
    </w:p>
    <w:p>
      <w:pPr>
        <w:spacing w:after="100"/>
      </w:pPr>
      <w:r>
        <w:t xml:space="preserve">La acción cotiza en 51,40 EUR, un 20 % por debajo del máximo de 52 semanas (64,42) y cerca del mínimo (46,22) [45]. Subió un 5 % en septiembre de 2025 con la noticia de que KONE estudiaba comprar TKE [59] y cayó tras el anuncio de abril de 2026 y los resultados del 2T26, hasta 46,7 EUR en julio; desde entonces ha recuperado un 10 % [28, 50]. No hemos podido calcular beta, volatilidad ni rentabilidades (sin acceso a series de precios).</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Con BPA publicado, KONE cerró los ejercicios a un PER de 25-37 veces entre 2019 y 2025 (mediana de 2021-2025 sin 2022: 28,6 veces) [43]. Hoy cotiza a 23,8 veces nuestro BPA de 2027e y a 22,5 veces el consenso de los próximos 12 meses: el descuento frente a su historia (≈20 %) no es solo de KONE, porque Otis y Schindler también han caído por debajo de sus múltiplos históricos tras la operación [50]. La compresión tiene dos causas estructurales: el crecimiento de la década pasada venía de China y ya no está, y el mercado descuenta la dilución y el riesgo de ejecución de TKE.</w:t>
      </w:r>
    </w:p>
    <w:p>
      <w:pPr>
        <w:pStyle w:val="Heading1"/>
      </w:pPr>
      <w:r>
        <w:t xml:space="preserve">18. Comparables cotizados</w:t>
      </w:r>
    </w:p>
    <w:p>
      <w:pPr>
        <w:pStyle w:val="Confianza"/>
        <w:spacing w:after="100"/>
      </w:pPr>
      <w:r>
        <w:t xml:space="preserve">Confianza: Baja</w:t>
      </w:r>
    </w:p>
    <w:p>
      <w:pPr>
        <w:spacing w:after="100"/>
      </w:pPr>
      <w:r>
        <w:t xml:space="preserve">Los dos fabricantes de ascensores cotizados comparables en tamaño y modelo (Otis y Schindler) y tres industriales nórdicos con mucho servicio recurrente y calidad parecida (ASSA ABLOY, Atlas Copco, Konecranes). TKE y Fujitec no cotizan; Mitsubishi Electric e Hitachi son conglomerados donde el ascensor pesa poco.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Otis Worldwide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Schindler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ASSA ABLOY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Konecranes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82"/>
        <w:gridCol w:w="1056"/>
        <w:gridCol w:w="1188"/>
        <w:gridCol w:w="1056"/>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 / 13,3x / 13,6x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 / 19,5x / 24,0x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r>
    </w:tbl>
    <w:p>
      <w:pPr>
        <w:spacing w:after="160" w:before="0"/>
      </w:pPr>
    </w:p>
    <w:p>
      <w:pPr>
        <w:spacing w:after="100"/>
      </w:pPr>
      <w:r>
        <w:t xml:space="preserve">Los datos de los comparables son de proveedores y fechas distintas (junio a septiembre de 2026) y solo tenemos el PER de los próximos 12 meses de todos: Otis 15,2 veces, Schindler 24 veces, ASSA ABLOY 19,5, Atlas Copco 24,8 y Konecranes 13,6; mediana 19,5 [36, 38, 39, 40, 41, 42]. KONE, a 22,5 veces, cotiza con prima sobre la mediana y en línea con Schindler, el más parecido por modelo y por control familiar. Otis, el de mayor margen y peso en servicio, cotiza muy por debajo tras recortar dos veces su guía de 2026 [17]. El peso de los comparables en la síntesis es bajo (25 %) por lo incompleto de los datos.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TK Elevator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con la acción de KONE del 28-abr-2026; ventas de TKE implícitas ≈9.255 M (20.500 M combinados menos 11.245 M de KONE); EV/EBIT ajustado ≈22x [6].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Fujitec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EQT (BPEA Fund IX)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OPA de 5.700 JPY por acción, 407.800 M JPY (≈2.700 M USD) por el capital [19].</w:t>
            </w:r>
          </w:p>
        </w:tc>
      </w:tr>
    </w:tbl>
    <w:p>
      <w:pPr>
        <w:spacing w:after="160" w:before="0"/>
      </w:pPr>
    </w:p>
    <w:p>
      <w:pPr>
        <w:spacing w:after="160" w:before="0"/>
      </w:pPr>
    </w:p>
    <w:p>
      <w:pPr>
        <w:spacing w:after="100"/>
      </w:pPr>
      <w:r>
        <w:t xml:space="preserve">La única referencia útil es la propia operación KONE-TKE: 29.400 M de valor empresa, ≈3,2 veces las ventas implícitas de TKE y ≈22 veces su EBIT ajustado [6]. Muestra lo que vale la base instalada para un comprador con sinergias, pero no es un precio de control sobre KONE: la familia Herlin controla el 63 % de los votos y no hay opción de compra sobre KONE. Por eso las transacciones pesan 0.</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el +2,0 % publicado: la guía es del 3-6 % a tipos constantes y el 1S26 creció un 2,2 % publicado, con unos 2 puntos de efecto divisa [1]. Después, 4,0-4,5 % hasta 2029e: la modernización (pedidos a doble dígito), el servicio (≈4-5 % con precios indexados a la inflación) y un equipo nuevo que deja de caer en China en 2027, como espera Roland Berger [1, 13]. Entre 2031e y 2035e baja al 2,5 %. La media de toda la proyección es del 3,4 %, por encima del 2,5 % anual de 2020-2025, porque China ya pesa solo el 19 % de las ventas [4].</w:t>
      </w:r>
    </w:p>
    <w:p>
      <w:pPr>
        <w:keepNext/>
        <w:spacing w:after="100"/>
      </w:pPr>
      <w:r>
        <w:rPr>
          <w:b/>
          <w:bCs/>
        </w:rPr>
        <w:t xml:space="preserve">Márgenes.</w:t>
      </w:r>
    </w:p>
    <w:p>
      <w:pPr>
        <w:spacing w:after="100"/>
      </w:pPr>
      <w:r>
        <w:t xml:space="preserve">El margen EBITDA pasa del 14,7 % publicado de 2025 al 15,0 % en 2026e (con los costes de TKE) y al 16,5 % en 2030e; equivale a un EBIT ajustado del 13,7 %, frente al 12,2 % de 2025 y al 12,3-13,0 % de la guía de 2026 [1, 3]. El argumento es la mezcla (servicio y modernización ganan peso) y la productividad; el precedente es la subida de 2,3 puntos entre 2022 y 2025. Schindler ya gana un 13,2 % de EBIT publicado [18].</w:t>
      </w:r>
    </w:p>
    <w:p>
      <w:pPr>
        <w:keepNext/>
        <w:spacing w:after="100"/>
      </w:pPr>
      <w:r>
        <w:rPr>
          <w:b/>
          <w:bCs/>
        </w:rPr>
        <w:t xml:space="preserve">Inversión y circulante.</w:t>
      </w:r>
    </w:p>
    <w:p>
      <w:pPr>
        <w:spacing w:after="100"/>
      </w:pPr>
      <w:r>
        <w:t xml:space="preserve">Capex del 2,7 % de las ventas, que suma el del estado de flujos (1,4 %) y una estimación de las altas de derechos de uso (≈1,3 %) para que el DCF pague los alquileres que el EBITDA NIIF 16 no recoge; al final, 2,9 %, por encima de la amortización (2,85 %). Circulante neto de anticipos en el 0 % de las ventas: los anticipos del equipo nuevo financian existencias y clientes [53].</w:t>
      </w:r>
    </w:p>
    <w:p>
      <w:pPr>
        <w:keepNext/>
        <w:spacing w:after="100"/>
      </w:pPr>
      <w:r>
        <w:rPr>
          <w:b/>
          <w:bCs/>
        </w:rPr>
        <w:t xml:space="preserve">Coste del capital.</w:t>
      </w:r>
    </w:p>
    <w:p>
      <w:pPr>
        <w:spacing w:after="100"/>
      </w:pPr>
      <w:r>
        <w:t xml:space="preserve">Tasa libre del 2,95 % (Bund a 10 años: 2,97 % en junio y por encima del 3 % en primavera de 2026) [47, 48]. Beta de 0,85 (estimación propia: negocio defensivo con un 63 % de ventas recurrentes; no hemos podido calcularla con datos de mercado), prima de mercado del 5,5 % y 0,5 puntos de prima adicional por el 19 % de ventas en China. Coste de la deuda del 3,5 % y un peso del 5 %: KONE tiene caja neta. WACC del 7,85 %.</w:t>
      </w:r>
    </w:p>
    <w:p>
      <w:pPr>
        <w:keepNext/>
        <w:spacing w:after="100"/>
      </w:pPr>
      <w:r>
        <w:rPr>
          <w:b/>
          <w:bCs/>
        </w:rPr>
        <w:t xml:space="preserve">Valor terminal.</w:t>
      </w:r>
    </w:p>
    <w:p>
      <w:pPr>
        <w:spacing w:after="100"/>
      </w:pPr>
      <w:r>
        <w:t xml:space="preserve">Gordon con un crecimiento del 2,3 %: inflación esperada del euro (≈2 %) más un pequeño crecimiento real, por debajo de la tasa libre menos medio punto (2,45 %). El valor terminal es el 61 % del valor empresa. El múltiplo de salida de referencia (14 veces el EBITDA) queda en línea con lo que cotizan hoy Otis y Schindler (13-14 veces el EBITDA pasado) [37, 39].</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M (-1 % del NOPAT)</w:t>
            </w:r>
          </w:p>
        </w:tc>
      </w:tr>
    </w:tbl>
    <w:p>
      <w:pPr>
        <w:spacing w:after="160" w:before="0"/>
      </w:pPr>
    </w:p>
    <w:p>
      <w:pPr>
        <w:spacing w:after="100"/>
      </w:pPr>
      <w:r>
        <w:t xml:space="preserve">La proyección apenas necesita inversión neta de la amortización (reinversión acumulada de -113 M, con un capex bruto medio del 2,8 % de las ventas). En un negocio de activos ligeros, el crecimiento medio del 3,4 %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pedidos +7,4 % a tipos constantes en el 1S26 con el equipo nuevo en China cayendo; precio: indexación de contratos de mantenimiento; otros: −2 puntos de divisas (crecimiento publicado del 1S26: +2,2 %)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mantenimiento creciente y modernización; el equipo nuevo en China se estabiliza según Roland Berger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modernización crece ≈7 % anual en el mercado; KONE gana algo de volumen con pedidos a doble dígito [1,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patrón; sin compras (TKE fuera del modelo).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crecimiento converge hacia el del mercado (≈3,9 % anual 2025-2030 en dólares, Roland Berger) [13].</w:t>
            </w:r>
          </w:p>
        </w:tc>
      </w:tr>
    </w:tbl>
    <w:p>
      <w:pPr>
        <w:spacing w:after="160" w:before="0"/>
      </w:pPr>
    </w:p>
    <w:p>
      <w:pPr>
        <w:spacing w:after="100"/>
      </w:pPr>
      <w:r>
        <w:t xml:space="preserve">Sí. La proyección (3,4 % anual) casi no necesita capital: la reinversión neta acumulada es negativa y el motor no puede hacer la prueba de financiación, así que la hacemos con el poder de precios y la cuota. El poder de precios está demostrado: el margen EBIT ajustado subió del 9,9 % al 12,2 % entre 2022 y 2025 con las ventas casi planas [3, 12]. El crecimiento proyectado (≈1,5-2 puntos de volumen y 2,5 de precio) es menor que el del mercado de servicio y modernización (≈7 % anual la modernización según Roland Berger) y similar al del mercado total (≈3,9 %), así que no exige ganar cuota [13]. El riesgo para la prueba no es la calidad sino China, que ya pesa el 19 %. No hace falta rebajar el caso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 (base: 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 (base: 16,5 %)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 (WACC: 7,8 %)</w:t>
            </w:r>
          </w:p>
        </w:tc>
      </w:tr>
    </w:tbl>
    <w:p>
      <w:pPr>
        <w:spacing w:after="160" w:before="0"/>
      </w:pPr>
    </w:p>
    <w:p>
      <w:pPr>
        <w:spacing w:after="100"/>
      </w:pPr>
      <w:r>
        <w:t xml:space="preserve">El DCF de KONE sola da 46,37 EUR por acción, un 9,8 % por debajo del precio, con el 61 % del valor en el terminal. El DCF inverso dice que el precio de 51,40 EUR descuenta un crecimiento del 5,0 % anual entre 2027e y 2035e (nuestro base: 3,5 %) o un margen EBITDA del 18 % (base: 16,5 %), o lo que es lo mismo, una rentabilidad anual del 7,3 % frente a nuestro WACC del 7,85 %. Es exigente frente a la historia: KONE creció un 2,5 % anual en 2020-2025 y nunca ha tenido un margen EBITDA del 18 %. Con la prima de riesgo que hoy pide el mercado (4,2 %, WACC del 6,8 %), el valor sube a 57,02 EUR: la diferencia es de tasa, no de cifras. El precio solo se justifica con una tasa de descuento baja propia de un negocio de servicio muy defensivo, o con algo de valor por las sinergias de TKE (700 M antes de impuestos al tercer año) que nuestro modelo no incluye [6].</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no se recupera y el equipo nuevo cae también en Europa y EE. UU.; la guerra de precios lleva el margen ajustado de vuelta al 11-12 %, como en 2023. Además, la operación con TKE se complica (desinversiones en Europa, costes de integración) y el mercado castiga la acción. Ya le pasó en 2022 (margen ajustado del 9,9 %).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4-4,5 % con la modernización y el servicio, China estabilizada en 2027 y margen EBIT ajustado que sube hasta el 13,7 % en 2030e. Sin TKE en las cifras.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modernización mantiene el ritmo de pedidos del 2T26 (+10,6 %) y el equipo nuevo vuelve a crecer en 2027; el margen ajustado supera el 14 %, el nivel previo a la crisis de China, y las sinergias de TKE empiezan a verse.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Valor por acción por escenario (EUR) · precio actual 51,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bCs/>
        </w:rPr>
        <w:t xml:space="preserve">Valor ponderado por probabilidad:</w:t>
      </w:r>
      <w:r>
        <w:t xml:space="preserve"> 44,74 EUR (-13,0 %).</w:t>
      </w:r>
    </w:p>
    <w:p>
      <w:pPr>
        <w:spacing w:after="100"/>
      </w:pPr>
      <w:r>
        <w:t xml:space="preserve">Con nuestro WACC la asimetría del valor intrínseco es mala: el alcista (51,53 EUR) apenas iguala el precio y el bajista (37,51) pierde un 27 %. Con la prima del mercado, la asimetría pasa a 2,02 veces. A 12 meses, con la regla de múltiplos, el reparto es mejor (alcista +50,5 %, bajista −14,4 %, asimetría 2,63) porque el PER actual ya está en mínimos de su historia: lo que se pierde viene más del múltiplo que del beneficio.</w:t>
      </w:r>
    </w:p>
    <w:p>
      <w:pPr>
        <w:pStyle w:val="Heading1"/>
      </w:pPr>
      <w:r>
        <w:t xml:space="preserve">22. Suma de partes</w:t>
      </w:r>
    </w:p>
    <w:p>
      <w:pPr>
        <w:pStyle w:val="Confianza"/>
        <w:spacing w:after="100"/>
      </w:pPr>
      <w:r>
        <w:t xml:space="preserve">Confianza: Media</w:t>
      </w:r>
    </w:p>
    <w:p>
      <w:pPr>
        <w:spacing w:after="100"/>
      </w:pPr>
      <w:r>
        <w:t xml:space="preserve">No aplica: KONE no publica resultados por línea de negocio (servicio, modernización y equipo nuevo comparten red y costes).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2" name="Gráfico 22" descr="Valor por acción según cada método (EUR) · precio actual 51,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45,49 EUR (-11,5 % sobre 51,40).</w:t>
      </w:r>
    </w:p>
    <w:p>
      <w:pPr>
        <w:spacing w:after="100"/>
      </w:pPr>
      <w:r>
        <w:t xml:space="preserve">El DCF pesa el 50 % porque es un negocio previsible con poca inversión, los escenarios el 25 % y los comparables el 25 % por lo incompleto de sus datos; las transacciones, 0 (la familia Herlin controla los votos). El valor intrínseco ponderado es de 45,49 EUR (−11,5 %). La dispersión es grande: los múltiplos de comparables dan 34,66-54,72 EUR por PER y 37,71-45,89 por EV/EBITDA porque los ascensores cotizan hoy a múltiplos bajos, y el DCF con la prima del mercado da 57,02. El método más fiable es el DCF, y su resultado depende sobre todo de la tasa de descuento.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+50,5 %</w:t>
            </w:r>
          </w:p>
        </w:tc>
      </w:tr>
    </w:tbl>
    <w:p>
      <w:pPr>
        <w:spacing w:after="160" w:before="0"/>
      </w:pPr>
    </w:p>
    <w:p>
      <w:pPr>
        <w:spacing w:after="100"/>
      </w:pPr>
      <w:r>
        <w:rPr>
          <w:b/>
          <w:bCs/>
        </w:rPr>
        <w:t xml:space="preserve">Objetivo a 12 meses (ponderado):</w:t>
      </w:r>
      <w:r>
        <w:t xml:space="preserve"> 55,57 EUR · rentabilidad +11,6 % (base +11,6 %) · señal Mantener.</w:t>
      </w:r>
    </w:p>
    <w:p>
      <w:pPr>
        <w:keepNext/>
        <w:spacing w:after="100"/>
      </w:pPr>
      <w:r>
        <w:rPr>
          <w:b/>
          <w:bCs/>
        </w:rPr>
        <w:t xml:space="preserve">Frente al consenso (solo contraste).</w:t>
      </w:r>
    </w:p>
    <w:p>
      <w:pPr>
        <w:spacing w:after="100"/>
      </w:pPr>
      <w:r>
        <w:t xml:space="preserve">Nuestro BPA de 2026e (≈1,92 EUR con los costes de TKE) queda por debajo del consenso publicado (2,06) y el de 2027e (2,16) un 8 % por debajo del de Inderes (2,34): somos más prudentes en el margen (EBIT ajustado del 13,2 % en 2028e) y no contamos sinergias de TKE [26, 28]. Nuestro precio base (55,57 EUR) queda un 7,6 % por debajo del objetivo medio (60,11); la diferencia es sobre todo de múltiplo: usamos el PER actual (23,8 veces) y no la vuelta a la media histórica (28-30 veces) [35].</w:t>
      </w:r>
    </w:p>
    <w:p>
      <w:pPr>
        <w:keepNext/>
        <w:spacing w:after="100"/>
      </w:pPr>
      <w:r>
        <w:rPr>
          <w:b/>
          <w:bCs/>
        </w:rPr>
        <w:t xml:space="preserve">Del valor intrínseco al objetivo a 12 meses.</w:t>
      </w:r>
    </w:p>
    <w:p>
      <w:pPr>
        <w:spacing w:after="100"/>
      </w:pPr>
      <w:r>
        <w:t xml:space="preserve">El objetivo a 12 meses (55,57 EUR) queda un 22 % por encima del valor intrínseco (45,49 EUR): el mercado paga por KONE un PER que nuestro WACC no justifica, y suponemos que lo seguirá pagando un año más. Para que el precio converja al valor intrínseco haría falta que el mercado exigiera a KONE la misma rentabilidad que nuestro WACC (7,85 %); con la prima implícita del mercado (4,2 %), el valor intrínseco sube a 53,33 EUR y la distancia casi desaparece. El catalizador con fecha son los resultados del 3T26 (28-oct-2026) y la decisión de competencia sobre TKE (2027).</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modernización y margen ajustado frente a la guía (12,3-13,0 %); el 1S26 fue del 11,8 %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China estabilizada; dividendo (Inderes estima 1,95 EUR)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formal a la Comisión Europea y decisión de la CMA británica sobre TKE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fase 2 o desinversiones en Europa reducirían las sinergias de 700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2T27 (como pronto)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combinación con TKE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Emisión de hasta 270 M de acciones B, 5.000 M de caja y refinanciación de ≈9.200 M de deuda neta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del equipo nuevo en China (Roland Berger)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y margen del equipo nuevo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y precio de la combinación con TKE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(bajista del objetivo a 12 meses: −14,4 %)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de 700 M y BPA ajustado mayor desde el primer año, según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Condiciones de competencia en la UE; costes de integración por encima de lo anunciado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Bloqueo o remedios de competencia sobre TKE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+5 % (depende de si el mercado prefiere KONE sola)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KONE dice confiar en la aprobación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Apertura de fase 2 en Bruselas; postura de la CMA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el equipo nuevo sigue cayendo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(bajista del DCF −27 % con −1,5 puntos de crecimiento y −1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pesa ya solo el 19 %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y ventas en Gran China en 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hacia los comparables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 de precio (PER de 23,8 a 19,5 veces, la mediana de los comparables)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cotiza en el mínimo de su PER histórico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Otis y Schindler bajando de 15 y 24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precios en el mantenimiento por independientes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por equipos propietarios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servicio por debajo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 (dólar, yuan)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del BPA por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en las mismas divisas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entre crecimiento publicado y a tipos constantes (≈2 puntos en 2025-26)</w:t>
            </w:r>
          </w:p>
        </w:tc>
      </w:tr>
    </w:tbl>
    <w:p>
      <w:pPr>
        <w:spacing w:after="160" w:before="0"/>
      </w:pPr>
    </w:p>
    <w:p>
      <w:pPr>
        <w:pStyle w:val="Heading2"/>
      </w:pPr>
      <w:r>
        <w:t xml:space="preserve">Pre-mortem</w:t>
      </w:r>
    </w:p>
    <w:p>
      <w:pPr>
        <w:spacing w:after="100"/>
      </w:pPr>
      <w:r>
        <w:t xml:space="preserve">Octubre de 2029: la acción ha perdido un 40 %. La Comisión Europea abrió una fase 2 sobre TKE en 2027 y autorizó la operación a cambio de vender buena parte del negocio europeo de TKE, el de mayor densidad de rutas, así que las sinergias quedaron en la mitad de los 700 M. KONE ya había emitido 270 M de acciones y pagado 5.000 M en efectivo; con 14.000 M de deuda bruta, el dividendo de 1,80 EUR dejó de ser intocable. A la vez, China no se recuperó y la guerra de precios de los fabricantes chinos llegó a Oriente Medio e India, y el margen ajustado volvió al 11 %. El mercado, que pagaba 24 veces el beneficio por un negocio sin deuda y con dividendo seguro, pasó a pagar 16 veces, como a Otis. Las señales estaban a la vista: la oposición de Schindler y de la CMA en 2026, la dilución del 52 % y un EBIT ajustado del 1S26 por debajo de la guía anual.</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materiales son la seguridad de técnicos y usuarios (un accidente grave tiene coste reputacional y legal), las emisiones de los edificios (los ascensores modernos consumen mucho menos, lo que empuja la modernización) y la gobernanza de un grupo controlado por la familia Herlin tras una ampliación de hasta 270 M de acciones para los vendedores de TKE [6].</w:t>
      </w:r>
    </w:p>
    <w:p>
      <w:pPr>
        <w:pStyle w:val="Heading2"/>
      </w:pPr>
      <w:r>
        <w:t xml:space="preserve">Controversias</w:t>
      </w:r>
    </w:p>
    <w:p>
      <w:pPr>
        <w:spacing w:after="100"/>
      </w:pPr>
      <w:r>
        <w:t xml:space="preserve">No hemos encontrado sanciones nuevas en los últimos tres años en las búsquedas. El precedente relevante es la multa de la Comisión Europea al cártel de ascensores (2007), que confirmó el Tribunal General en 2011; es la razón por la que la operación con TKE recibirá un examen de competencia estricto [15].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TKE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remedios de competencia aceptaría KONE en Europa y cuánto de los 700 M de sinergias dependen de la densidad de servicio en los países con solape?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operación crea o destruye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TKE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BPA publicado (con la amortización de intangibles) espera KONE en el primer año completo y qué política de dividendo mantendrá con 14.000 M de deuda bruta?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promesa de mejora del BPA es en base ajustada; el dividendo es el soporte del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ajustado espera el 2S26 para cumplir la guía del 12,3-13,0 % con un 11,8 % en el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incumplimiento en octubre movería el BPA de 2027e.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cayeron los pedidos de equipo nuevo en Gran China en 2026 y cuál es el margen del servicio allí?</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pesa el 19 % y es el origen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importe de los anticipos de clientes y de los pasivos por arrendamiento?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Cambian el ROIC y el puente de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la tasa de pérdida de contratos de mantenimiento y la subida media de precios en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prueba del poder de precios que sostiene el caso base.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Inderes (hilo de KONE)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finlandeses discuten si la combinación con TKE destruye valor por el precio pagado y la dilución, frente a quienes ven por fin un catalizador para un valor «en espera» desde hace años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Comentarios de lectores en Inderes (análisis del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comentarios repiten que la acción lleva tiempo «en modo espera» y que los pedidos de modernización son la buena noticia; dudas sobre China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Inderes (vídeo «Koneen osake mystisen kallis»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debate de fondo es por qué KONE cotizaba a múltiplos tan altos para crecer poco; tras la caída, parte de los lectores ya no la ve cara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Community (narrativa sobre KONE)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narrativa más seguida apuesta por la modernización y las alianzas, con un valor razonable cercano al precio objetivo medio de los analistas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y dilución de la compra de TKE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29.400 M EUR (≈22 veces el EBIT ajustado implícito de TKE) y hasta 270 M de acciones nuevas, un 52 % de las actuales; AlphaValue y RBC la llaman cara [6, 33]. La crítica tiene base en las cifras; la empresa promete aumento del BPA ajustado desde el primer año [6].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de competencia (UE, Reino Unido,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Schindler se opone y la CMA británica abrió consulta el 22-sep-2026; el cierre se espera como pronto en el 2T27 [10, 15, 16].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en Gran China cayeron un 18,7 % en 2025 y ya pesan solo el 19 %: el riesgo existe pero cada vez mueve menos el beneficio [4].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Modernización y servicio como motor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+10,6 % en el 2T26 con modernización a doble dígito en todas las regiones [1, 2]: los datos dan la razón a los optimistas.</w:t>
            </w:r>
          </w:p>
        </w:tc>
      </w:tr>
    </w:tbl>
    <w:p>
      <w:pPr>
        <w:spacing w:after="160" w:before="0"/>
      </w:pPr>
    </w:p>
    <w:p>
      <w:pPr>
        <w:spacing w:after="100"/>
      </w:pPr>
      <w:r>
        <w:t xml:space="preserve">El sentimiento de los particulares es dividido y algo peor que hace seis meses: la discusión se ha movido de China a la operación con TKE, que una parte ve cara y dilutiva y otra ve como el catalizador que faltaba a un valor «en espera» [29, 30]. Las críticas coinciden con las cifras: precio de ≈22 veces el EBIT de TKE y hasta un 52 % más de acciones [6]. No hay euforia ni capitulación; el sentimiento coincide con el de los analistas (objetivo medio ≈60 EUR, Inderes en Acumular) y no añade un riesgo que el informe no recoja. Si algo aporta, es que el mercado no pagará la prima histórica de KONE hasta ver el visto bueno de competencia.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18 controles correctos. Fuentes: 59 (18 primarias); citas distintas en el texto: 59.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-7,6 %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gastos generales y resultado financiero 2022; cuenta completa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anuales 2019-2025 vía búsqueda: solo cabeceras (ventas, EBIT, BPA); 2) Stock Analysis y Fidelity: líneas reclasificadas y parciales; 3) Annual Review 2025 (PDF) citado por la búsqueda: solo la tabla de cifras clave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pasivos, deuda bruta, arrendamientos, anticipos de clientes, existencias, clientes y proveedores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Annual Review 2025 y 2024 (estado de situación en p. 90 y p. 83) citados por la búsqueda sin las tablas; 2) Stock Analysis, Fintel y Fidelity: solo caja, activo corriente, fondo de comercio y patrimonio, con definiciones distintas; 3) ESEF de 2024 en filings.xbrl.org: no accesible desde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de arrendamientos, adquisiciones y desinversiones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 de flujos del Annual Review (p. 92) sin texto en la búsqueda; 2) Stock Analysis y Stockopedia: solo flujo operativo, capex y dividendos; 3) Inderes cita un FCF de 824 M en 2024 tras arrendamientos,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años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Annual Review 2025: no se obtuvo la sección de auditoría; 2) Informe de gobierno corporativo: no aparece en la búsqueda; 3) Prensa: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mercado de KONE e ingresos y márgenes EBIT anuales de Otis y Schindler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Roland Berger 2026: tamaño del mercado sin cuotas; 2) Comunicados de Otis y Schindler: solo cifras del 2T26/1S26; 3) Estudios de mercado de pago (Research and Markets, Statista): cifras ocultas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2025: no localizado en la búsqueda; 2) Páginas de MSCI y Sustainalytics: no accesibles; 3) EthiFinance publica una calificación no solicitada sin nota visible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del tamaño del mercado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Roland Berger 2025 y 2026: solo 2025 y 2030; 2) Research and Markets y BCC: de pago; 3) Statista: oculto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del CEO, votos de la junta sobre remuneración, auditor y comisión de auditoría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Remuneration Report 2025: no localizado en la búsqueda; 2) Acta de la junta de marzo de 2026: no aparece; 3) Inderes y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y participación de los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dirección de KONE: no devuelta por la búsqueda; 2) Notificaciones de operaciones de directivos: sin número de acciones en el extracto; 3) Prensa financiera: sin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Nasdaq Helsinki y Yahoo (bolsa.mjs): sin red; 2) Búsquedas de cotización (Nordnet, Inderes, MarketScreener, Kauppalehti): sin cierre fechado posterior; 3) Halo Technologies (51,40 EUR, 8-oct-2026) y eToro (51,26 EUR, oct-2026)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(Yahoo): sin red; 2) Búsqueda de rentabilidades en Inderes y Börsdata: sin series; 3) Proveedores (Simply Wall St, eToro): solo precio y rango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precios de cierre oficiales de cada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Annual Review (sección de acciones) sin texto; 2) Nasdaq Helsinki: sin red; 3) Derivados del PER de cierre de Wisesheets por el BPA publicado y, en 2025, del cierre del 16-dic (BAWAG)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capitalización, EV/EBITDA NTM, márgenes y ROIC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y Stock Analysis de cada comparable: solo extractos con PER; 2) Yahoo Finance: PER adelantado y EV/EBITDA de fechas distintas; 3) Informes de Inderes: sin tabla de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EV/EBITDA de operaciones del sector (≥3)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KONE-TKE: valor empresa sin EBITDA de TKE; 2) Advent/Cinven-TKE (2020) y EQT-Fujitec: sin múltiplo en la búsqueda; 3) Mynth Capital: campo vacío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de consenso de 2027e y 2028e de dos fuentes y reparto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WebFetch, no disponible); 2) Simply Wall St, Fintel: 2026e y precio objetivo; 3) Inderes: solo su propia estimación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y Stocktwits sobre KNEBV/KNYJY: sin resultados; 2) Seeking Alpha: solo la noticia de sept-2025; 3) Foros finlandeses (Inderes): sí, usados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Half-year financial report of KONE Corporation for January–June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KONE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https://news.cision.com/kone-oyj/r/half-year-financial-report-of-kone-corporation-for-january-june-2026,c4376661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KONE (KNEBV)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https://quartr.com/events/kone-knebv-q2-2026_33c5RFB3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Statement Bulletin of KONE Corporation for January–December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https://news.cision.com/kone-oyj/r/financial-statement-bulletin-of-kone-corporation-for-january-december-2025,c4303674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Q4 2025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https://www.kone.com/fi/Images/KONE_Q4_2025_Presentation_Final_tcm18-141560.pdf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Oyj (HEL:KNEBV)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https://stockanalysis.com/quote/hel/KNEBV/financials/balance-sheet/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 information: KONE and TKE to combine, creating a world-class company in the elevator and escalator industry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https://www.kone.com/global/en/newsroom/releases/2026/inside-information--kone-and-tke-to-combine--creating-a-world-class-company-in-the-elevator-and-escalator-industry-2026-04-29.html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Statement Bulletin January–December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https://www.kone.com/global/en/newsroom/releases/2022/financial-statement-bulletin-januarydecember-2021-2022-02-02.html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Statement Bulletin of KONE Corporation for January–December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https://kone.com/en/news-and-insights/releases/financial-statement-bulletin-of-kone-corporation-for-january-december-2020-2021-01-28.aspx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Treasury shares (página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https://www.kone.com/global/en/investors/share-and-shareholders/Treasury-shares.html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Corporation’s Extraordinary General Meeting has approved the proposed resolutions related to the TK Elevator transaction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https://www.kone.com/global/en/newsroom/releases/2026/kone-corporations-extraordinary-general-meeting-has-approved-the-proposed-resolutions-related-to-the-tk-elevator-transaction-2026-06-03.html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company report 4-may-2026 (combinación con TKE)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https://www.inderes.se/files/36273053-fbb9-45da-b22d-fd217955d75e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Statement Bulletin of KONE Corporation for January–December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https://inderes.dk/en/releases/kone-oyj-financial-statement-bulletin-of-kone-corporation-for-january-december-2023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Elevator Market Outlook 2030 – Spring 2026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Roland Berger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https://www.rolandberger.com/en/Insights/Publications/Elevator-Market-Outlook-2030-Spring-2026-update.html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Elevator and escalator market 2026-2030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 and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https://www.researchandmarkets.com/reports/5632853/elevator-and-escalator-market-2026-2030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KONE-TKE deal likely faces antitrust scrutiny, regulatory reviews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Elevator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https://elevatorworld.com/news/daily-news/kone-tke-deal-likely-faces-antitrust-scrutiny-regulatory-reviews/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UK CMA seeks views on Kone/TK Elevator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MLex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https://www.mlex.com/mlex/articles/2528198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Worldwide (OTIS)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https://quartr.com/events/otis-worldwide-corporation-otis-q2-2026_332Pc4fK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Continued margin expansion (resultados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https://uk.marketscreener.com/news/continued-margin-expansion-ce7f51dbde89f62c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EQT to take Fujitec private in $2.7bn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 Worldwide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https://www.financierworldwide.com/eqt-to-take-fujitec-private-in-27bn-deal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Oyj: johdon liiketoimet – Philippe Delorme (jul-2026)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https://www.inderes.fi/releases/kone-oyj-johtohenkiloiden-liiketoimet-philippe-delorme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Decisions by the Board of Directors (5-mar-2026)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https://www.kone.com/en/news-and-insights/releases/decisions-by-the-board-of-directors-2026-03-05.aspx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of Directors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https://www.kone.com/en/company/organization-and-management/board-of-directors.aspx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Oyj: johdon liiketoimet – Timo Ihamuotila (jul-2026)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https://www.inderes.fi/releases/kone-oyj-johtohenkiloiden-liiketoimet-timo-ihamuotila-2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of KONE Corporation’s Annual General Meeting 2017 (derechos de voto A y 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https://www.kone.com/en/Images/KONE_AGM_2017_Minutes_tcm17-41353.pdf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https://tridion.kone.com/en/investors/kone-share/share-history/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Oyj just missed earnings but analysts have updated their models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https://www.webull.com/news/15286314070909952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 dividend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https://www.inderes.fi/sv/companies/Kone/dividend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Q2’26: Jumping on the elevator of long-term earnings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https://www.inderes.se/en/research/kone-q226-jumping-on-the-elevator-of-long-term-earnings-growth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 Dedicated to People Flow (hilo del foro)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 Forum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https://forum.inderes.com/t/kone-omistautunut-ihmisvirroille/3248/558?tl=en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Q2’26: pidemmän aikavälin tuloshissin kyytiin (comentarios de lectores)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https://www.inderes.fi/research/kone-q226-pidemman-aikavalin-tuloshissin-kyytiin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Koneen osake mystisen kallis (vídeo y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https://www.inderes.fi/videos/koneen-osake-mystisen-kallis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analysts have nudged their price target on KONE Oyj slightly (narrativa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Community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https://simplywall.st/community/narratives/fi/capital-goods/hel-knebv/kone-oyj-shares/8bax1kko-partnerships-and-modernization-will-drive-opportunity-amid-challenging-markets/updates/13-analysts-have-nudged-their-price-target-on-kone-oyj-slightly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 blog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AlphaValue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https://www.alphavalue.fr/Blog/kone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Oyj (0II2) –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https://fintel.io/s/gb/0ii2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 dividend tracker y múltiplos (PER adelantado 15,2x)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DripCalc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https://www.dripcalc.com/stocks/OTIS/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key statistics (EV/EBITDA 13,3x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https://finance.yahoo.com/quote/OTIS/key-statistics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AG – valuation (PER 2026e 25x, EV/ventas 2,08x)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https://uk.marketscreener.com/quote/stock/SCHINDLER-HOLDING-AG-41754375/valuation/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PS – kurs og nøgletal (PER adelantado 22,7x, EV/EBITDA 13,9x)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Nordnet (npinvestor)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https://npinvestor.dk/aktier/schindler-ps/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(ASAZY) – PER adelantado 19,5x (22-sep-2026)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https://ca.finance.yahoo.com/quote/ASAZY/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(ATLFF) – PER adelantado 24,8x (22-sep-2026)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https://uk.finance.yahoo.com/quote/ATLFF/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Konecranes (KCR.HE) – PER adelantado 13,6x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Snowball Analytics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https://snowball-analytics.com/public/asset/KCR.HE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 ratio KNEBV.HE (histórico anual 2019-2024)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Wisesheets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https://wisesheets.io/pe-ratio/KNEBV.HE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OYJ B factsheet (cierre de 59,66 EUR el 16-dic-2025)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BAWAG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https://markets.bawag.at/wertpapiere/aktie/tts-20880532/KONE-OYJ-B-O-N/factsheet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KNEBV quote (51,40 EUR, 8-oct-2026; rango de 52 semanas 46,22-64,42)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https://www.halo-technologies.com/markets/shares/hel/knebv/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KNEBV.HE (51,26 EUR; capitalización 26.570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https://www.etoro.com/markets/knebv.he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Germany 10-year government bond yield (2,97 % en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Macroradar (OCDE/FRED)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https://www.macroradar.io/germany-10-year-yield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 Bund yields stabilize as market eyes record debt supply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https://tradingeconomics.com/germany/government-bond-yield/news/514000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Q4’25: Smooth ride, elevated price tag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https://www.inderes.se/en/research/kone-q425-smooth-ride-elevated-price-tag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company report 23-jul-2026 (PDF)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https://www.inderes.fi/files/88bb9ad0-573f-47f9-bc78-01c827760315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EPS: 2T26 0,46 EUR frente a 0,55 esperado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https://tradingeconomics.com/knebv:fh:eps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Q2 2026 Earnings Call: Complete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https://www.webull.com/news/15270129235878912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Oyj (HEL:KNEBV)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https://stockanalysis.com/quote/hel/KNEBV/financials/cash-flow-statement/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Oyj (HEL:KNEBV)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https://stockanalysis.com/quote/hel/KNEBV/financials/income-statement/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Oyj – financials (BAI e impuestos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Fidelity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https://fidelity.co.uk/factsheet-data/factsheet/FI0009013403-kone-oyj/financials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KNEBV.HE financials (impuestos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Snowball Analytics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https://snowball-analytics.com/public/asset/KNEBV.HE.EUR/financials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reporting schedule of KONE Corporation 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https://www.kone.com/en/news-and-insights/releases/financial-reporting-schedule-of-kone-corporation-in-2026-2025-10-23.aspx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Statement Bulletin of KONE Corporation for January–December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https://www.kone.com/global/en/newsroom/releases/2023/financial-statement-bulletin-of-kone-corporation-for-januarydecember-2022-2023-01-26.html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shares climb on report of potential bid for rival TK Elevator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https://seekingalpha.com/news/4495932-kone-shares-climb-on-report-of-potential-bid-for-rival-tk-elevator</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80,5 %</w:t>
      </w:r>
      <w:r>
        <w:t xml:space="preserve"> · Secciones con menos del 60 % de campos cubiertos: </w:t>
      </w:r>
      <w:r>
        <w:rPr>
          <w:b/>
          <w:bCs/>
        </w:rPr>
        <w:t xml:space="preserve">gobierno, calidad, bolsa</w:t>
      </w:r>
      <w:r>
        <w:t xml:space="preserve"> · Generado el 14 oct 2026.</w:t>
      </w:r>
    </w:p>
    <w:p>
      <w:pPr>
        <w:pStyle w:val="Nota"/>
        <w:spacing w:after="100"/>
      </w:pPr>
      <w:r>
        <w:t xml:space="preserve">Análisis hecho desde la nube con la red limitada a la búsqueda web: la web de KONE, Nasdaq Helsinki, Yahoo y los proveedores de datos no se pudieron abrir, así que las cifras salen de los extractos de búsqueda de los comunicados de resultados de KONE (Cision y kone.com), de Stock Analysis, Fidelity, Snowball y Fintel, y de Inderes, cruzadas cuando fue posible; la confianza es menor que en un análisis normal y lo que no cuadró está en null y en los huecos. Línea cotizada: acciones B en Nasdaq Helsinki (KNEBV); las acciones A (76,2 M) no cotizan y se valoran al precio de la B; acciones en circulación 518,3 M (529,4 M emitidas menos 11,1 M de autocartera) [9, 25]. Precio: 51,40 EUR, último cierre fechado localizado (8-oct-2026, Halo Technologies), coherente con los 51,26 EUR y 26.570 M de capitalización de eToro en octubre [45, 46]; no hemos podido confirmar el cierre del 13-oct. Próximos resultados: 28-oct-2026 (3T26), según el calendario oficial [57]. Valoramos KONE sola: la combinación con TKE no cierra antes del 2T27 y depende de las autoridades de competencia; se trata como riesgo y opción en el texto. Balance incompleto: el ROIC del motor usa el patrimonio y la caja neta, sin el desglose de anticipos y arrendamientos. Precios de cierre de 2020-2024 derivados del PER de cierre de Wisesheets por el BPA publicado (estimación propia) y el de 2025, del 16-dic-2025 [43, 44].</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KONE Oyj (KNEBV)</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51,40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(46,22 – 64,42)</c:v>
                </c:pt>
                <c:pt idx="1">
                  <c:v>Precio objetivo de los analistas (45,00 – 87,12)</c:v>
                </c:pt>
                <c:pt idx="2">
                  <c:v>Comparables: PER NTM (34,66 – 54,72)</c:v>
                </c:pt>
                <c:pt idx="3">
                  <c:v>DCF (WACC y g ± 0,5) (40,60 – 54,62)</c:v>
                </c:pt>
                <c:pt idx="4">
                  <c:v>Escenarios (bajista – alcista) (37,51 – 51,53)</c:v>
                </c:pt>
                <c:pt idx="5">
                  <c:v>DCF con la prima implícita del mercado (4,2 %)</c:v>
                </c:pt>
                <c:pt idx="6">
                  <c:v>Precio actual (51,40)</c:v>
                </c:pt>
              </c:strCache>
            </c:strRef>
          </c:cat>
          <c:val>
            <c:numRef>
              <c:f>Hoja1!$B$2:$B$8</c:f>
              <c:numCache>
                <c:formatCode>#,##0.0</c:formatCode>
                <c:ptCount val="7"/>
                <c:pt idx="0">
                  <c:v>46.22</c:v>
                </c:pt>
                <c:pt idx="1">
                  <c:v>45</c:v>
                </c:pt>
                <c:pt idx="2">
                  <c:v>34.66</c:v>
                </c:pt>
                <c:pt idx="3">
                  <c:v>40.6</c:v>
                </c:pt>
                <c:pt idx="4">
                  <c:v>37.51</c:v>
                </c:pt>
                <c:pt idx="5">
                  <c:v>51.39</c:v>
                </c:pt>
                <c:pt idx="6">
                  <c:v>51.14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(46,22 – 64,42)</c:v>
                </c:pt>
                <c:pt idx="1">
                  <c:v>Precio objetivo de los analistas (45,00 – 87,12)</c:v>
                </c:pt>
                <c:pt idx="2">
                  <c:v>Comparables: PER NTM (34,66 – 54,72)</c:v>
                </c:pt>
                <c:pt idx="3">
                  <c:v>DCF (WACC y g ± 0,5) (40,60 – 54,62)</c:v>
                </c:pt>
                <c:pt idx="4">
                  <c:v>Escenarios (bajista – alcista) (37,51 – 51,53)</c:v>
                </c:pt>
                <c:pt idx="5">
                  <c:v>DCF con la prima implícita del mercado (4,2 %)</c:v>
                </c:pt>
                <c:pt idx="6">
                  <c:v>Precio actual (51,40)</c:v>
                </c:pt>
              </c:strCache>
            </c:strRef>
          </c:cat>
          <c:val>
            <c:numRef>
              <c:f>Hoja1!$C$2:$C$8</c:f>
              <c:numCache>
                <c:formatCode>#,##0.0</c:formatCode>
                <c:ptCount val="7"/>
                <c:pt idx="0">
                  <c:v>18.200000000000003</c:v>
                </c:pt>
                <c:pt idx="1">
                  <c:v>42.120000000000005</c:v>
                </c:pt>
                <c:pt idx="2">
                  <c:v>20.060000000000002</c:v>
                </c:pt>
                <c:pt idx="3">
                  <c:v>14.019999999999996</c:v>
                </c:pt>
                <c:pt idx="4">
                  <c:v>14.020000000000003</c:v>
                </c:pt>
                <c:pt idx="5">
                  <c:v>12.670000000000002</c:v>
                </c:pt>
                <c:pt idx="6">
                  <c:v>0.519999999999996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Service (mantenimiento)</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4550</c:v>
                </c:pt>
                <c:pt idx="1">
                  <c:v>4723</c:v>
                </c:pt>
              </c:numCache>
            </c:numRef>
          </c:val>
        </c:ser>
        <c:ser>
          <c:idx val="1"/>
          <c:order val="1"/>
          <c:tx>
            <c:strRef>
              <c:f>Hoja1!$C$1</c:f>
              <c:strCache>
                <c:ptCount val="1"/>
                <c:pt idx="0">
                  <c:v>Modernization</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2109</c:v>
                </c:pt>
                <c:pt idx="1">
                  <c:v>2361</c:v>
                </c:pt>
              </c:numCache>
            </c:numRef>
          </c:val>
        </c:ser>
        <c:ser>
          <c:idx val="2"/>
          <c:order val="2"/>
          <c:tx>
            <c:strRef>
              <c:f>Hoja1!$D$1</c:f>
              <c:strCache>
                <c:ptCount val="1"/>
                <c:pt idx="0">
                  <c:v>New Building Solutions (equipo nuevo)</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4439.4</c:v>
                </c:pt>
                <c:pt idx="1">
                  <c:v>4161.2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Service (mantenimiento)</c:v>
                </c:pt>
                <c:pt idx="1">
                  <c:v>Modernization</c:v>
                </c:pt>
                <c:pt idx="2">
                  <c:v>New Building Solutions (equipo nuevo)</c:v>
                </c:pt>
              </c:strCache>
            </c:strRef>
          </c:cat>
          <c:val>
            <c:numRef>
              <c:f>Hoja1!$B$2:$B$4</c:f>
              <c:numCache>
                <c:formatCode>General</c:formatCode>
                <c:ptCount val="3"/>
                <c:pt idx="0">
                  <c:v>42</c:v>
                </c:pt>
                <c:pt idx="1">
                  <c:v>21</c:v>
                </c:pt>
                <c:pt idx="2">
                  <c:v>37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EMEA</c:v>
                </c:pt>
                <c:pt idx="1">
                  <c:v>Gran China</c:v>
                </c:pt>
                <c:pt idx="2">
                  <c:v>Américas y Asia-Pacífico</c:v>
                </c:pt>
              </c:strCache>
            </c:strRef>
          </c:cat>
          <c:val>
            <c:numRef>
              <c:f>Hoja1!$B$2:$B$4</c:f>
              <c:numCache>
                <c:formatCode>0"%"</c:formatCode>
                <c:ptCount val="3"/>
                <c:pt idx="0">
                  <c:v>40</c:v>
                </c:pt>
                <c:pt idx="1">
                  <c:v>19</c:v>
                </c:pt>
                <c:pt idx="2">
                  <c:v>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2030e</c:v>
                </c:pt>
              </c:strCache>
            </c:strRef>
          </c:cat>
          <c:val>
            <c:numRef>
              <c:f>Hoja1!$B$2:$B$3</c:f>
              <c:numCache>
                <c:formatCode>#,##0</c:formatCode>
                <c:ptCount val="2"/>
                <c:pt idx="0">
                  <c:v>110</c:v>
                </c:pt>
                <c:pt idx="1">
                  <c:v>133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KONE</c:v>
                </c:pt>
                <c:pt idx="1">
                  <c:v>Otis Worldwide</c:v>
                </c:pt>
                <c:pt idx="2">
                  <c:v>Schindler</c:v>
                </c:pt>
                <c:pt idx="3">
                  <c:v>TK Elevator</c:v>
                </c:pt>
                <c:pt idx="4">
                  <c:v>Fujitec</c:v>
                </c:pt>
              </c:strCache>
            </c:strRef>
          </c:cat>
          <c:val>
            <c:numRef>
              <c:f>Hoja1!$B$2:$B$6</c:f>
              <c:numCache>
                <c:formatCode>0.0"%"</c:formatCode>
                <c:ptCount val="5"/>
                <c:pt idx="0">
                  <c:v>12.2</c:v>
                </c:pt>
                <c:pt idx="2">
                  <c:v>13.2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2</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9938.5</c:v>
                </c:pt>
                <c:pt idx="1">
                  <c:v>10514.1</c:v>
                </c:pt>
                <c:pt idx="2">
                  <c:v>10906.7</c:v>
                </c:pt>
                <c:pt idx="3">
                  <c:v>10952.3</c:v>
                </c:pt>
                <c:pt idx="4">
                  <c:v>11098.4</c:v>
                </c:pt>
                <c:pt idx="5">
                  <c:v>11245.2</c:v>
                </c:pt>
                <c:pt idx="6">
                  <c:v>11470</c:v>
                </c:pt>
                <c:pt idx="7">
                  <c:v>11929</c:v>
                </c:pt>
                <c:pt idx="8">
                  <c:v>12466</c:v>
                </c:pt>
                <c:pt idx="9">
                  <c:v>13027</c:v>
                </c:pt>
                <c:pt idx="10">
                  <c:v>13548</c:v>
                </c:pt>
                <c:pt idx="11">
                  <c:v>14022</c:v>
                </c:pt>
                <c:pt idx="12">
                  <c:v>14443</c:v>
                </c:pt>
                <c:pt idx="13">
                  <c:v>14876</c:v>
                </c:pt>
                <c:pt idx="14">
                  <c:v>15248</c:v>
                </c:pt>
                <c:pt idx="15">
                  <c:v>15629</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1">
                  <c:v>1553.8</c:v>
                </c:pt>
                <c:pt idx="2">
                  <c:v>1335.9</c:v>
                </c:pt>
                <c:pt idx="3">
                  <c:v>1517.8</c:v>
                </c:pt>
                <c:pt idx="4">
                  <c:v>1595.2</c:v>
                </c:pt>
                <c:pt idx="5">
                  <c:v>1689.1999999999998</c:v>
                </c:pt>
                <c:pt idx="6">
                  <c:v>1721</c:v>
                </c:pt>
                <c:pt idx="7">
                  <c:v>1861</c:v>
                </c:pt>
                <c:pt idx="8">
                  <c:v>1995</c:v>
                </c:pt>
                <c:pt idx="9">
                  <c:v>2123</c:v>
                </c:pt>
                <c:pt idx="10">
                  <c:v>2235</c:v>
                </c:pt>
                <c:pt idx="11">
                  <c:v>2314</c:v>
                </c:pt>
                <c:pt idx="12">
                  <c:v>2383</c:v>
                </c:pt>
                <c:pt idx="13">
                  <c:v>2455</c:v>
                </c:pt>
                <c:pt idx="14">
                  <c:v>2516</c:v>
                </c:pt>
                <c:pt idx="15">
                  <c:v>2579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1">
                  <c:v>14.8</c:v>
                </c:pt>
                <c:pt idx="2">
                  <c:v>12.2</c:v>
                </c:pt>
                <c:pt idx="3">
                  <c:v>13.9</c:v>
                </c:pt>
                <c:pt idx="4">
                  <c:v>14.4</c:v>
                </c:pt>
                <c:pt idx="5">
                  <c:v>15</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12.2</c:v>
                </c:pt>
                <c:pt idx="1">
                  <c:v>12.5</c:v>
                </c:pt>
                <c:pt idx="2">
                  <c:v>9.9</c:v>
                </c:pt>
                <c:pt idx="3">
                  <c:v>11.4</c:v>
                </c:pt>
                <c:pt idx="4">
                  <c:v>11.7</c:v>
                </c:pt>
                <c:pt idx="5">
                  <c:v>12.2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1">
                  <c:v>9.6</c:v>
                </c:pt>
                <c:pt idx="2">
                  <c:v>7.1</c:v>
                </c:pt>
                <c:pt idx="3">
                  <c:v>8.5</c:v>
                </c:pt>
                <c:pt idx="4">
                  <c:v>8.6</c:v>
                </c:pt>
                <c:pt idx="5">
                  <c:v>8.7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1T25</c:v>
                </c:pt>
                <c:pt idx="1">
                  <c:v>2T25</c:v>
                </c:pt>
                <c:pt idx="2">
                  <c:v>1T26</c:v>
                </c:pt>
                <c:pt idx="3">
                  <c:v>2T26</c:v>
                </c:pt>
              </c:strCache>
            </c:strRef>
          </c:cat>
          <c:val>
            <c:numRef>
              <c:f>Hoja1!$B$2:$B$5</c:f>
              <c:numCache>
                <c:formatCode>0.0"%"</c:formatCode>
                <c:ptCount val="4"/>
                <c:pt idx="2">
                  <c:v>1.3</c:v>
                </c:pt>
                <c:pt idx="3">
                  <c:v>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1488.5</c:v>
                </c:pt>
                <c:pt idx="1">
                  <c:v>430.3</c:v>
                </c:pt>
                <c:pt idx="2">
                  <c:v>979.8</c:v>
                </c:pt>
                <c:pt idx="3">
                  <c:v>1080.6</c:v>
                </c:pt>
                <c:pt idx="4">
                  <c:v>1162.1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1014</c:v>
                </c:pt>
                <c:pt idx="1">
                  <c:v>774.5</c:v>
                </c:pt>
                <c:pt idx="2">
                  <c:v>925.8</c:v>
                </c:pt>
                <c:pt idx="3">
                  <c:v>951.3</c:v>
                </c:pt>
                <c:pt idx="4">
                  <c:v>980.1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3">
                  <c:v>81.7</c:v>
                </c:pt>
                <c:pt idx="4">
                  <c:v>42.7</c:v>
                </c:pt>
                <c:pt idx="5">
                  <c:v>43.5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7.9</c:v>
                </c:pt>
                <c:pt idx="1">
                  <c:v>7.9</c:v>
                </c:pt>
                <c:pt idx="2">
                  <c:v>7.9</c:v>
                </c:pt>
                <c:pt idx="3">
                  <c:v>7.9</c:v>
                </c:pt>
                <c:pt idx="4">
                  <c:v>7.9</c:v>
                </c:pt>
                <c:pt idx="5">
                  <c:v>7.9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3">
                  <c:v>66.5</c:v>
                </c:pt>
                <c:pt idx="4">
                  <c:v>33.5</c:v>
                </c:pt>
                <c:pt idx="5">
                  <c:v>34.3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0</c:v>
                </c:pt>
                <c:pt idx="2">
                  <c:v>-0.28</c:v>
                </c:pt>
                <c:pt idx="3">
                  <c:v>-0.36</c:v>
                </c:pt>
                <c:pt idx="4">
                  <c:v>-0.26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1166</c:v>
                </c:pt>
                <c:pt idx="1">
                  <c:v>1088</c:v>
                </c:pt>
                <c:pt idx="2">
                  <c:v>904.9</c:v>
                </c:pt>
                <c:pt idx="3">
                  <c:v>905.5</c:v>
                </c:pt>
                <c:pt idx="4">
                  <c:v>931.9</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Otro externo</c:v>
                </c:pt>
                <c:pt idx="2">
                  <c:v>Independiente</c:v>
                </c:pt>
              </c:strCache>
            </c:strRef>
          </c:cat>
          <c:val>
            <c:numRef>
              <c:f>Hoja1!$B$2:$B$4</c:f>
              <c:numCache>
                <c:formatCode>0</c:formatCode>
                <c:ptCount val="3"/>
                <c:pt idx="0">
                  <c:v>3</c:v>
                </c:pt>
                <c:pt idx="1">
                  <c:v>1</c:v>
                </c:pt>
                <c:pt idx="2">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Familia Herlin (Holding Manutas y sociedades vinculadas): acciones A no cotizadas</c:v>
                </c:pt>
                <c:pt idx="1">
                  <c:v>Autocartera (acciones B)</c:v>
                </c:pt>
              </c:strCache>
            </c:strRef>
          </c:cat>
          <c:val>
            <c:numRef>
              <c:f>Hoja1!$B$2:$B$3</c:f>
              <c:numCache>
                <c:formatCode>0.0"%"</c:formatCode>
                <c:ptCount val="2"/>
                <c:pt idx="0">
                  <c:v>14.4</c:v>
                </c:pt>
                <c:pt idx="1">
                  <c:v>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1">
                  <c:v>21</c:v>
                </c:pt>
                <c:pt idx="2">
                  <c:v>18.8</c:v>
                </c:pt>
                <c:pt idx="3">
                  <c:v>15</c:v>
                </c:pt>
                <c:pt idx="4">
                  <c:v>14.9</c:v>
                </c:pt>
                <c:pt idx="5">
                  <c:v>18.1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16.6</c:v>
                </c:pt>
                <c:pt idx="1">
                  <c:v>16.6</c:v>
                </c:pt>
                <c:pt idx="2">
                  <c:v>16.6</c:v>
                </c:pt>
                <c:pt idx="3">
                  <c:v>16.6</c:v>
                </c:pt>
                <c:pt idx="4">
                  <c:v>16.6</c:v>
                </c:pt>
                <c:pt idx="5">
                  <c:v>16.6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1062</c:v>
                </c:pt>
                <c:pt idx="1">
                  <c:v>1159</c:v>
                </c:pt>
                <c:pt idx="2">
                  <c:v>1248</c:v>
                </c:pt>
                <c:pt idx="3">
                  <c:v>1334</c:v>
                </c:pt>
                <c:pt idx="4">
                  <c:v>1407</c:v>
                </c:pt>
                <c:pt idx="5">
                  <c:v>1457</c:v>
                </c:pt>
                <c:pt idx="6">
                  <c:v>1500</c:v>
                </c:pt>
                <c:pt idx="7">
                  <c:v>1515</c:v>
                </c:pt>
                <c:pt idx="8">
                  <c:v>1553</c:v>
                </c:pt>
                <c:pt idx="9">
                  <c:v>1592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9162</c:v>
                </c:pt>
                <c:pt idx="1">
                  <c:v>14629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51,40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37.51</c:v>
                </c:pt>
                <c:pt idx="1">
                  <c:v>46.37</c:v>
                </c:pt>
                <c:pt idx="2">
                  <c:v>51.53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51,40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(46,22 – 64,42)</c:v>
                </c:pt>
                <c:pt idx="1">
                  <c:v>Precio objetivo de los analistas (45,00 – 87,12)</c:v>
                </c:pt>
                <c:pt idx="2">
                  <c:v>Comparables: PER NTM (34,66 – 54,72)</c:v>
                </c:pt>
                <c:pt idx="3">
                  <c:v>DCF (WACC y g ± 0,5) (40,60 – 54,62)</c:v>
                </c:pt>
                <c:pt idx="4">
                  <c:v>Escenarios (bajista – alcista) (37,51 – 51,53)</c:v>
                </c:pt>
                <c:pt idx="5">
                  <c:v>DCF con la prima implícita del mercado (4,2 %)</c:v>
                </c:pt>
                <c:pt idx="6">
                  <c:v>Precio actual (51,40)</c:v>
                </c:pt>
              </c:strCache>
            </c:strRef>
          </c:cat>
          <c:val>
            <c:numRef>
              <c:f>Hoja1!$B$2:$B$8</c:f>
              <c:numCache>
                <c:formatCode>#,##0.0</c:formatCode>
                <c:ptCount val="7"/>
                <c:pt idx="0">
                  <c:v>46.22</c:v>
                </c:pt>
                <c:pt idx="1">
                  <c:v>45</c:v>
                </c:pt>
                <c:pt idx="2">
                  <c:v>34.66</c:v>
                </c:pt>
                <c:pt idx="3">
                  <c:v>40.6</c:v>
                </c:pt>
                <c:pt idx="4">
                  <c:v>37.51</c:v>
                </c:pt>
                <c:pt idx="5">
                  <c:v>51.39</c:v>
                </c:pt>
                <c:pt idx="6">
                  <c:v>51.14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(46,22 – 64,42)</c:v>
                </c:pt>
                <c:pt idx="1">
                  <c:v>Precio objetivo de los analistas (45,00 – 87,12)</c:v>
                </c:pt>
                <c:pt idx="2">
                  <c:v>Comparables: PER NTM (34,66 – 54,72)</c:v>
                </c:pt>
                <c:pt idx="3">
                  <c:v>DCF (WACC y g ± 0,5) (40,60 – 54,62)</c:v>
                </c:pt>
                <c:pt idx="4">
                  <c:v>Escenarios (bajista – alcista) (37,51 – 51,53)</c:v>
                </c:pt>
                <c:pt idx="5">
                  <c:v>DCF con la prima implícita del mercado (4,2 %)</c:v>
                </c:pt>
                <c:pt idx="6">
                  <c:v>Precio actual (51,40)</c:v>
                </c:pt>
              </c:strCache>
            </c:strRef>
          </c:cat>
          <c:val>
            <c:numRef>
              <c:f>Hoja1!$C$2:$C$8</c:f>
              <c:numCache>
                <c:formatCode>#,##0.0</c:formatCode>
                <c:ptCount val="7"/>
                <c:pt idx="0">
                  <c:v>18.200000000000003</c:v>
                </c:pt>
                <c:pt idx="1">
                  <c:v>42.120000000000005</c:v>
                </c:pt>
                <c:pt idx="2">
                  <c:v>20.060000000000002</c:v>
                </c:pt>
                <c:pt idx="3">
                  <c:v>14.019999999999996</c:v>
                </c:pt>
                <c:pt idx="4">
                  <c:v>14.020000000000003</c:v>
                </c:pt>
                <c:pt idx="5">
                  <c:v>12.670000000000002</c:v>
                </c:pt>
                <c:pt idx="6">
                  <c:v>0.519999999999996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