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pStyle w:val="Heading2"/>
      </w:pPr>
      <w:r>
        <w:t xml:space="preserve">Fondo de comercio y compras</w:t>
      </w:r>
    </w:p>
    <w:p>
      <w:pPr>
        <w:spacing w:after="100"/>
      </w:pPr>
      <w:r>
        <w:t xml:space="preserve">Fondo de comercio: 520 M en 2025 (el 24 % del capital invertido medio); ha subido más de un 5 % en 1 de 6 años: compras pequeñas. ROIC publicado 11,8 %; sin fondo de comercio, 15,4 %. El ROIC sin fondo de comercio mide el rendimiento del negocio operativo; decide el publicado (§4.1) y la cifra sin fondo de comercio es dato para una excepción razonada.</w:t>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2"/>
      </w:pPr>
      <w:r>
        <w:t xml:space="preserve">Precio y noticias antes de decidir (regla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Variación 1 / 3 / 6 / 12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+4,2 % / +9,8 % / +15,1 % / +22,0 %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y al mínimo de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 / +31,0 %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Frente al máximo de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(medias de 50 y 200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alcista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(60 sesiones)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2026-04-28</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Veredicto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retrasa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Condición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hasta la colocación del fondo fundador o su desmentido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3"/>
        <w:gridCol w:w="1098"/>
        <w:gridCol w:w="4147"/>
        <w:gridCol w:w="1220"/>
      </w:tblGrid>
      <w:tr>
        <w:trPr>
          <w:cantSplit/>
          <w:tblHeader/>
        </w:trPr>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4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Causa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r>
      <w:tr>
        <w:trPr>
          <w:cantSplit/>
        </w:trPr>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nov-2025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-16,0 %</w:t>
            </w:r>
          </w:p>
        </w:tc>
        <w:tc>
          <w:tcPr>
            <w:tcW w:type="dxa" w:w="4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del 3T con guía rebajada por el cambio de divisa [21]</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cambia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585"/>
        <w:gridCol w:w="3904"/>
        <w:gridCol w:w="1220"/>
        <w:gridCol w:w="1831"/>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9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Hecho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Veredicto</w:t>
            </w:r>
          </w:p>
        </w:tc>
        <w:tc>
          <w:tcPr>
            <w:tcW w:type="dxa" w:w="18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Condición</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2026-02-20</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recomendación</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Banco ficticio sube a Comprar con objetivo 60 [22]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cambia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2026-03-02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 de referencia</w:t>
            </w:r>
          </w:p>
        </w:tc>
        <w:tc>
          <w:tcPr>
            <w:tcW w:type="dxa" w:w="39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fondo fundador (12 %) anuncia que estudia reducir su participación [23]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retrasa</w:t>
            </w:r>
          </w:p>
        </w:tc>
        <w:tc>
          <w:tcPr>
            <w:tcW w:type="dxa" w:w="18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hasta la colocación o el desmentido</w:t>
            </w:r>
          </w:p>
        </w:tc>
      </w:tr>
    </w:tbl>
    <w:p>
      <w:pPr>
        <w:spacing w:after="160" w:before="0"/>
      </w:pPr>
    </w:p>
    <w:p>
      <w:pPr>
        <w:spacing w:after="100"/>
      </w:pPr>
      <w:r>
        <w:t xml:space="preserve">La acción sube con el sector y está a un 3,5 % de máximos, sin exceso (volatilidad normal). La única noticia que pesa es la posible venta del fondo fundador: una colocación de un 10-12 % del capital suele salir con descuento y marca el momento de entrar. Se espera a ese hecho; el precio límite no cambia. Buscado en notas de prensa, CNMV, registro de directivos y prensa financiera hasta el 13-mar-2026.</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 la reinversión bruta (capex + circulante): crecimiento que financia al ROIC actual</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 (reinvierte el 57 %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Rendimiento que la proyección supone para la reinversión bruta</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 (histórico: 19,3 %)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histórico de ingresos (TCAC)</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frente al 4,9 % proyectado</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Veredicto de las pruebas del motor</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Sí</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2"/>
      </w:pPr>
      <w:r>
        <w:t xml:space="preserve">Riesgo de inteligencia artificial</w:t>
      </w:r>
    </w:p>
    <w:p>
      <w:pPr>
        <w:spacing w:after="100"/>
      </w:pPr>
      <w:r>
        <w:rPr>
          <w:b/>
          <w:bCs/>
        </w:rPr>
        <w:t xml:space="preserve">Exposición:</w:t>
      </w:r>
      <w:r>
        <w:t xml:space="preserve"> Media · </w:t>
      </w:r>
      <w:r>
        <w:rPr>
          <w:b/>
          <w:bCs/>
        </w:rPr>
        <w:t xml:space="preserve">Sentido:</w:t>
      </w:r>
      <w:r>
        <w:t xml:space="preserve"> Mixto · </w:t>
      </w:r>
      <w:r>
        <w:rPr>
          <w:b/>
          <w:bCs/>
        </w:rPr>
        <w:t xml:space="preserve">Efecto en valor (3-5 años):</w:t>
      </w:r>
      <w:r>
        <w:t xml:space="preserve"> −3 %</w:t>
      </w:r>
    </w:p>
    <w:p>
      <w:pPr>
        <w:spacing w:after="100"/>
      </w:pPr>
      <w:r>
        <w:t xml:space="preserve">La IA no sustituye el producto: un transformador o un cable no se fabrican con software. Toca los costes y el servicio: la planificación de producción y el mantenimiento predictivo que vende a las eléctricas pueden abaratar un 2-3 % el coste de ventas en cinco años, y los competidores asiáticos acortarán los plazos de diseño con las mismas herramientas, lo que erosiona parte de la prima de homologación. A favor, la empresa tiene datos de operación de 40.000 transformadores instalados que un recién llegado no tiene, y ya usa modelos de predicción de averías en el 30 % de la base instalada [6]. La señal que avisaría: concursos que exijan diseño asistido con plazos un 20 % más cortos y que la empresa no gane.</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Veredicto de sostenibilidad del analista coherente con las pruebas del motor</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analista dice «Sí» y las pruebas del motor dan «Sí»: razónalo en la justificación.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15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2026-10-15T11:43:41.470Z</dcterms:created>
  <dcterms:modified xsi:type="dcterms:W3CDTF">2026-10-15T11:43:41.470Z</dcterms:modified>
</cp:coreProperties>
</file>

<file path=docProps/custom.xml><?xml version="1.0" encoding="utf-8"?>
<Properties xmlns="http://schemas.openxmlformats.org/officeDocument/2006/custom-properties" xmlns:vt="http://schemas.openxmlformats.org/officeDocument/2006/docPropsVTypes"/>
</file>