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{{calc.recomendacion.objetivo_12m_txt}}</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{{calc.recomendacion.rentabilidad_12m_txt}}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{{calc.sintesis.valor_objetivo|2}} {{meta.divisa}}{{calc.recomendacion.valor_objetivo_txt|opc}}{{calc.recomendacion.objetivo_mercado_corto|opc}}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Objetivo a 12 meses </w:t>
      </w:r>
      <w:r>
        <w:rPr>
          <w:b/>
          <w:bCs/>
        </w:rPr>
        <w:t xml:space="preserve">{{calc.recomendacion.objetivo_12m_txt}}</w:t>
      </w:r>
      <w:r>
        <w:t xml:space="preserve"> frente a {{identificacion.precio|2}}{{calc.recomendacion.precio_txt|opc}} · Rentabilidad a 12 meses </w:t>
      </w:r>
      <w:r>
        <w:rPr>
          <w:b/>
          <w:bCs/>
        </w:rPr>
        <w:t xml:space="preserve">{{calc.recomendacion.rentabilidad_12m_txt}}</w:t>
      </w:r>
      <w:r>
        <w:t xml:space="preserve"> · Valor intrínseco {{calc.sintesis.valor_objetivo|2}} {{meta.divisa}}{{calc.recomendacion.valor_objetivo_txt|opc}}{{calc.recomendacion.objetivo_mercado_txt|opc}}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Objetivo a 12 meses: </w:t>
      </w:r>
      <w:r>
        <w:rPr>
          <w:b/>
          <w:bCs/>
        </w:rPr>
        <w:t xml:space="preserve">{{calc.recomendacion.objetivo_12m_txt}}</w:t>
      </w:r>
      <w:r>
        <w:t xml:space="preserve"> (rentabilidad {{calc.recomendacion.rentabilidad_12m_txt}}) · Valor intrínseco: {{calc.sintesis.valor_objetivo|2}} {{meta.divisa}}{{calc.recomendacion.valor_objetivo_txt|opc}} ({{calc.sintesis.potencial_pct|+pct}} sobre {{identificacion.precio|2}}){{calc.recomendacion.objetivo_mercado_txt|opc}}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5"/>
        <w:gridCol w:w="985"/>
        <w:gridCol w:w="985"/>
        <w:gridCol w:w="985"/>
        <w:gridCol w:w="1095"/>
        <w:gridCol w:w="1095"/>
        <w:gridCol w:w="1095"/>
        <w:gridCol w:w="1204"/>
        <w:gridCol w:w="1209"/>
      </w:tblGrid>
      <w:tr>
        <w:trPr>
          <w:cantSplit/>
          <w:tblHeader/>
        </w:trPr>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c>
          <w:tcPr>
            <w:tcW w:type="dxa" w:w="12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 sin f. de comercio</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{{calc.rentabilidad[].roic_sin_fc_pct|pct}}</w:t>
            </w:r>
          </w:p>
        </w:tc>
      </w:tr>
    </w:tbl>
    <w:p>
      <w:pPr>
        <w:spacing w:after="160" w:before="0"/>
      </w:pPr>
    </w:p>
    <w:p>
      <w:pPr>
        <w:keepNext w:val="false"/>
        <w:spacing w:after="160" w:before="120"/>
        <w:jc w:val="center"/>
      </w:pPr>
      <w:r>
        <w:t xml:space="preserve">{{grafico:roic}}</w:t>
      </w:r>
    </w:p>
    <w:p>
      <w:pPr>
        <w:spacing w:after="0" w:before="0"/>
      </w:pPr>
      <w:r>
        <w:rPr>
          <w:color w:val="8A8984"/>
          <w:sz w:val="2"/>
          <w:szCs w:val="2"/>
        </w:rPr>
        <w:t xml:space="preserve">{{si:calc.compras}}</w:t>
      </w:r>
    </w:p>
    <w:p>
      <w:pPr>
        <w:pStyle w:val="Heading2"/>
      </w:pPr>
      <w:r>
        <w:t xml:space="preserve">Fondo de comercio y compras</w:t>
      </w:r>
    </w:p>
    <w:p>
      <w:pPr>
        <w:spacing w:after="100"/>
      </w:pPr>
      <w:r>
        <w:t xml:space="preserve">{{texto:calc.compras.texto}}</w:t>
      </w:r>
    </w:p>
    <w:p>
      <w:pPr>
        <w:spacing w:after="0" w:before="0"/>
      </w:pPr>
      <w:r>
        <w:rPr>
          <w:color w:val="8A8984"/>
          <w:sz w:val="2"/>
          <w:szCs w:val="2"/>
        </w:rPr>
        <w:t xml:space="preserve">{{fin:calc.compras}}</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{{si:bolsa.contexto}}</w:t>
      </w:r>
    </w:p>
    <w:p>
      <w:pPr>
        <w:pStyle w:val="Heading2"/>
      </w:pPr>
      <w:r>
        <w:t xml:space="preserve">Precio y noticias antes de decidir (regla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{{?bolsa.contexto.movimiento.var_1m_pct,bolsa.contexto.movimiento.var_3m_pct,bolsa.contexto.movimiento.var_6m_pct,bolsa.contexto.movimiento.var_12m_pct}}Variación 1 / 3 / 6 / 12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{{bolsa.contexto.movimiento.var_1m_pct|+pct}} / {{bolsa.contexto.movimiento.var_3m_pct|+pct}} / {{bolsa.contexto.movimiento.var_6m_pct|+pct}} / {{bolsa.contexto.movimiento.var_12m_pct|+pct}}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{{?bolsa.contexto.movimiento.dist_max_52s_pct,bolsa.contexto.movimiento.dist_min_52s_pct}}Frente al máximo y al mínimo de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{{bolsa.contexto.movimiento.dist_max_52s_pct|+pct}} / {{bolsa.contexto.movimiento.dist_min_52s_pct|+pct}}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{{?bolsa.contexto.movimiento.dist_max_historico_pct}}Frente al máximo de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{{bolsa.contexto.movimiento.dist_max_historico_pct|+pct}}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{{?bolsa.contexto.movimiento.tendencia}}Tendencia (medias de 50 y 200 sesiones)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{{bolsa.contexto.movimiento.tendencia}}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{{?bolsa.contexto.movimiento.volatilidad_60d_pct}}Volatilidad (60 sesiones)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{{bolsa.contexto.movimiento.volatilidad_60d_pct|pct}}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{{?bolsa.contexto.proximos_resultados}}Próximos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{{bolsa.contexto.proximos_resultados}}</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{{?bolsa.contexto.veredicto}}Veredicto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{{bolsa.contexto.veredicto}}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{{?bolsa.contexto.condicion}}Condición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{{bolsa.contexto.condicion}}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0"/>
        <w:gridCol w:w="1098"/>
        <w:gridCol w:w="4147"/>
        <w:gridCol w:w="1220"/>
        <w:gridCol w:w="1953"/>
      </w:tblGrid>
      <w:tr>
        <w:trPr>
          <w:cantSplit/>
          <w:tblHeader/>
        </w:trPr>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4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Causa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Veredicto</w:t>
            </w:r>
          </w:p>
        </w:tc>
        <w:tc>
          <w:tcPr>
            <w:tcW w:type="dxa" w:w="1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Condición</w:t>
            </w:r>
          </w:p>
        </w:tc>
      </w:tr>
      <w:tr>
        <w:trPr>
          <w:cantSplit/>
        </w:trPr>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{{bolsa.contexto.movimientos_fuertes[].periodo}}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{{bolsa.contexto.movimientos_fuertes[].var_pct|+pct}}</w:t>
            </w:r>
          </w:p>
        </w:tc>
        <w:tc>
          <w:tcPr>
            <w:tcW w:type="dxa" w:w="4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{{bolsa.contexto.movimientos_fuertes[].causa}}</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{{bolsa.contexto.movimientos_fuertes[].veredicto}}</w:t>
            </w:r>
          </w:p>
        </w:tc>
        <w:tc>
          <w:tcPr>
            <w:tcW w:type="dxa" w:w="1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{{bolsa.contexto.movimientos_fuertes[].condicion}}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585"/>
        <w:gridCol w:w="3904"/>
        <w:gridCol w:w="1220"/>
        <w:gridCol w:w="1831"/>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9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Hecho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Veredicto</w:t>
            </w:r>
          </w:p>
        </w:tc>
        <w:tc>
          <w:tcPr>
            <w:tcW w:type="dxa" w:w="18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Condición</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{{bolsa.contexto.noticias[].fecha}}</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{{bolsa.contexto.noticias[].tipo}}</w:t>
            </w:r>
          </w:p>
        </w:tc>
        <w:tc>
          <w:tcPr>
            <w:tcW w:type="dxa" w:w="39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{{bolsa.contexto.noticias[].hecho}}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{{bolsa.contexto.noticias[].veredicto}}</w:t>
            </w:r>
          </w:p>
        </w:tc>
        <w:tc>
          <w:tcPr>
            <w:tcW w:type="dxa" w:w="18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{{bolsa.contexto.noticias[].condicion}}</w:t>
            </w:r>
          </w:p>
        </w:tc>
      </w:tr>
    </w:tbl>
    <w:p>
      <w:pPr>
        <w:spacing w:after="160" w:before="0"/>
      </w:pPr>
    </w:p>
    <w:p>
      <w:pPr>
        <w:spacing w:after="100"/>
      </w:pPr>
      <w:r>
        <w:t xml:space="preserve">{{texto:bolsa.contexto.comentario}}</w:t>
      </w:r>
    </w:p>
    <w:p>
      <w:pPr>
        <w:spacing w:after="0" w:before="0"/>
      </w:pPr>
      <w:r>
        <w:rPr>
          <w:color w:val="8A8984"/>
          <w:sz w:val="2"/>
          <w:szCs w:val="2"/>
        </w:rPr>
        <w:t xml:space="preserve">{{fin:bolsa.contexto}}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{{si:calc.dcf.sostenibilidad,dcf.sostenibilidad}}</w:t>
      </w:r>
    </w:p>
    <w:p>
      <w:pPr>
        <w:pStyle w:val="Heading2"/>
      </w:pPr>
      <w:r>
        <w:t xml:space="preserve">¿Puede la empresa sostener el crecimiento previsto?</w:t>
      </w:r>
    </w:p>
    <w:p>
      <w:pPr>
        <w:spacing w:after="100"/>
      </w:pPr>
      <w:r>
        <w:rPr>
          <w:b/>
          <w:bCs/>
        </w:rPr>
        <w:t xml:space="preserve">Veredicto: {{dcf.sostenibilidad.veredicto}}.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{{calc.dcf.sostenibilidad.tabla[].concepto}}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{{calc.dcf.sostenibilidad.tabla[].valor}}</w:t>
            </w:r>
          </w:p>
        </w:tc>
      </w:tr>
    </w:tbl>
    <w:p>
      <w:pPr>
        <w:spacing w:after="160" w:before="0"/>
      </w:pPr>
    </w:p>
    <w:p>
      <w:pPr>
        <w:spacing w:after="100"/>
      </w:pPr>
      <w:r>
        <w:t xml:space="preserve">{{texto:calc.dcf.sostenibilidad.texto}}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{{calc.dcf.sostenibilidad.puente[].periodo}}</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{{calc.dcf.sostenibilidad.puente[].volumen_pct|+pct}}</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{{calc.dcf.sostenibilidad.puente[].precio_pct|+pct}}</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{{calc.dcf.sostenibilidad.puente[].otros_pct|+pct}}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{{calc.dcf.sostenibilidad.puente[].crecimiento_pct|+pct}}</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{{calc.dcf.sostenibilidad.puente[].comentario}}</w:t>
            </w:r>
          </w:p>
        </w:tc>
      </w:tr>
    </w:tbl>
    <w:p>
      <w:pPr>
        <w:spacing w:after="160" w:before="0"/>
      </w:pPr>
    </w:p>
    <w:p>
      <w:pPr>
        <w:spacing w:after="100"/>
      </w:pPr>
      <w:r>
        <w:t xml:space="preserve">{{texto:dcf.sostenibilidad.justificacion}}</w:t>
      </w:r>
    </w:p>
    <w:p>
      <w:pPr>
        <w:spacing w:after="0" w:before="0"/>
      </w:pPr>
      <w:r>
        <w:rPr>
          <w:color w:val="8A8984"/>
          <w:sz w:val="2"/>
          <w:szCs w:val="2"/>
        </w:rPr>
        <w:t xml:space="preserve">{{fin:calc.dcf.sostenibilidad,dcf.sostenibilidad}}</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intrínseco ponderado (largo plazo):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{{si:calc.recomendacion.objetivo_12m.filas}}</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{{calc.recomendacion.objetivo_12m.filas[].escenario}}</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{{calc.recomendacion.objetivo_12m.filas[].beneficio_por_accion|2}}</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{{calc.recomendacion.objetivo_12m.filas[].multiplo|x}}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{{calc.recomendacion.objetivo_12m.filas[].origen}}</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{{calc.recomendacion.objetivo_12m.filas[].precio|2}}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{{calc.recomendacion.objetivo_12m.filas[].rentabilidad_pct|+pct}}</w:t>
            </w:r>
          </w:p>
        </w:tc>
      </w:tr>
    </w:tbl>
    <w:p>
      <w:pPr>
        <w:spacing w:after="160" w:before="0"/>
      </w:pPr>
    </w:p>
    <w:p>
      <w:pPr>
        <w:spacing w:after="100"/>
      </w:pPr>
      <w:r>
        <w:rPr>
          <w:b/>
          <w:bCs/>
        </w:rPr>
        <w:t xml:space="preserve">Objetivo a 12 meses (ponderado):</w:t>
      </w:r>
      <w:r>
        <w:t xml:space="preserve"> {{calc.recomendacion.objetivo_12m_txt}} · rentabilidad {{calc.recomendacion.rentabilidad_12m_txt}} · señal {{calc.recomendacion.objetivo_12m.senal}}.</w:t>
      </w:r>
    </w:p>
    <w:p>
      <w:pPr>
        <w:spacing w:after="100"/>
      </w:pPr>
      <w:r>
        <w:t xml:space="preserve">{{calc.recomendacion.objetivo_12m.comparacion_txt|opc}}</w:t>
      </w:r>
    </w:p>
    <w:p>
      <w:pPr>
        <w:spacing w:after="0" w:before="0"/>
      </w:pPr>
      <w:r>
        <w:rPr>
          <w:color w:val="8A8984"/>
          <w:sz w:val="2"/>
          <w:szCs w:val="2"/>
        </w:rPr>
        <w:t xml:space="preserve">{{si:valoracion.objetivo_12m.diferencia_consenso}}</w:t>
      </w:r>
    </w:p>
    <w:p>
      <w:pPr>
        <w:keepNext/>
        <w:spacing w:after="100"/>
      </w:pPr>
      <w:r>
        <w:rPr>
          <w:b/>
          <w:bCs/>
        </w:rPr>
        <w:t xml:space="preserve">Frente al consenso (solo contraste).</w:t>
      </w:r>
    </w:p>
    <w:p>
      <w:pPr>
        <w:spacing w:after="100"/>
      </w:pPr>
      <w:r>
        <w:t xml:space="preserve">{{texto:valoracion.objetivo_12m.diferencia_consenso}}</w:t>
      </w:r>
    </w:p>
    <w:p>
      <w:pPr>
        <w:spacing w:after="0" w:before="0"/>
      </w:pPr>
      <w:r>
        <w:rPr>
          <w:color w:val="8A8984"/>
          <w:sz w:val="2"/>
          <w:szCs w:val="2"/>
        </w:rPr>
        <w:t xml:space="preserve">{{fin:valoracion.objetivo_12m.diferencia_consenso}}</w:t>
      </w:r>
    </w:p>
    <w:p>
      <w:pPr>
        <w:spacing w:after="0" w:before="0"/>
      </w:pPr>
      <w:r>
        <w:rPr>
          <w:color w:val="8A8984"/>
          <w:sz w:val="2"/>
          <w:szCs w:val="2"/>
        </w:rPr>
        <w:t xml:space="preserve">{{si:valoracion.objetivo_12m.comentario}}</w:t>
      </w:r>
    </w:p>
    <w:p>
      <w:pPr>
        <w:keepNext/>
        <w:spacing w:after="100"/>
      </w:pPr>
      <w:r>
        <w:rPr>
          <w:b/>
          <w:bCs/>
        </w:rPr>
        <w:t xml:space="preserve">Del valor intrínseco al objetivo a 12 meses.</w:t>
      </w:r>
    </w:p>
    <w:p>
      <w:pPr>
        <w:spacing w:after="100"/>
      </w:pPr>
      <w:r>
        <w:t xml:space="preserve">{{texto:valoracion.objetivo_12m.comentario}}</w:t>
      </w:r>
    </w:p>
    <w:p>
      <w:pPr>
        <w:spacing w:after="0" w:before="0"/>
      </w:pPr>
      <w:r>
        <w:rPr>
          <w:color w:val="8A8984"/>
          <w:sz w:val="2"/>
          <w:szCs w:val="2"/>
        </w:rPr>
        <w:t xml:space="preserve">{{fin:valoracion.objetivo_12m.comentario}}</w:t>
      </w:r>
    </w:p>
    <w:p>
      <w:pPr>
        <w:spacing w:after="0" w:before="0"/>
      </w:pPr>
      <w:r>
        <w:rPr>
          <w:color w:val="8A8984"/>
          <w:sz w:val="2"/>
          <w:szCs w:val="2"/>
        </w:rPr>
        <w:t xml:space="preserve">{{fin:calc.recomendacion.objetivo_12m.filas}}</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{{si:riesgos.ia}}</w:t>
      </w:r>
    </w:p>
    <w:p>
      <w:pPr>
        <w:pStyle w:val="Heading2"/>
      </w:pPr>
      <w:r>
        <w:t xml:space="preserve">Riesgo de inteligencia artificial</w:t>
      </w:r>
    </w:p>
    <w:p>
      <w:pPr>
        <w:spacing w:after="100"/>
      </w:pPr>
      <w:r>
        <w:rPr>
          <w:b/>
          <w:bCs/>
        </w:rPr>
        <w:t xml:space="preserve">Exposición:</w:t>
      </w:r>
      <w:r>
        <w:t xml:space="preserve"> {{riesgos.ia.exposicion}} · </w:t>
      </w:r>
      <w:r>
        <w:rPr>
          <w:b/>
          <w:bCs/>
        </w:rPr>
        <w:t xml:space="preserve">Sentido:</w:t>
      </w:r>
      <w:r>
        <w:t xml:space="preserve"> {{riesgos.ia.sentido}} · </w:t>
      </w:r>
      <w:r>
        <w:rPr>
          <w:b/>
          <w:bCs/>
        </w:rPr>
        <w:t xml:space="preserve">Efecto en valor (3-5 años):</w:t>
      </w:r>
      <w:r>
        <w:t xml:space="preserve"> {{riesgos.ia.efecto_valor}}</w:t>
      </w:r>
    </w:p>
    <w:p>
      <w:pPr>
        <w:spacing w:after="100"/>
      </w:pPr>
      <w:r>
        <w:t xml:space="preserve">{{texto:riesgos.ia.comentario}}</w:t>
      </w:r>
    </w:p>
    <w:p>
      <w:pPr>
        <w:spacing w:after="0" w:before="0"/>
      </w:pPr>
      <w:r>
        <w:rPr>
          <w:color w:val="8A8984"/>
          <w:sz w:val="2"/>
          <w:szCs w:val="2"/>
        </w:rPr>
        <w:t xml:space="preserve">{{fin:riesgos.ia}}</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pPr>
        <w:spacing w:after="0" w:before="0"/>
      </w:pPr>
      <w:r>
        <w:rPr>
          <w:color w:val="8A8984"/>
          <w:sz w:val="2"/>
          <w:szCs w:val="2"/>
        </w:rPr>
        <w:t xml:space="preserve">{{si:sentimiento|28. Sentimiento en foros y comentarios|Complemento}}</w:t>
      </w:r>
    </w:p>
    <w:p>
      <w:pPr>
        <w:pStyle w:val="Heading1"/>
      </w:pPr>
      <w:r>
        <w:t xml:space="preserve">28. Sentimiento en foros y comentarios</w:t>
      </w:r>
    </w:p>
    <w:p>
      <w:pPr>
        <w:pStyle w:val="Confianza"/>
        <w:spacing w:after="100"/>
      </w:pPr>
      <w:r>
        <w:t xml:space="preserve">Confianza: {{sentimiento.confianza}}</w:t>
      </w:r>
    </w:p>
    <w:p>
      <w:pPr>
        <w:spacing w:after="100"/>
      </w:pPr>
      <w:r>
        <w:rPr>
          <w:b/>
          <w:bCs/>
        </w:rPr>
        <w:t xml:space="preserve">Tono:</w:t>
      </w:r>
      <w:r>
        <w:t xml:space="preserve"> {{sentimiento.tono}} · </w:t>
      </w:r>
      <w:r>
        <w:rPr>
          <w:b/>
          <w:bCs/>
        </w:rPr>
        <w:t xml:space="preserve">Tendencia:</w:t>
      </w:r>
      <w:r>
        <w:t xml:space="preserve"> {{sentimiento.tendencia}}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{{sentimiento.revisadas[].plataforma}}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{{sentimiento.revisadas[].fecha}}</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{{sentimiento.revisadas[].n_comentarios|0}}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{{sentimiento.revisadas[].tono}}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{{sentimiento.revisadas[].resumen}}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{{sentimiento.temas[].tema}}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{{sentimiento.temas[].postura}}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{{sentimiento.temas[].peso}}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{{sentimiento.temas[].contraste}}</w:t>
            </w:r>
          </w:p>
        </w:tc>
      </w:tr>
    </w:tbl>
    <w:p>
      <w:pPr>
        <w:spacing w:after="160" w:before="0"/>
      </w:pPr>
    </w:p>
    <w:p>
      <w:pPr>
        <w:spacing w:after="100"/>
      </w:pPr>
      <w:r>
        <w:t xml:space="preserve">{{texto:sentimiento.lectura}}</w:t>
      </w:r>
    </w:p>
    <w:p>
      <w:pPr>
        <w:pStyle w:val="Nota"/>
        <w:spacing w:after="100"/>
      </w:pPr>
      <w:r>
        <w:t xml:space="preserve">Opiniones de inversores en foros, redes y comentarios de prensa: sirven para saber qué preocupa o entusiasma al mercado, no como fuente de cifras. No entran en la valoración.</w:t>
      </w:r>
    </w:p>
    <w:p>
      <w:pPr>
        <w:spacing w:after="0" w:before="0"/>
      </w:pPr>
      <w:r>
        <w:rPr>
          <w:color w:val="8A8984"/>
          <w:sz w:val="2"/>
          <w:szCs w:val="2"/>
        </w:rPr>
        <w:t xml:space="preserve">{{fin:sentimiento}}</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2026-10-15T11:43:41.470Z</dcterms:created>
  <dcterms:modified xsi:type="dcterms:W3CDTF">2026-10-15T11:43:41.470Z</dcterms:modified>
</cp:coreProperties>
</file>

<file path=docProps/custom.xml><?xml version="1.0" encoding="utf-8"?>
<Properties xmlns="http://schemas.openxmlformats.org/officeDocument/2006/custom-properties" xmlns:vt="http://schemas.openxmlformats.org/officeDocument/2006/docPropsVTypes"/>
</file>