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Bureau Veritas SA</w:t>
      </w:r>
    </w:p>
    <w:p>
      <w:pPr>
        <w:spacing w:after="60"/>
        <w:rPr>
          <w:color w:val="52514E"/>
          <w:sz w:val="22"/>
          <w:szCs w:val="22"/>
        </w:rPr>
      </w:pPr>
      <w:r>
        <w:rPr>
          <w:color w:val="52514E"/>
          <w:sz w:val="22"/>
          <w:szCs w:val="22"/>
        </w:rPr>
        <w:t xml:space="preserve">BVI · Euronext París · ISIN FR0006174348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29,21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31,85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+12,2 % (base +13,6 %)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29,72 EUR · mercado 36,17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12.996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Bureau Veritas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BVI / FR0006174348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 (^FCHI); sectorial: STOXX Europe 600 Industrial Goods &amp; Services (EXH4)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 (ensayos, inspección y certificación)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Courbevoie (Francia), Tour Alto · 1828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group.bureauveritas.com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29,21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24,58 – 30,18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12.996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15.198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31,85 EUR</w:t>
      </w:r>
      <w:r>
        <w:t xml:space="preserve"> frente a 29,21 · Rentabilidad a 12 meses </w:t>
      </w:r>
      <w:r>
        <w:rPr>
          <w:b/>
          <w:bCs/>
        </w:rPr>
        <w:t xml:space="preserve">+12,2 % (base +13,6 %)</w:t>
      </w:r>
      <w:r>
        <w:t xml:space="preserve"> · Valor intrínseco 29,72 EUR · con la prima implícita del mercado: 36,17 (+23,8 %) · Alcista / bajista +14,7 % / -24,9 %</w:t>
      </w:r>
    </w:p>
    <w:p>
      <w:pPr>
        <w:spacing w:after="100"/>
      </w:pPr>
      <w:r>
        <w:rPr>
          <w:b/>
        </w:rPr>
        <w:t xml:space="preserve">La recomendación y por qué.</w:t>
      </w:r>
      <w:r>
        <w:t xml:space="preserve"> Mantener, con convicción baja. Al cierre del 23-oct (29,21 EUR), el objetivo a 12 meses ponderado es de 31,85 EUR (+12,2 % con el dividendo; base 32,26, +13,6 %) y el valor intrínseco, de 29,18 EUR por DCF (29,72 de síntesis, +1,7 %); el objetivo medio de los analistas es de 33,24 EUR [34]. A 12 meses la asimetría es de 1,73 (−17,8 % en el bajista, +39,3 % en el alcista), pero la ponderada queda 2,8 puntos por debajo del umbral de compra y el valor intrínseco no supera el precio. La convicción es baja porque la cifra que decide está a menos de 3 puntos de su umbral y las reglas del valor intrínseco discrepan (con nuestro WACC, Mantener; con la prima del mercado, Comprar); subiría con un margen ajustado de 2026 del 16,6 % o más el 25-feb-2027.</w:t>
      </w:r>
    </w:p>
    <w:p>
      <w:pPr>
        <w:spacing w:after="100"/>
      </w:pPr>
      <w:r>
        <w:rPr>
          <w:b/>
        </w:rPr>
        <w:t xml:space="preserve">Qué ha cambiado desde el informe del 14-oct.</w:t>
      </w:r>
      <w:r>
        <w:t xml:space="preserve"> (1) Ingresos del 3T26 (21-oct): 1.569,7 M, +6,2 % orgánico y +10,1 % total, un 1 % sobre el consenso, todas las divisiones en positivo y guía confirmada [5, 32]; la acción subió un 3,6 %. (2) El consenso ya está en el nuevo perímetro (NIIF 5): BPA ajustado de 1,39/1,59/1,72 EUR en 2026-2028; nuestro base queda un 2-3 % por debajo, sin compras [33]. (3) Corregimos la base del PER: el informe anterior comparaba historia contable con escenarios ajustados y tenía tres años; ahora todo es BPA ajustado, con siete años (mediana de cinco años 19,6x frente a 18,8x hoy). Con el precio un 4,9 % más alto, la ponderada pasa del 12,4 % al 12,2 % y el base del 8,2 % al 13,6 %: sigue en Mantener. El valor intrínseco baja de 33,71 a 29,18 EUR: el DCF parte del perímetro sin Petróleo, Carbón ni Gobiernos (el cobro de 470 M va al puente), resta la reestructuración que el ajustado excluye y sube el margen 20 pb al año, no 30.</w:t>
      </w:r>
    </w:p>
    <w:p>
      <w:pPr>
        <w:spacing w:after="100"/>
      </w:pPr>
      <w:r>
        <w:rPr>
          <w:b/>
        </w:rPr>
        <w:t xml:space="preserve">El negocio.</w:t>
      </w:r>
      <w:r>
        <w:t xml:space="preserve"> Uno de los tres grandes del TIC mundial, con un 4,3 % del mercado subcontratado [1], un ROIC del 18,6 % frente a un WACC del 7,93 % y una conversión de caja del 112 % [1]; su margen EBITDA (19,6 %) es 3 puntos menor que el de SGS o Intertek. La sostenibilidad es «Sí»: precio positivo cada año, orgánico del 6-10 % en 2022-2025, una proyección que casi no necesita capital y una cuota que apenas sube (4,4 % en 2033e).</w:t>
      </w:r>
    </w:p>
    <w:p>
      <w:pPr>
        <w:spacing w:after="100"/>
      </w:pPr>
      <w:r>
        <w:rPr>
          <w:b/>
        </w:rPr>
        <w:t xml:space="preserve">Valoración.</w:t>
      </w:r>
      <w:r>
        <w:t xml:space="preserve"> DCF 29,18, EV/EBITDA de los próximos 12 meses 29,30 y PER de comparables 34,26 de mediana. El DCF inverso descuenta exactamente nuestro base (crecimiento del 5,2 % y margen del 20,6 %), con una rentabilidad implícita del 7,9 %, igual al WACC: el precio paga el plan sin compras. A 18,8x PER de los próximos 12 meses cotiza 4-6 puntos por debajo de SGS, Intertek y Eurofins, por el margen menor, el sesgo francés y Wendel [32].</w:t>
      </w:r>
    </w:p>
    <w:p>
      <w:pPr>
        <w:spacing w:after="100"/>
      </w:pPr>
      <w:r>
        <w:rPr>
          <w:b/>
        </w:rPr>
        <w:t xml:space="preserve">Riesgos y catalizadores.</w:t>
      </w:r>
      <w:r>
        <w:t xml:space="preserve"> El más probable, una nueva colocación de Wendel (−3 a −5 % temporal); el de mayor impacto, que la automatización abarate la inspección rutinaria (bajista del DCF 21,94 EUR, −24,9 %). Catalizadores: resultados de 2026 y guía de 2027 el 25-feb-2027 y cierre de la venta de Petróleo y Carbón a final del 1T27 [3]. Regla 13: no cambia.</w:t>
      </w:r>
    </w:p>
    <w:p>
      <w:pPr>
        <w:spacing w:after="100"/>
      </w:pPr>
      <w:r>
        <w:rPr>
          <w:b/>
        </w:rPr>
        <w:t xml:space="preserve">Qué cambiaría la decisión.</w:t>
      </w:r>
      <w:r>
        <w:t xml:space="preserve"> Por debajo de 28,50 EUR la regla a 12 meses da Comprar si el valor intrínseco queda por encima del precio; por encima de 36,41 EUR, Vender. Subiríamos a Comprar con un orgánico del 4T26 por encima del 6 % y un margen ajustado de 2026 del 16,6 % o más; pasaríamos a Vender si el orgánico baja del 4 % o si las compras se pagan por encima de 15 veces el EBITA sin mejora del ROIC.</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31,85 EUR</w:t>
      </w:r>
      <w:r>
        <w:t xml:space="preserve"> (rentabilidad +12,2 % (base +13,6 %)) · Valor intrínseco: 29,72 EUR (+1,7 % sobre 29,21) · con la prima implícita del mercado: 36,17 (+23,8 %)</w:t>
      </w:r>
    </w:p>
    <w:p>
      <w:pPr>
        <w:spacing w:after="100"/>
      </w:pPr>
      <w:r>
        <w:t xml:space="preserve">Bureau Veritas vende confianza: inspección, ensayos y certificación con acreditaciones en unos 140 países, una marca de casi dos siglos y 82.000 empleados. Tras rotar un 20 % de la cartera (sale Petróleo y Carbón, entra LotusWorks en centros de datos), factura ≈6.200 M EUR con un margen ajustado del 16,6 %, convierte en caja más del 100 % del beneficio y tiene un ROIC del 18,6 % [1, 5].</w:t>
      </w:r>
    </w:p>
    <w:p>
      <w:pPr>
        <w:spacing w:after="100"/>
      </w:pPr>
      <w:r>
        <w:t xml:space="preserve">El precio descuenta un crecimiento del 5,2 % anual y una rentabilidad del 7,9 %, igual al WACC del 7,93 %, y paga 18,8 veces el beneficio de los próximos 12 meses, 4-6 puntos menos que SGS, Intertek o Eurofins [D]. En PER adelantado está algo por debajo de su mediana de cinco años (18,8x frente a 19,6x).</w:t>
      </w:r>
    </w:p>
    <w:p>
      <w:pPr>
        <w:spacing w:after="100"/>
      </w:pPr>
      <w:r>
        <w:t xml:space="preserve">El mercado acierta en que el margen es menor que el de sus rivales y en que Wendel seguirá vendiendo; probablemente exagera el descuento frente a los rivales si el orgánico se mantiene en el 6 % y el margen sigue subiendo como pide la guía. Para invertir hay que creer que la rotación sostiene el crecimiento sin compras caras; hoy el precio deja poco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1,51 = 23,10 · 19,2x × 1,68 = 32,26 · 22,1x × 1,80 = 39,78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 / 13,6 %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33,24 (nuestro base -2,9 %)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 / -24,9 %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frente a 7,9 %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 frente a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28,50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28,50 y 36,41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36,41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28,50 EUR: la regla a 12 meses da Comprar (con el valor intrínseco por encima del precio).</w:t>
      </w:r>
    </w:p>
    <w:p>
      <w:pPr>
        <w:pStyle w:val="ListParagraph"/>
        <w:numPr>
          <w:ilvl w:val="0"/>
          <w:numId w:val="2"/>
        </w:numPr>
        <w:spacing w:after="60"/>
      </w:pPr>
      <w:r>
        <w:t xml:space="preserve">Precio por encima de 36,41 EUR: Vender.</w:t>
      </w:r>
    </w:p>
    <w:p>
      <w:pPr>
        <w:pStyle w:val="ListParagraph"/>
        <w:numPr>
          <w:ilvl w:val="0"/>
          <w:numId w:val="2"/>
        </w:numPr>
        <w:spacing w:after="60"/>
      </w:pPr>
      <w:r>
        <w:t xml:space="preserve">Orgánico del 4T26 por encima del 6 % y margen ajustado de 2026 ≥ 16,6 % (25-feb-2027): subiríamos el base hacia Comprar.</w:t>
      </w:r>
    </w:p>
    <w:p>
      <w:pPr>
        <w:pStyle w:val="ListParagraph"/>
        <w:numPr>
          <w:ilvl w:val="0"/>
          <w:numId w:val="2"/>
        </w:numPr>
        <w:spacing w:after="60"/>
      </w:pPr>
      <w:r>
        <w:t xml:space="preserve">Orgánico por debajo del 4 % dos trimestres seguidos o compras por encima de 15x EBITA sin mejora del ROIC: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5,2 % anual en 2027e-2033e y un margen EBITDA del 20,6 %, con una rentabilidad implícita del 7,9 %. Es decir, el mercado paga el negocio actual sin el «dos dígitos» del día del inversor y aplica un descuento frente a los rivales por el sesgo francés y el overhang de Wendel.</w:t>
      </w:r>
    </w:p>
    <w:p>
      <w:pPr>
        <w:keepNext/>
        <w:spacing w:after="100"/>
      </w:pPr>
      <w:r>
        <w:rPr>
          <w:b/>
          <w:bCs/>
        </w:rPr>
        <w:t xml:space="preserve">Lo que creemos nosotros.</w:t>
      </w:r>
    </w:p>
    <w:p>
      <w:pPr>
        <w:spacing w:after="100"/>
      </w:pPr>
      <w:r>
        <w:t xml:space="preserve">Nuestro base es casi el consenso: orgánico del 6 % y margen ajustado del 17,1 % en 2028e, sin compras. Da 29,18 EUR por DCF y 32,26 a 12 meses, cerca del objetivo medio de 33,24. No tenemos una visión distinta de la del mercado en el valor; solo en el múltiplo, que podría acercarse a su mediana si el overhang se despeja.</w:t>
      </w:r>
    </w:p>
    <w:p>
      <w:pPr>
        <w:keepNext/>
        <w:spacing w:after="100"/>
      </w:pPr>
      <w:r>
        <w:rPr>
          <w:b/>
          <w:bCs/>
        </w:rPr>
        <w:t xml:space="preserve">Por qué podemos tener razón.</w:t>
      </w:r>
    </w:p>
    <w:p>
      <w:pPr>
        <w:spacing w:after="100"/>
      </w:pPr>
      <w:r>
        <w:t xml:space="preserve">No hay ventaja informativa: los datos del 3T confirman la guía y coinciden con el consenso. La única distancia con el mercado es el descuento frente a SGS e Intertek, que depende de Wendel y no de las cifras: es una conclusión válida que justifica mantener, no comprar.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9,2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orgánico sostenido</w:t>
      </w:r>
      <w:r>
        <w:t xml:space="preserve">: 6,2 % en el 3T26 y 5,7 % en nueve meses, con todas las divisiones en positivo [5].</w:t>
      </w:r>
    </w:p>
    <w:p>
      <w:pPr>
        <w:pStyle w:val="ListParagraph"/>
        <w:numPr>
          <w:ilvl w:val="0"/>
          <w:numId w:val="2"/>
        </w:numPr>
        <w:spacing w:after="60"/>
      </w:pPr>
      <w:r>
        <w:rPr>
          <w:b/>
        </w:rPr>
        <w:t xml:space="preserve">Rentabilidad alta sin capital</w:t>
      </w:r>
      <w:r>
        <w:t xml:space="preserve">: ROIC del 18,6 % frente a un WACC del 7,93 % y conversión de caja del 112 % en 2025.</w:t>
      </w:r>
    </w:p>
    <w:p>
      <w:pPr>
        <w:pStyle w:val="ListParagraph"/>
        <w:numPr>
          <w:ilvl w:val="0"/>
          <w:numId w:val="2"/>
        </w:numPr>
        <w:spacing w:after="60"/>
      </w:pPr>
      <w:r>
        <w:rPr>
          <w:b/>
        </w:rPr>
        <w:t xml:space="preserve">Descuento frente a los rivales</w:t>
      </w:r>
      <w:r>
        <w:t xml:space="preserve">: 18,8x PER de los próximos 12 meses frente a 23-25x de SGS, Intertek y Eurofins [D].</w:t>
      </w:r>
    </w:p>
    <w:p>
      <w:pPr>
        <w:pStyle w:val="ListParagraph"/>
        <w:numPr>
          <w:ilvl w:val="0"/>
          <w:numId w:val="2"/>
        </w:numPr>
        <w:spacing w:after="60"/>
      </w:pPr>
      <w:r>
        <w:rPr>
          <w:b/>
        </w:rPr>
        <w:t xml:space="preserve">Cartera más limpia</w:t>
      </w:r>
      <w:r>
        <w:t xml:space="preserve">: vende Petróleo y Carbón a 11,1x EBIT y sale de Servicios a Gobiernos; entra en centros de datos [3].</w:t>
      </w:r>
    </w:p>
    <w:p>
      <w:pPr>
        <w:pStyle w:val="ListParagraph"/>
        <w:numPr>
          <w:ilvl w:val="0"/>
          <w:numId w:val="2"/>
        </w:numPr>
        <w:spacing w:after="60"/>
      </w:pPr>
      <w:r>
        <w:rPr>
          <w:b/>
        </w:rPr>
        <w:t xml:space="preserve">Precedente de control</w:t>
      </w:r>
      <w:r>
        <w:t xml:space="preserve">: EQT pagó un 62 % de prima y 13,9x EBITDA por Intertek [23].</w:t>
      </w:r>
    </w:p>
    <w:p>
      <w:pPr>
        <w:pStyle w:val="Heading2"/>
      </w:pPr>
      <w:r>
        <w:t xml:space="preserve">En contra</w:t>
      </w:r>
    </w:p>
    <w:p>
      <w:pPr>
        <w:pStyle w:val="ListParagraph"/>
        <w:numPr>
          <w:ilvl w:val="0"/>
          <w:numId w:val="2"/>
        </w:numPr>
        <w:spacing w:after="60"/>
      </w:pPr>
      <w:r>
        <w:rPr>
          <w:b/>
        </w:rPr>
        <w:t xml:space="preserve">Sin margen de seguridad</w:t>
      </w:r>
      <w:r>
        <w:t xml:space="preserve">: el DCF (29,18 EUR) está en el precio y el bajista pierde un 24,9 %.</w:t>
      </w:r>
    </w:p>
    <w:p>
      <w:pPr>
        <w:pStyle w:val="ListParagraph"/>
        <w:numPr>
          <w:ilvl w:val="0"/>
          <w:numId w:val="2"/>
        </w:numPr>
        <w:spacing w:after="60"/>
      </w:pPr>
      <w:r>
        <w:rPr>
          <w:b/>
        </w:rPr>
        <w:t xml:space="preserve">Overhang de Wendel</w:t>
      </w:r>
      <w:r>
        <w:t xml:space="preserve">: 21,4 % del capital y 30,4 M de acciones vendidas a plazo hasta 2028 [1].</w:t>
      </w:r>
    </w:p>
    <w:p>
      <w:pPr>
        <w:pStyle w:val="ListParagraph"/>
        <w:numPr>
          <w:ilvl w:val="0"/>
          <w:numId w:val="2"/>
        </w:numPr>
        <w:spacing w:after="60"/>
      </w:pPr>
      <w:r>
        <w:rPr>
          <w:b/>
        </w:rPr>
        <w:t xml:space="preserve">Margen menor que los rivales</w:t>
      </w:r>
      <w:r>
        <w:t xml:space="preserve">: EBITDA del 19,6 % frente al 22-23 % de SGS e Intertek [D].</w:t>
      </w:r>
    </w:p>
    <w:p>
      <w:pPr>
        <w:pStyle w:val="ListParagraph"/>
        <w:numPr>
          <w:ilvl w:val="0"/>
          <w:numId w:val="2"/>
        </w:numPr>
        <w:spacing w:after="60"/>
      </w:pPr>
      <w:r>
        <w:rPr>
          <w:b/>
        </w:rPr>
        <w:t xml:space="preserve">Crecimiento con compras</w:t>
      </w:r>
      <w:r>
        <w:t xml:space="preserve">: el «dos dígitos» de 2027-2028 depende de compras a 15x EBITA como LotusWorks [13].</w:t>
      </w:r>
    </w:p>
    <w:p>
      <w:pPr>
        <w:pStyle w:val="ListParagraph"/>
        <w:numPr>
          <w:ilvl w:val="0"/>
          <w:numId w:val="2"/>
        </w:numPr>
        <w:spacing w:after="60"/>
      </w:pPr>
      <w:r>
        <w:rPr>
          <w:b/>
        </w:rPr>
        <w:t xml:space="preserve">Credibilidad dañada en 2026</w:t>
      </w:r>
      <w:r>
        <w:t xml:space="preserve">: guía rebajada en abril y provisión de 32 M por desviaciones de cumplimiento [3].</w:t>
      </w:r>
    </w:p>
    <w:p>
      <w:pPr>
        <w:pStyle w:val="Heading2"/>
      </w:pPr>
      <w:r>
        <w:t xml:space="preserve">Qué tiene que pasar para que la tesis funcione</w:t>
      </w:r>
    </w:p>
    <w:p>
      <w:pPr>
        <w:spacing w:after="100"/>
      </w:pPr>
      <w:r>
        <w:t xml:space="preserve">La tesis depende de que el nuevo perímetro mantenga un orgánico cerca del 6 % y un margen ajustado que suba 30 pb al año sin compras caras. La señal de que no se cumple sería un orgánico del 4T26 por debajo del 5 %, un margen ajustado de 2026 por debajo del 16,4 % el 25-feb-2027, o compras por encima de 15 veces el EBITA. Fuera de las cifras, una colocación de Wendel daría un mejor precio de entrada.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 (nuevo perímetro)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crecimiento del DCF.</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 (1S26, nuevo perímetro)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16,4 %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 Wendel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Colocación anunciada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oferta (regla 13).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superior del rango de la empresa.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11,9x / 11,6x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25,8x / 18,8x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Bureau Veritas nació en Amberes en 1828 como registro de información marítima para clasificar buques y se trasladó a París. Durante el siglo XX pasó de la clasificación naval a la inspección de construcción, industria y bienes de consumo [1]. Wendel entró en 1995 y la sacó a bolsa en París en 2007; desde 2024 ha ido bajando su participación (colocación del 9 % en 2024, venta de 23,3 M de acciones en septiembre de 2025 y una venta a plazo de 30,4 M de acciones que se liquida en marzo de 2028) [1]. En junio de 2023 Hinda Gharbi sustituyó a Didier Michaud-Daniel como consejera delegada [26] y lanzó el plan LEAP | 28, que rota la cartera hacia infraestructuras, energía, centros de datos y servicios digitales [1]. En 2026 la empresa completó la rotación del 20 % de la cartera: compró LotusWorks (centros de datos) y pactó la venta de Petróleo y Petroquímica más Carbón y la salida de Servicios a Gobiernos, que desde el 3T26 se contabilizan como actividades en salida [5,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1828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Amberes como registro de clasificación de buques.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Wendel entra en el capital.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Euronext París; Wendel, primer accionista.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Hinda Gharbi, consejera delegada; Laurent Mignon, presidente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LEAP | 28; Wendel vende un 9 % y la empresa recompra 100 M EUR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ensayos de alimentos a Mérieux; recompra de 200 M EUR; Wendel vende 23,3 M de acciones a 25,40 EUR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LotusWorks (375 M EUR); venta pactada de Petróleo, Petroquímica y Carbón (EV 470 M EUR); salida de Servicios a Gobiernos; día del inversor con crecimiento de dos dígitos en 2027-2028 [12,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Bureau Veritas ensaya, inspecciona y certifica activos, productos, materias primas y sistemas de gestión para industria, energía, minería, constructoras, navieras, marcas de consumo y fabricantes de electrónica. Facturó 6.466,4 M EUR en 2025 con 82.000 empleados en 140 países [2]. Desde el 1-jul-2026 reporta en cuatro divisiones (Industrials &amp; Commodities, Buildings &amp; Infrastructure, Business Assurance y Product Testing &amp; Services) y diez líneas de producto [5, 12]. Las actividades de ensayo de petróleo, petroquímica y carbón (≈450 M EUR de ingresos en 2025, vendidas por un valor de empresa de 470 M EUR, cierre previsto al final del 1T27) y los Servicios a Gobiernos (≈185 M EUR, en salida) se presentan desde el 3T26 como actividades en salida según la NIIF 5 [3, 5]. Sin ellas, los ingresos de 2025 reexpresados son 5.830,3 M EUR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Industrials &amp; Commodities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Buildings &amp; Infrastructure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Business Assurance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 Testing &amp;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Actividades en salida (NIIF 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Industrials &amp; Commodities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Buildings &amp; Infrastructure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Business Assurance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 Testing &amp; Services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Actividades en salida (NIIF 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dependencia de un cliente: trabaja para cientos de miles de clientes; ningún cliente supera un porcentaje relevante de los ingresos según el URD [1]. Buena parte de la actividad es recurrente porque la exige la norma (inspecciones reglamentarias de edificios en Francia, clasificación de buques, certificación ISO) [1, 5]. Marina tiene una cartera récord de 36,3 millones de toneladas brutas (+13,4 %) a 30-sep-2026 [5]. Poder de precios: el margen operativo ajustado pasó del 15,9 % en 2023 al 16,3 % en 2025 con un crecimiento orgánico del 6,5 % en 2025 y del 5,7 % en 9M26 [2, 5]; la dirección cifra en 110 pb la mejora de margen de sus programas hasta 2026 [12].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9M26: 5,7 % (3T26: 6,2 %; 2T26: 5,9 %; 1T26: 4,8 %, perímetro nuevo)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Mejora trimestre a trimestre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medio a alto de un dígito para el perímetro nuevo, confirmada el 21-oct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(1S26, grupo); 15,6 % sin actividades en salida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pb (+29 pb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mejora a tipo constante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843,3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824,2 M EUR (2025); 157,7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Después de capex e intereses; antes de arrendamientos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Marina (toneladas brutas)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M (sep-25, implícito)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M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da visibilidad a la clasificación de buques nuevos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de cartera desde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(jul-26)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compras (≈413 M EUR) y ventas o salidas por ≈837 M EUR</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LEAP | 28 [6,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+0,35x por el dividendo y las compras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Rango objetivo 1,5-2,0x en 2028 [3,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ensayos, inspección y certificación (TIC) subcontratado a terceros. Bureau Veritas estima el mercado total en cerca de 300.000 M EUR, de los que un 45 % (≈150.000 M EUR) se subcontrata y es su mercado accesible [1]. P&amp;S Market Research da 234.900 M USD para el total en 2024, con un 40 % subcontratado, y prevé un 3,6 % anual hasta 2032 (3,8 % el subcontratado) [15]. Las dos fuentes difieren en un 15-20 % por el perímetro; usamos la de la empresa (150.000 M EUR subcontratados) para cuotas y el crecimiento de la consultora para la serie, que es la única con años.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150.000 M EUR subcontratados (≈ 300.000 M EUR total) en 2025 [1]; 234.900 M USD total en 2024 según P&amp;S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mercado total TIC, P&amp;S Market Research; años intermedios interpolados al 3,6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energía, redes eléctricas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Infraestructuras y Construcción creció un 5,1 % orgánico y Edificios e Infraestructuras un 7,9 % en el 3T26; LotusWorks añade 131 M EUR de ingresos en centros de datos [5,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y exigencias de cumplimiento (ciberseguridad, IA, sostenibilidad)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1.000 M EUR de ingresos ligados a la IA en 2030 [23]; ensayos de producto +7,0 % orgánico en el 3T26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Subcontratación creciente por empresas y Administraciones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ve una tendencia creciente a subcontratar, que amplía el mercado accesible [1]; el subcontratado crece más que el total (3,8 % frente a 3,6 %)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Petróleo y mantenimiento industrial en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de Oriente Medio dejó Industria en un 1 % orgánico en el 1S26 [3]; BV vende esa exposición (Petróleo y Petroquímica más Carbón)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Comercio mundial de materias primas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Agroalimentario y materias primas, sin las actividades en salida, sigue con crecimiento positivo; los aranceles desplazan cadenas de suministro y piden más ensayos de producto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diez mayores suman casi un 25 % del mercado subcontratado [1]: rivalidad de precios en servicios sencillos, menor en clasificación de buques (doce sociedades de la IACS clasifican más del 90 % de la flota) y certificación acreditada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servicio cuesta poco frente al riesgo que cubre y muchos ensayos son obligatorios; BV sube el margen ajustado año tras año (16,3 %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son técnicos cualificados: la inflación salarial y la escasez de ingenieros presionan el margen.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altas: reputación de integridad, acreditaciones que tardan años, red local densa y marca [1]; el capital privado entra comprando cotizadas (Applus en 2024, Intertek en 2026) [23,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inspección interna (60 % del mercado total [15]) y los sensores sustituyen parte del trabajo; la IA puede automatizar ensayos rutinarios, aunque también crea servicios nuevos de verificación.</w:t>
            </w:r>
          </w:p>
        </w:tc>
      </w:tr>
    </w:tbl>
    <w:p>
      <w:pPr>
        <w:spacing w:after="160" w:before="0"/>
      </w:pPr>
    </w:p>
    <w:p>
      <w:pPr>
        <w:pStyle w:val="Heading2"/>
      </w:pPr>
      <w:r>
        <w:t xml:space="preserve">Ciclo</w:t>
      </w:r>
    </w:p>
    <w:p>
      <w:pPr>
        <w:spacing w:after="100"/>
      </w:pPr>
      <w:r>
        <w:t xml:space="preserve">Los grandes del sector crecen un 4-7 % orgánico: SGS un 5,6 % en el 1S26 [16], Eurofins un 3,7 % en 2025 y BV un 5,7 % en los nueve meses de 2026 [5]. El sector aguantó 2008-09 mejor que la industria por la parte regulada, pero en 2020 los ingresos de BV cayeron un 9,8 % con los cierres y en 2015-16 sufrió con el petróleo. La venta de Petróleo y Petroquímica y de Carbón reduce la parte cíclica.</w:t>
      </w:r>
    </w:p>
    <w:p>
      <w:pPr>
        <w:pStyle w:val="Heading2"/>
      </w:pPr>
      <w:r>
        <w:t xml:space="preserve">Regulación</w:t>
      </w:r>
    </w:p>
    <w:p>
      <w:pPr>
        <w:spacing w:after="100"/>
      </w:pPr>
      <w:r>
        <w:t xml:space="preserve">La demanda nace de normas de seguridad, construcción, productos, medio ambiente e información de sostenibilidad. La directiva europea de informes de sostenibilidad (CSRD) y la normativa europea de IA amplían la verificación por terceros; sus aplazamientos de 2025 restan algo de demanda a corto plazo. En Francia, la contribución excepcional sobre el beneficio de las grandes empresas eleva el tipo ajustado de BV al 30 % en 2025 y al 29,3 % en el 1S26 [1, 3].</w:t>
      </w:r>
    </w:p>
    <w:p>
      <w:pPr>
        <w:pStyle w:val="Heading2"/>
      </w:pPr>
      <w:r>
        <w:t xml:space="preserve">Tendencias y disrupción</w:t>
      </w:r>
    </w:p>
    <w:p>
      <w:pPr>
        <w:spacing w:after="100"/>
      </w:pPr>
      <w:r>
        <w:t xml:space="preserve">Consolidación por capital privado (Applus por TDR e I Squared en 2024 [24]; Intertek por EQT en 2026, con un 62 % de prima [23]); digitalización de la inspección (drones, sensores, IA) y nuevos servicios de ciberseguridad, IA, centros de datos y transición energética. BV gana si mantiene precio en los servicios nuevos y si la IA mejora la productividad de sus técnicos (110 pb de margen de sus programas hasta ahora, según el día del inversor [12]); pierde si la automatización abarata la inspección rutinaria.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del TIC mundial con SGS y Eurofins (este, centrado en laboratorios). Con ≈6.470 M EUR de ingresos en 2025 tiene un 4,3 % del mercado subcontratado de 150.000 M EUR (cálculo propio con [1]). Líder en clasificación de buques fuera de las sociedades nacionales y en inspección de edificios en Francia.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6.945 M CHF en 2025 y margen EBIT del 16,0 % [17]; 5,6 % orgánico en el 1S26 [16]. Convertido a 0,9227 CHF/EUR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Eurofins Scientific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Laboratorios de alimentos, medio ambiente y farmacia: 7.296 M EUR en 2025 y EBIT de 1.079 M EUR [19]; parte de su negocio (clínico, farmacia) queda fuera del TIC estricto.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Intertek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3.432 M GBP en 2025 y EBIT de 620 M GBP [18]; acepta la oferta de EQT a 60 GBP por acción (junio de 2026) [23]. Convertido a 0,83728 GBP/EUR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3.320 M AUD en el ejercicio a marzo de 2026 y EBIT de 599 M AUD [20]: minería, medio ambiente y alimentos. Convertido a 1,5939 AUD/EUR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Mistras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Ensayos no destructivos: 739 M USD últimos 12 meses y EBITDA del 11,8 %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TIC Solutions (antes Acuren)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industrial: 2.050 M USD últimos 12 meses tras la fusión con NV5, EBITDA del 12 % y deuda de 5,5 veces el EBITDA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Applus+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Excluida de bolsa en 2024 por TDR e I Squared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certificado vale más cuanto más lo aceptan clientes y reguladores, pero no hay efecto de red fuerte.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sociedad de clasificación o de certificador exige nuevas auditorías; los contratos marco con grandes clientes se renuevan.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Acreditaciones en unos 140 países y una marca de casi 200 años; la empresa sitúa la reputación de integridad como primera barrera de entrada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16,3 % frente al 16,0 % de SGS y el 18,1 % de Intertek [1, 4, 5]: sin ventaja clara.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mundial de laboratorios y técnicos que un recién llegado no puede replicar; el capital privado entra comprando, no construyendo [12, 13].</w:t>
            </w:r>
          </w:p>
        </w:tc>
      </w:tr>
    </w:tbl>
    <w:p>
      <w:pPr>
        <w:spacing w:after="160" w:before="0"/>
      </w:pPr>
    </w:p>
    <w:p>
      <w:pPr>
        <w:pStyle w:val="Heading2"/>
      </w:pPr>
      <w:r>
        <w:t xml:space="preserve">Amenazas</w:t>
      </w:r>
    </w:p>
    <w:p>
      <w:pPr>
        <w:spacing w:after="100"/>
      </w:pPr>
      <w:r>
        <w:t xml:space="preserve">La automatización (sensores, drones, IA) puede abaratar la inspección rutinaria y bajar precios (probabilidad media); los fondos dueños de Applus e Intertek pueden competir en precio para ganar cuota antes de vender (baja); y un incidente de reputación —la provisión de 32 M EUR por las desviaciones de cumplimiento de abril de 2026 lo recuerda— daña lo único que vende la empresa (baja) [3].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2019-2025: ingresos </w:t>
      </w:r>
      <w:r>
        <w:rPr>
          <w:b/>
          <w:bCs/>
        </w:rPr>
        <w:t xml:space="preserve">4,0 %</w:t>
      </w:r>
      <w:r>
        <w:t xml:space="preserve">, EBITDA </w:t>
      </w:r>
      <w:r>
        <w:rPr>
          <w:b/>
          <w:bCs/>
        </w:rPr>
        <w:t xml:space="preserve">3,3 %</w:t>
      </w:r>
      <w:r>
        <w:t xml:space="preserve">, BPA </w:t>
      </w:r>
      <w:r>
        <w:rPr>
          <w:b/>
          <w:bCs/>
        </w:rPr>
        <w:t xml:space="preserve">7,9 %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4,0 % anual en 2019-2025 (de 5.100 a 6.466 M), con 2020 a −9,8 % por la Covid y orgánicos del 6,5-10,2 % en 2022-2025 [1, 7, 8, 9, 10]. El margen EBITDA recurrente sube del 19,0 % en 2023 al 19,4 % en 2025 y el operativo ajustado de la empresa del 15,9 % al 16,3 % [2]. El beneficio neto atribuido pasó de 368 a 588 M y el BPA ajustado de 1,02 a 1,42 EUR. Dos cosas distorsionan la serie: las ventas de negocios (plusvalía de 34,7 M en 2025 por los ensayos de alimentos, que el motor quita del EBITDA) y, desde el 3T26, la NIIF 5, que deja 2025 reexpresado en 5.830 M sin las actividades en salida [5]. En el 1S26 el beneficio operativo cayó un 16 % por esa base alta y por la provisión de 32 M; el ajustado subió [3].</w:t>
      </w:r>
    </w:p>
    <w:p>
      <w:pPr>
        <w:pStyle w:val="Heading2"/>
      </w:pPr>
      <w:r>
        <w:t xml:space="preserve">Ajustes y partidas no recurrentes</w:t>
      </w:r>
    </w:p>
    <w:p>
      <w:pPr>
        <w:spacing w:after="100"/>
      </w:pPr>
      <w:r>
        <w:t xml:space="preserve">Se usan las cifras publicadas (NIIF-UE, cuenta por naturaleza). EBITDA = beneficio operativo publicado + amortizaciones totales, que incluyen las de derechos de uso (NIIF 16) y las de intangibles de compras (57,8 M en 2025) [1]. No recurrentes en el EBITDA: solo plusvalías y minusvalías de ventas y compras de negocios (−34,7 M en 2025, sobre todo la venta de ensayos de alimentos; +6 a +14 M en 2019-2021); la reestructuración se repite y se deja como gasto [1, 2]. El BPA de los escenarios y de la historia del PER es el </w:t>
      </w:r>
      <w:r>
        <w:rPr>
          <w:b/>
        </w:rPr>
        <w:t xml:space="preserve">ajustado</w:t>
      </w:r>
      <w:r>
        <w:t xml:space="preserve"> que publica la empresa (antes de amortización de intangibles de compras y partidas no recurrentes): 1,42 EUR en 2025 frente a 1,31 contable [2]. LotusWorks consolida desde el 27-jul-2026 [3, 13].</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(2024: Compras por 313,9 M EUR (Ingeniería y Calidad en EE. UU., APP y otras) y venta de laboratorios: aumento del fondo de comercio de 2.127 a 2.313 M EUR [1].; 2025: Venta del negocio de ensayo de alimentos (≈133 M EUR de ingresos) a Mérieux NutriSciences con plusvalía [1,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sano y estable: deuda neta ajustada de 1.688,6 M a jun-26 (1,45 veces el EBITDA) [3], prácticamente igual a sep-26 tras pagar LotusWorks [5]; rating A3 de Moody's y vencimientos escalonados hasta 2036, con el bono de 700 M al 4,125 % a 2034 emitido en 2026 [5]. El circulante es pequeño y baja: 236,8 M en 2025 (3,7 % de las ventas) frente a 293,0 M en 2024 (4,7 %) [2], con unos 91 días de cobro y 98 de pago. El fondo de comercio (2.274 M) es la mayor partida del activo y casi iguala el patrimonio (1.711 M): las compras son el riesgo de deterioro, no la deuda. El rango objetivo de 1,5-2,0x deja ≈ 700-1.300 M de margen para compras [12].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3.848</w:t>
      </w:r>
      <w:r>
        <w:t xml:space="preserve">, conversión </w:t>
      </w:r>
      <w:r>
        <w:rPr>
          <w:b/>
          <w:bCs/>
        </w:rPr>
        <w:t xml:space="preserve">127 %</w:t>
      </w:r>
      <w:r>
        <w:t xml:space="preserve"> del beneficio neto; adquisiciones 725, dividendos 1.829, recompras 434.</w:t>
      </w:r>
    </w:p>
    <w:p>
      <w:pPr>
        <w:spacing w:after="100"/>
      </w:pPr>
      <w:r>
        <w:t xml:space="preserve">La conversión en caja es alta y estable: el FCF (flujo operativo − capex − arrendamientos) fue de 661 M en 2025 (112 % del beneficio neto) y de 687 M en 2024 (121 %); acumulado 2019-2025, 3.848 M, un 127 % del beneficio [1]. No hay años anómalos salvo 2020, cuando la caja aguantó mejor que el beneficio por el circulante. El capex es pequeño (2,3 % de las ventas, 0,5 veces la amortización), casi todo de mantenimiento de laboratorios y sistemas (la empresa no lo separa); el crecimiento se compra: 725 M de compras en 2019-2025 y 375 M más en 2026 (LotusWorks) [1, 13]. El FCF del 1S26 (157,7 M) es estacionalmente bajo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(desde 2007) y Ernst &amp; Young Audit (desde 2016)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Sin señales de alarma. Auditores PwC (desde 2007) y EY (desde 2016), con opinión limpia [1]. Altman Z de 3,36 (zona segura), Piotroski F de 8 sobre 9 y Beneish M de −2,81 (por debajo del umbral de manipulación de −1,78). Lo que hay que vigilar: el ajustado excluye cada año amortización de intangibles de compras (57,8 M) y reestructuración (≈ 37 M en 2025) que se repiten, y las plusvalías de ventas de negocios entran en el beneficio operativo publicado (34,7 M en 2025) [2]. La provisión de 32 M por desviaciones de cumplimiento del 1S26 se dio de forma voluntaria [3]. La remuneración en acciones es pequeña frente al beneficio. El BPA de este informe es el ajustado, por coherencia con el consenso y la historia del PER.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Desviaciones en Servicios a Gobiernos (Oriente Medio y África) comunicadas voluntariamente a las autoridades francesas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32,0 M EUR a 30-jun-2026 y salida de todo el subsegmento (≈185 M EUR de ingresos de 2025) [3,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 de la venta de Alimentos dentro del beneficio operativo de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Ganancias netas por ventas de 34,7 M EUR en 2025 y 64,9 M EUR en el 1S25; la empresa las excluye del ajustado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recurrente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reestructuración cada año (6,9-31,7 M EUR en 2021-2025): no se tratan como no recurrentes en este informe [2, 7, 8,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Factoring y circulante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Circulante del 6,8 % de los ingresos a jun-26, estable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2.274 M en 2025 (el 64 % del capital invertido medio); ha subido más de un 5 % en 2 de 6 años: compras pequeñas. ROIC publicado 18,6 %; sin fondo de comercio, 51,5 %.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7,9 %.</w:t>
      </w:r>
    </w:p>
    <w:p>
      <w:pPr>
        <w:spacing w:after="100"/>
      </w:pPr>
      <w:r>
        <w:t xml:space="preserve">El ROIC del motor sube del 13,3 % en 2019 al 18,6 % en 2025 (7,7 % en 2020 por la Covid), unos 10,7 puntos por encima del WACC del 7,93 %. El 58-61 % del capital invertido es fondo de comercio de compras: sin él, el ROIC supera el 50 %, porque el negocio casi no necesita activos (capex del 2,3 % de las ventas y circulante del 3,7 %) [1]. La empresa define su ROIC de otra forma (beneficio operativo ajustado después de impuestos sobre patrimonio más deuda neta sin arrendamientos) y apunta a más del 20 % en 2028 [5, 12]. El riesgo para el ROIC no es la intensidad de capital sino el precio de las compras: LotusWorks se pagó a 15 veces el EBITA [13].</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1.000 M EUR de caja a 30-sep-2026 y 600 M EUR de línea sindicada no dispuesta [5]; a 30-jun-2026, caja de 942,1 M EUR y deuda bruta de 2.631,0 M EUR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perspectiva estable (reafirmado en abril de 2026)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y prestaciones de 140 M y provisiones de 130 M a jun-26 [4]; activos mantenidos para la venta de 495,5 M y pasivos asociados de 147,7 M (actividades en salida) [4].</w:t>
      </w:r>
    </w:p>
    <w:p>
      <w:pPr>
        <w:pStyle w:val="Heading1"/>
      </w:pPr>
      <w:r>
        <w:t xml:space="preserve">12. Asignación de capital</w:t>
      </w:r>
    </w:p>
    <w:p>
      <w:pPr>
        <w:pStyle w:val="Confianza"/>
        <w:spacing w:after="100"/>
      </w:pPr>
      <w:r>
        <w:t xml:space="preserve">Confianza: Alta</w:t>
      </w:r>
    </w:p>
    <w:p>
      <w:pPr>
        <w:spacing w:after="100"/>
      </w:pPr>
      <w:r>
        <w:t xml:space="preserve">Reparto del 65 % del beneficio neto ajustado en dividendo, capex del 2,5-3,0 % de los ingresos, compras aceleradas y apalancamiento de 1,5-2,0x deuda neta / EBITDA en 2028 (antes 1,0-2,0x) [12]. Recompra de 200 M EUR anunciada el 25-feb-2026, a completar en 12 meses; a 19-oct-2026 se habían comprado 2,5 millones de acciones por 68 M EUR [5]. Dividendo de 0,92 EUR por 2025, pagado el 28-may-2026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LotusWorks (puesta en marcha y QA/QC de centros de datos y fábricas de semiconductores; 131 M EUR de ingresos en 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Líneas de crédito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27-jul-2026; EV/EBITA 2026e de 15x con pago aplazado ligado a resultados; crecimiento «por encima de lo esperado» en el 3T26 [3, 6,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petróleo, petroquímica y carbón (≈450 M EUR de ingresos)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(cobro)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Firmada en junio de 2026; EV/EBIT 2025 de 11,1x; cierre previsto al final del 1T27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negocio de ensayo de alimentos a Mérieux NutriSciences (≈133 M EUR de ingresos)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(cobro)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en 2025; mejoró el margen del grupo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LEAP | 28 (entre ellas APP en Australia y Ingeniería y Calidad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pagada en 2024; contribuyen al crecimiento de Edificios [1, 2].</w:t>
            </w:r>
          </w:p>
        </w:tc>
      </w:tr>
    </w:tbl>
    <w:p>
      <w:pPr>
        <w:spacing w:after="160" w:before="0"/>
      </w:pPr>
    </w:p>
    <w:p>
      <w:pPr>
        <w:spacing w:after="100"/>
      </w:pPr>
      <w:r>
        <w:t xml:space="preserve">Buena asignadora de capital, con un cambio de ritmo en 2026. En 2019-2025 generó 3.848 M de FCF y dedicó 1.829 M a dividendos, 434 M a recompras y 725 M a compras [1]: retorno al accionista del 105 % del FCF en 2024-2025, financiado en parte con ventas de negocios. El ROIC subió del 13,3 % al 18,6 % en ese tiempo, así que las compras pequeñas no lo diluyeron. La rotación de 2026 es coherente (vende Petróleo y Carbón a 11,1x EBIT y compra LotusWorks a 15x EBITA) pero más cara, y el día del inversor sube el apalancamiento objetivo a 1,5-2,0x para comprar más [12, 13]: es ahí donde se juega el valor. La recompra de 200 M recompensa al accionista a un precio razonable (2,5 M de acciones a ≈ 27 EUR)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Hinda Gharbi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(no es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Ingeniera, venía de Schlumberger; entró como directora de operaciones en 2022 y es consejera delegada desde el 22-jun-2023 [1]. Con LEAP | 28 el crecimiento orgánico fue del 10,2 % en 2024 y del 6,5 % en 2025 y el margen ajustado subió al 16,3 % [2, 27]; ha rotado un 20 % de la cartera en 2026 [12]. Tiene 48.642 acciones a cierre de 2025 más 67.600 recibidas en agosto de 2026 [1,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Chabas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del grupo; ha llevado la emisión del bono de 700 M EUR al 4,125 % con vencimiento en 2034 y la recompra de 200 M EUR [3, 5]. Recibió 21.214 acciones de rendimiento en agosto de 2026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Laurent Mignon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directorio de Wendel; consejero desde diciembre de 2022 y presidente desde junio de 2023 [1]. Antes, consejero delegado de BPCE y de Natixis.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Geoffroy Roux de Bézieux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y 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julio de 2023; desde el 22-oct-2025 consejero coordinador y presidente de la comisión de nombramientos y retribuciones [1]. Fue presidente de la patronal francesa MEDEF.</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sólido, mejora del margen ajustado y fuerte generación de caja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9,4 % orgánico y margen del 16,1 %, +273 pb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 de un dígito, mejora del margen y conversión de caja &gt;90 %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7,8 % orgánico; margen del 16,0 % (≈ +10 pb sin China, a la baja en contable)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 de un dígito, margen estable y conversión &gt;90 %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orgánico, margen del 15,9 % y BPA ajustado récord de 1,27 EUR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medio-alto de un dígito, mejora del margen a tipo constante y conversión &gt;90 %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10,2 % orgánico y margen del 16,0 %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medio-alto de un dígito, mejora del margen a tipo constante y conversión &gt;90 %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 orgánico, margen del 16,3 % (+32 pb) y conversión del 107 %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Medio-alto de un dígito (febrero), rebajado a medio de un dígito (abril) y vuelto a elevar a medio-alto para el nuevo perímetro (julio); confirmada el 21-oct [5, 11,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9M26: 5,7 % orgánico en el nuevo perímetro (3T: 6,2 %)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desde junio de 2023 con un plan propio (LEAP | 28) que ha cumplido en crecimiento y margen en 2024 y 2025. La credibilidad se resintió en abril de 2026, cuando rebajó la guía dos meses después de darla y descubrió desviaciones de cumplimiento con una provisión de 32 M EUR [11, 28]; se recuperó con el 2T, el día del inversor (objetivo de crecimiento de dos dígitos a tipo constante en 2027-2028) y un 3T que batió el consenso en un 1 % [5, 12]. En 2026 hay relevos en la segunda línea (nuevo director jurídico, jubilación de Laurent Louail y Marios Broustas al frente de fusiones y adquisiciones) [5]. El URD describe un plan de sucesión revisado por la comisión de nombramientos, sin nombres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Laurent Mignon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Geoffroy Roux de Bézieux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 Auditoría y riesgos,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Christine Anglade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Avrane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(presidenta),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Bpifrance Investissement (Karine Lenglart)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Claude Ehlinger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 Giros Calpe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RSC (presidenta),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Lebard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Jérôme Michiels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Jean-François Palus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Élodie Perthuisot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Frédéric Sanchez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58 %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Pascal Lebard</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Wendel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23,3 M de acciones el 16-sep-2025 a 25,40 EUR (591 M EUR) [1, 31]. Mantiene el voto de 30,36 M de acciones vendidas a plazo a BNP Paribas con liquidación el 17-mar-2028; con el voto doble tiene el 34,59 % de los votos teóricos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10,2 M de acciones a cierre de 2025; la recompra de 200 M EUR de 2026 lleva 2,5 M de acciones (68 M EUR) a 19-oct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Bpifrance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desde 2024; participación inferior al umbral de declaración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 la consejera delegada (hasta el 150 % del fijo) depende en un 70 % de cifras: crecimiento orgánico 25 %, beneficio operativo ajustado 20 %, BPA 15 % y caja 10 %; el 30 % restante, de objetivos no financieros (seguridad, RSC, estrategia) [1]. Las acciones de rendimiento dependen del margen (40 %), la conversión de caja (20 %), el rendimiento total para el accionista frente a un grupo de comparables (20 %) y RSC (20 %), a tres años [1]. No hay ROIC entre las métricas, pero el TSR y la caja ligan el largo plazo a la rentabilidad. El fijo sube de 0,9 a 1,2 M EUR en 2026. En 2025 la remuneración de 2024 recibió el 90,63 % a favor y la política de 2025 el 92,67 % [1]; la junta del 19-may-2026 aprobó todas las resoluciones [30].</w:t>
      </w:r>
    </w:p>
    <w:p>
      <w:pPr>
        <w:pStyle w:val="Heading2"/>
      </w:pPr>
      <w:r>
        <w:t xml:space="preserve">Operaciones vinculadas, estructura de control y defensas</w:t>
      </w:r>
    </w:p>
    <w:p>
      <w:pPr>
        <w:spacing w:after="100"/>
      </w:pPr>
      <w:r>
        <w:t xml:space="preserve">Wendel tiene el 21,4 % del capital y el 34,6 % de los votos teóricos gracias al voto doble francés para acciones nominativas con más de dos años [1]: con la asistencia habitual decide la junta. El presidente, Laurent Mignon, preside el directorio de Wendel y otros tres consejeros (Anglade, Ehlinger, Michiels) están ligados a Wendel [1]. Hasta marzo de 2028 Wendel vota 30,36 M de acciones vendidas a plazo, de modo que su voto supera su interés económico [1]. Contrapesos: 58 % de consejeros independientes, consejero coordinador independiente desde octubre de 2025, comisión de auditoría con un 80 % de independientes y presidida por uno [1]. En la BDIF de la AMF de los últimos 12 meses solo constan entregas gratuitas de acciones de rendimiento (2-ago-2026, a 27,88 EUR) a la consejera delegada y al director financiero; ninguna compra ni venta en mercado [29].</w:t>
      </w:r>
    </w:p>
    <w:p>
      <w:pPr>
        <w:pStyle w:val="Heading2"/>
      </w:pPr>
      <w:r>
        <w:t xml:space="preserve">Señales de alerta</w:t>
      </w:r>
    </w:p>
    <w:p>
      <w:pPr>
        <w:pStyle w:val="ListParagraph"/>
        <w:numPr>
          <w:ilvl w:val="0"/>
          <w:numId w:val="2"/>
        </w:numPr>
        <w:spacing w:after="60"/>
      </w:pPr>
      <w:r>
        <w:t xml:space="preserve">Separación entre voto (34,6 %) e interés económico de Wendel hasta marzo de 2028; el mercado especula con nuevas ventas (RBC, 21-oct-2026) [1, 32].</w:t>
      </w:r>
    </w:p>
    <w:p>
      <w:pPr>
        <w:pStyle w:val="ListParagraph"/>
        <w:numPr>
          <w:ilvl w:val="0"/>
          <w:numId w:val="2"/>
        </w:numPr>
        <w:spacing w:after="60"/>
      </w:pPr>
      <w:r>
        <w:t xml:space="preserve">Desviaciones de cumplimiento con provisión de 32 M EUR en abril de 2026 [11, 28].</w:t>
      </w:r>
    </w:p>
    <w:p>
      <w:pPr>
        <w:pStyle w:val="ListParagraph"/>
        <w:numPr>
          <w:ilvl w:val="0"/>
          <w:numId w:val="2"/>
        </w:numPr>
        <w:spacing w:after="60"/>
      </w:pPr>
      <w:r>
        <w:t xml:space="preserve">El presidente es directivo del accionista de control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2026 (confirmada el 21-oct-2026): crecimiento orgánico «medio a alto de un dígito» en el nuevo perímetro (sin las actividades en salida), mejora del margen operativo ajustado a tipo constante y fuerte generación de caja [5]. La guía se rebajó el 22-abr y se elevó el 29-jul. Día del inversor del 22-sep-2026: crecimiento total de dos dígitos a tipo constante en 2027-2028 (compras incluidas), deuda neta / EBITDA de 1,5-2,0x, reparto del 65 %, capex del 2,5-3 %, ROIC por encima del 20 % en 2028 y 1.000 M EUR de ingresos ligados a la IA en 2030 [12]. 9M26: 5,7 % orgánico; 3T26: 6,2 %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2"/>
        <w:gridCol w:w="1302"/>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recogido por la empresa, 13-oct-2026, nuevo perímetro (NIIF 5), 7 analistas en ingresos y 5 en BPA [33]. EBIT = beneficio operativo ajustado; EBITDA = ese EBIT + amortizaciones sin las de intangibles de compras (3,74 % de las ventas) − reestructuración y otros que el AOP excluye (0,58 %), ratios de 2025 (cálculo propio)</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Ídem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Ídem [33]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28,50 – 37,00</w:t>
            </w:r>
          </w:p>
        </w:tc>
      </w:tr>
    </w:tbl>
    <w:p>
      <w:pPr>
        <w:spacing w:after="160" w:before="0"/>
      </w:pPr>
    </w:p>
    <w:p>
      <w:pPr>
        <w:pStyle w:val="Heading2"/>
      </w:pPr>
      <w:r>
        <w:t xml:space="preserve">Revisiones de estimaciones</w:t>
      </w:r>
    </w:p>
    <w:p>
      <w:pPr>
        <w:spacing w:after="100"/>
      </w:pPr>
      <w:r>
        <w:t xml:space="preserve">El consenso de la empresa del 13-oct ya está en el nuevo perímetro: 6.182, 6.728 y 7.155 M EUR de ingresos y BPA ajustado de 1,39, 1,59 y 1,72 EUR en 2026-2028 [33]. Frente al del 1-jul (antiguo perímetro, 1,54/1,69/1,82 EUR), la caída del BPA es casi toda de perímetro (salen ≈636 M EUR de ingresos de 2025), no de negocio. MarketScreener (17 analistas, 23-oct) da un objetivo medio de 33,24 EUR (28,50-37,00) y recomendación media de comprar [34]; sus cifras de BPA (1,36 EUR en 2026, contable y antiguo perímetro, 2-oct) están desfasadas [35]. Stock Analysis (5-ago) daba 32,44 EUR (28,00-38,50) [36]: el objetivo medio ha subido ≈0,8 EUR en tres meses, con tres subidas de recomendación entre el 28-sep y el 9-oct (Barclays, JPMorgan y Citi) [38]. El 3T batió el consenso de ingresos en un 1 % (1.569,7 frente a 1.553,9 M EUR) [5, 33].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a 29,21 EUR el 23-oct-2026 [37], un 7,5 % arriba en el año frente al −4,5 % del CAC 40, y a un 3 % del máximo de 52 semanas (30,18 EUR, 29-jul). El año ha tenido tres tramos: caída del 10,6 % el 22-abr al rebajar la guía y anunciar la provisión por incumplimientos [11]; recuperación con el 1S26 (29-jul), que elevó la guía; y un repunte del 8,9 % en el último mes con el 3T26 (+3,6 % el 21-oct), que batió el consenso [5, 32]. A cinco años va por detrás del índice y del sector (1,6 % anual frente a 2,8 % y 7,5 %): el crecimiento del BPA se compensó con la bajada del PER desde 2021 y con la presión de las ventas de Wendel. Beta de 0,97 frente al CAC 40 (mensual, cinco años).</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 +0,1 % / +12,4 % / +3,0 %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 / +17,0 %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rebajada de «medio-alto» a «medio» un dígito por Oriente Medio y la salida de Servicios a Gobiernos, y desviaciones de cumplimiento con provisión de 32 M EUR [11,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 (mes a 19-may)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mismo tramo del 22-abr visto a un mes; desde el mínimo de 24,58 EUR la acción ya recuperó un 19 %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 (mes a 29-jul)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y guía elevada a «medio-alto» para el nuevo perímetro, venta pactada de Petróleo y Carbón y cierre de LotusWorks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ex-dividendo (0,92 EUR, ≈3,3 % del precio; pago el 28-may)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 1.569,7 M EUR, +6,2 % orgánico y +10,1 % total, un 1 % por encima del consenso; guía confirmada; la acción sube un 3,6 % [5,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(comprar) los ve «tranquilizadores»; RBC (sector perform) dice que la acción sufre por su sesgo francés y por la especulación de que Wendel venda más acciones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recomendación tras el día del inversor: Barclays a sobreponderar (objetivo de 31 a 32,2 EUR, 28-sep), JPMorgan de neutral a sobreponderar (de 28 a 34 EUR, 29-sep) y Citi a comprar (31,54 EUR, 9-oct; ve un margen ajustado del 17,1 % en 2027 frente al 16,65 % del consenso)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Overhang de Wendel (21,4 % del capital): vendió en abril de 2024 y en septiembre de 2025 (23,3 M de acciones a 25,40 EUR) y tiene 30,4 M de acciones vendidas a plazo con liquidación el 17-mar-2028 [1]. No hay colocación anunciada; la especulación (RBC) no tiene fecha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Wendel anuncia una colocación, esperar a que se haga (suelen ir con un descuento del 3-5 %)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crecimiento total de dos dígitos a tipo constante en 2027-2028, apalancamiento de 1,5-2,0x y 1.000 M EUR de ingresos de IA en 2030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 de acciones de rendimiento a la consejera delegada (67.600) y al director financiero (21.214) a 27,88 EUR; ninguna venta en mercado en 12 meses (BDIF)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LotusWorks (EV 375 M EUR, 15x EBITA 2026e)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pactada de Petróleo y Petroquímica y Carbón (EV 470 M EUR, 11,1x EBIT); cierre previsto a final del 1T27, pendiente de autorizaciones [3]. EQT compra Intertek con un 62 % de prima, referencia de valor para el sector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en curso: 2,5 M de acciones por 68 M EUR del programa de 200 M EUR [5]. Bono de 700 M EUR al 4,125 % a 2034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subida del último mes (+8,9 %) tiene causa: el 3T batió el consenso y la empresa confirmó la guía tras un día del inversor con objetivos más altos. La tendencia es alcista (7,9 % sobre la media de 200 sesiones) y no hay avisos. Los próximos resultados son el 25-feb-2027, a cuatro meses. El único hecho que podría mover el precio más de un 5 % es una colocación de Wendel, pero no está anunciada; si se anuncia, se espera a que se ejecute. Buscado en: comunicados de la empresa, BDIF de la AMF, Boursedirect, MarketScreener, Stock Analysis y foro de Boursorama.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Frente a su historia, BV cotiza en la media en EV/EBITDA de los últimos 12 meses (11,9x frente a 12,0x, percentil 50) y algo por encima en PER contable (25,8x frente a 23,8x), que está inflado por la provisión de 32 M y las minusvalías de 2026. En PER adelantado sobre BPA ajustado (18,8x) está por debajo de la mediana de cinco años (19,6x) y lejos del 24,7x de 2021. Nada estructural ha empeorado: el crecimiento orgánico es mayor que en 2019-2021 y el perfil de riesgo baja con la venta de Petróleo y Carbón. Lo que pesa es el sector (la consolidación de SGS e Intertek ha subido sus múltiplos) y la oferta de acciones de Wendel.</w:t>
      </w:r>
    </w:p>
    <w:p>
      <w:pPr>
        <w:pStyle w:val="Heading1"/>
      </w:pPr>
      <w:r>
        <w:t xml:space="preserve">18. Comparables cotizados</w:t>
      </w:r>
    </w:p>
    <w:p>
      <w:pPr>
        <w:pStyle w:val="Confianza"/>
        <w:spacing w:after="100"/>
      </w:pPr>
      <w:r>
        <w:t xml:space="preserve">Confianza: Media</w:t>
      </w:r>
    </w:p>
    <w:p>
      <w:pPr>
        <w:spacing w:after="100"/>
      </w:pPr>
      <w:r>
        <w:t xml:space="preserve">Cotizadas de ensayos, inspección y certificación: SGS (el comparable más directo), Intertek (cotiza cerca del precio de la OPA de EQT, 60 GBP), Eurofins (laboratorios, más farmacia y alimentos), ALS (laboratorios de minería y medio ambiente, ejercicio a marzo), Mistras (ensayos no destructivos, EE. UU.) y TIC Solutions (antes Acuren, inspección industrial en EE. UU., recién fusionada con NV5). Applus salió de bolsa en 2024 y TÜV, DEKRA o Element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Bureau Veritas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Intertek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Eurofins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Mistras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TIC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 11,6x / 12,0x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12,8x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 / 22,0x / 23,3x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 2,7x / 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(4 comparables): múltiplo = 9,6 + 0,28 × crecimiento; R² = 0,13. El crecimiento explica poco los múltiplos de estos comparables (R² &lt; 0,3): la regresión no se usa en la valoración.</w:t>
      </w:r>
    </w:p>
    <w:p>
      <w:pPr>
        <w:spacing w:after="100"/>
      </w:pPr>
      <w:r>
        <w:t xml:space="preserve">BV cotiza con descuento frente a los grandes del sector: 18,8x PER de los próximos 12 meses frente a 23-25x de SGS, Intertek y Eurofins, y 11,6x EV/EBITDA frente a 13,0x de SGS. Parte del descuento se justifica: su margen EBITDA (19,6 %) es 3 puntos menor que el de SGS, Intertek o Eurofins, y su crecimiento de los próximos 12 meses sale bajo (1,1 %) solo porque el consenso ya está en el nuevo perímetro. Con el crecimiento orgánico comparable (6 % frente al 5-7 % de SGS) y un ROIC del 18,6 %, el descuento de 4-6 puntos de PER parece excesivo; lo explican sobre todo el sesgo francés y el overhang de Wendel [32]. La regresión múltiplo-crecimiento no sirve (R² = 0,13, con Intertek al precio de la OPA). Usamos el PER: la mediana (22,0x) da 34,26 EUR, y el EV/EBITDA de los próximos 12 meses, 29,30 EUR.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Intertek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GBP por acción más el dividendo final; valor de empresa de ≈10.900 M GBP sobre ingresos de 3.432 M GBP y EBITDA de 787 M GBP de 2025 (múltiplos calculados) [23,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Petróleo y Petroquímica y Carbón de Bureau Veritas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revelado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BV: EV/EBIT 2025 de 11,1x (NIIF 16) sobre ≈450 M EUR de ingresos; negocio de crecimiento y margen bajos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LotusWorks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Bureau Veritas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Puesta en marcha de centros de datos y fábricas de semiconductores: 131 M EUR de ingresos en 2025 y EV/EBITA 2026e de 15x, con pago aplazado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Applus Services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TDR Capital e I Squared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ganada a 12,78 EUR por acción tras una subasta con Apollo; ingresos de 2.058 M EUR en 2023 [24]. Sin valor de empresa ni EBITDA publicados en lo leído.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Ensayos de alimentos de Bureau Veritas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Mérieux NutriSciences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≈133 M EUR de ingresos; precio no publicado [2].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23,68 – 39,61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dicen que el control de un TIC cotizado vale mucho más que su precio en bolsa: EQT pagó por Intertek 13,9 veces el EBITDA y un 62 % de prima [23]. BV vende lo que crece poco a 11,1 veces el EBIT (Petróleo y Carbón) y compra lo que crece mucho a 15 veces el EBITA (LotusWorks) [3, 13]: coherente con su rotación, pero cara si se repite. BV podría ser objetivo de capital privado por tamaño (≈15.200 M de valor de empresa) y capital flotante (76 %), pero Wendel conserva el 34,6 % de los votos y no hay indicios de oferta [1]. Las transacciones pesan 0: llevan prima de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nuevo perímetro sin las actividades en salida (≈ 6.180 M, el consenso de la empresa del 13-oct [33]; −4,4 % sobre los 6.466 M publicados de 2025, que las incluyen) con un orgánico del 5,7 % en nueve meses y del 6,2 % en el 3T26 [5]. 2027e +7,9 %: orgánico del 6 % (guía de LEAP | 28 [12]) más el año completo de LotusWorks y las compras de 2026; por debajo del consenso (+8,8 %) porque no proyectamos compras nuevas. 2028e +6,0 % y bajada gradual hasta el 3,5 % en 2033e, cerca del mercado subcontratado (3,8 % [15]). Historia: 4,0 % anual en 2019-2025 con la Covid y ventas de negocios [1].</w:t>
      </w:r>
    </w:p>
    <w:p>
      <w:pPr>
        <w:keepNext/>
        <w:spacing w:after="100"/>
      </w:pPr>
      <w:r>
        <w:rPr>
          <w:b/>
          <w:bCs/>
        </w:rPr>
        <w:t xml:space="preserve">Márgenes.</w:t>
      </w:r>
    </w:p>
    <w:p>
      <w:pPr>
        <w:spacing w:after="100"/>
      </w:pPr>
      <w:r>
        <w:t xml:space="preserve">Margen EBITDA del 19,8 % en 2026e (19,4 % recurrente en 2025, sin la plusvalía de 34,7 M de la venta de alimentos [2]): el beneficio operativo ajustado del consenso del nuevo perímetro (16,6 % [33]) más amortizaciones sin las de intangibles de compras (3,74 % de las ventas) menos la reestructuración que el ajustado excluye (0,58 %), ratios de 2025. Sube unos 20 pb al año hasta el 20,6 % en 2031e: la guía pide mejora del margen a tipo constante cada año y la empresa lleva +110 pb con sus programas de eficiencia (hasta 180 pb) [12]. Margen ajustado implícito del 17,1 % en 2028e, entre el consenso (16,8 %) y Citi (17,1 % ya en 2027) [33, 38]. Margen EBITDA de SGS e Intertek: 22-23 % [35]; la empresa calcula el ajustado antes de reestructuración, y el BPA de los escenarios la suma de nuevo (cuadre de 2025 exacto).</w:t>
      </w:r>
    </w:p>
    <w:p>
      <w:pPr>
        <w:keepNext/>
        <w:spacing w:after="100"/>
      </w:pPr>
      <w:r>
        <w:rPr>
          <w:b/>
          <w:bCs/>
        </w:rPr>
        <w:t xml:space="preserve">Inversión y circulante.</w:t>
      </w:r>
    </w:p>
    <w:p>
      <w:pPr>
        <w:spacing w:after="100"/>
      </w:pPr>
      <w:r>
        <w:t xml:space="preserve">Capex del 4,8 % de las ventas: 2,6 % de inmovilizado (guía 2,5-3,0 % [12]; 2,3 % en 2025 [1]) más ≈2,2 % de altas de derechos de uso, porque los arrendamientos van en la deuda (pagos de 157,8 M en 2025, 2,4 % [1]). Amortización del 4,6 % bajando al 4,3 % (incluye 0,7-0,9 % de intangibles de compras, que no se reponen). Circulante al 3,7 % de las ventas, su nivel real a dic-25 (236,8 M) [2], no a cero.</w:t>
      </w:r>
    </w:p>
    <w:p>
      <w:pPr>
        <w:keepNext/>
        <w:spacing w:after="100"/>
      </w:pPr>
      <w:r>
        <w:rPr>
          <w:b/>
          <w:bCs/>
        </w:rPr>
        <w:t xml:space="preserve">Coste del capital.</w:t>
      </w:r>
    </w:p>
    <w:p>
      <w:pPr>
        <w:spacing w:after="100"/>
      </w:pPr>
      <w:r>
        <w:t xml:space="preserve">Tasa libre: Bund a 10 años del 3,39 % (23-oct) [41]. Beta 0,99: la ajustada de BV (0,98, mensual a cinco años frente al CAC 40 [37]) desapalancada con su propia deuda (deuda neta con arrendamientos ≈ 2.100 M sobre 12.996 M de capitalización: 16 %) da 0,88, y reapalancada a la estructura objetivo (15 % de deuda, D/E 17,6 %, impuesto del 29 %) da 0,99. Prima de mercado del 5,5 % (la implícita de Damodaran es del 4,2 % [42]). Coste de la deuda del 3,9 % antes de impuestos: el bono de 2034 paga el 4,125 % y el coste medio es del 3,5 % [3, 5]. Coste del capital propio 8,84 %; WACC 7,93 %.</w:t>
      </w:r>
    </w:p>
    <w:p>
      <w:pPr>
        <w:keepNext/>
        <w:spacing w:after="100"/>
      </w:pPr>
      <w:r>
        <w:rPr>
          <w:b/>
          <w:bCs/>
        </w:rPr>
        <w:t xml:space="preserve">Valor terminal.</w:t>
      </w:r>
    </w:p>
    <w:p>
      <w:pPr>
        <w:spacing w:after="100"/>
      </w:pPr>
      <w:r>
        <w:t xml:space="preserve">Gordon al 2,5 %: crecimiento real del 0,5-1 % más inflación del euro del 2 %, por debajo de la tasa libre menos medio punto (2,89 %). Implica un EV/EBITDA de salida de 10,1x, por debajo de los comparables (11,6x de mediana de los próximos 12 meses) y de su propia media (12,0x): conservador. El valor terminal es el 70 %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(reinvierte el 43 %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frente al 4,0 %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 (hoy: 4,3 %)</w:t>
            </w:r>
          </w:p>
        </w:tc>
      </w:tr>
    </w:tbl>
    <w:p>
      <w:pPr>
        <w:spacing w:after="160" w:before="0"/>
      </w:pPr>
    </w:p>
    <w:p>
      <w:pPr>
        <w:spacing w:after="100"/>
      </w:pPr>
      <w:r>
        <w:t xml:space="preserve">La proyección apenas necesita inversión neta de la amortización (reinversión acumulada de 332 M, el 5 % del NOPAT, con un capex bruto medio del 4,8 % de las ventas). En un negocio de activos ligeros, el crecimiento medio del 4,0 % tiene que salir de subir precios y de ganar volumen sin capital nuevo, y la prueba es el poder de precios y la cuota (4,4 % del mercado en 2033e, frente al 4,3 %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5,7 % en nueve meses (guía «medio-alto de un dígito») [5]: ≈3,5 de volumen y ≈2,5 de precio (estimación propia; la empresa no lo separa). Otros: salida de ≈636 M de ingresos de 2025 por NIIF 5 (−9,8 puntos), divisa negativa en el 1S y positiva en el 3T y compras netas (+1,8 puntos en el 3T) [3,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en línea con la guía de LEAP | 28 [12]. Otros: año completo de LotusWorks (131 M en 2025, creciendo más de lo previsto) y compras de 2026 [13]. Sin compras nuevas: la empresa espera crecer «a dos dígitos» con ellas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por encima del mercado subcontratado (3,8 %) [15] por la rotación hacia centros de datos, energía y servicios de 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Desaceleración hacia el crecimiento del mercado.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al mercado más precio.</w:t>
            </w:r>
          </w:p>
        </w:tc>
      </w:tr>
    </w:tbl>
    <w:p>
      <w:pPr>
        <w:spacing w:after="160" w:before="0"/>
      </w:pPr>
    </w:p>
    <w:p>
      <w:pPr>
        <w:spacing w:after="100"/>
      </w:pPr>
      <w:r>
        <w:t xml:space="preserve">La calidad sostiene el crecimiento proyectado. El foso es estrecho pero estable (acreditaciones, red mundial, marca) [B], el crecimiento orgánico ha sido del 6-10 % en 2022-2025 y del 5,7 % en 9M26 con precio positivo cada año, y el margen ha subido pese a la inflación salarial: hay poder de precios demostrado [1, 5]. La proyección casi no necesita capital (reinversión del 5 % del NOPAT, crecimiento financiable bruto del 8,1 % frente al 4,0 % proyectado) y la cuota final (4,4 % del mercado subcontratado en 2033e) apenas sube sobre la actual (4,3 %). El crecimiento por encima del mercado sale de la rotación hacia centros de datos, energía e IA, no de compras, que no se proyectan.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 (base: 5,2 %)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20,6 % (base: 20,6 %)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(WACC: 7,9 %)</w:t>
            </w:r>
          </w:p>
        </w:tc>
      </w:tr>
    </w:tbl>
    <w:p>
      <w:pPr>
        <w:spacing w:after="160" w:before="0"/>
      </w:pPr>
    </w:p>
    <w:p>
      <w:pPr>
        <w:spacing w:after="100"/>
      </w:pPr>
      <w:r>
        <w:t xml:space="preserve">El DCF da 29,18 EUR por acción, un 0,1 % por debajo del precio, con el 70 % del valor en el terminal y un WACC del 7,93 %. El DCF inverso dice que el precio descuenta exactamente nuestro caso base: un crecimiento del 5,2 % anual en 2027e-2033e y un margen EBITDA del 20,6 %, con una rentabilidad implícita del 7,9 %, igual al WACC. No es exigente frente a la historia: el orgánico fue del 10,2 % en 2024, 6,5 % en 2025 y 5,7 % en 9M26 [5, 27], y el margen implícito es solo 1,2 puntos mayor que el recurrente de 2025 (19,4 %). Pero tampoco deja margen de seguridad: el precio paga el plan sin compras. La sensibilidad va de 24,54 a 35,88 EUR con ±0,5 puntos de WACC y de crecimiento terminal. Lo que haría corto el DCF es que las compras del «dos dígitos» rindan por encima del WACC, algo que no proyectamos; lo que lo haría largo, que el margen se estanque en el 16,6 % ajustado de 2026e.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Oriente Medio y la industria pesada se quedan planos, la salida de Servicios a Gobiernos y de petróleo deja costes sin absorber y la automatización baja precios en la inspección rutinaria: crecimiento orgánico del 3-4 % y margen un punto menor, como en 2015-2016 con el petróleo. BPA ajustado de 2028e de 1,51 EUR.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6 % en 2027-2028 con la cartera ya rotada, LotusWorks en año completo y el margen ajustado subiendo ≈20 pb al año hasta el 17,1 % en 2028e (consenso: 16,8 %), sin compras nuevas. BPA ajustado de 2028e de 1,68 EUR, casi el del consenso (1,72) [33].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centros de datos, las redes eléctricas y los servicios de IA crecen a dos dígitos y la mezcla sube el margen como prevé Citi (17,1 % en 2027) [38]: 1,5 puntos más de crecimiento y 0,6 más de margen. BPA ajustado de 2028e de 1,80 EUR.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29,2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28,45 EUR (-2,6 %).</w:t>
      </w:r>
    </w:p>
    <w:p>
      <w:pPr>
        <w:spacing w:after="100"/>
      </w:pPr>
      <w:r>
        <w:t xml:space="preserve">Con probabilidades 25/50/25, el bajista vale 21,94 EUR (−24,9 %) y el alcista 33,51 (+14,7 %): asimetría de 0,59 en el valor intrínseco, desfavorable. A 12 meses la regla común da 23,10 / 32,26 / 39,78 EUR (−17,8 % / +13,6 % / +39,3 %), con una asimetría de 1,73, porque el alcista se apoya en la mediana del PER de los comparables (22,1x) y el bajista en el menor entre el mínimo de cinco años (16,6x) y 0,8 veces el base (15,3x). El bajista es verosímil: BV ya vivió en 2015-2016 un orgánico negativo por el petróleo y en abril de 2026 rebajó la guía por Oriente Medio. La asimetría a 12 meses depende del múltiplo; la del valor intrínseco no compensa.</w:t>
      </w:r>
    </w:p>
    <w:p>
      <w:pPr>
        <w:pStyle w:val="Heading1"/>
      </w:pPr>
      <w:r>
        <w:t xml:space="preserve">22. Suma de partes</w:t>
      </w:r>
    </w:p>
    <w:p>
      <w:pPr>
        <w:pStyle w:val="Confianza"/>
        <w:spacing w:after="100"/>
      </w:pPr>
      <w:r>
        <w:t xml:space="preserve">Confianza: Media</w:t>
      </w:r>
    </w:p>
    <w:p>
      <w:pPr>
        <w:spacing w:after="100"/>
      </w:pPr>
      <w:r>
        <w:t xml:space="preserve">No aplica: tras la rotación las cuatro divisiones comparten red, técnicos y clientes, y la empresa solo publica su resultado desde el 3T26 [5]; no hay comparables puros con cifras homogéneas por división.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29,2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rPr>
          <w:b/>
          <w:bCs/>
        </w:rPr>
        <w:t xml:space="preserve">Valor intrínseco ponderado (largo plazo):</w:t>
      </w:r>
      <w:r>
        <w:t xml:space="preserve"> 29,72 EUR (+1,7 % sobre 29,21).</w:t>
      </w:r>
    </w:p>
    <w:p>
      <w:pPr>
        <w:spacing w:after="100"/>
      </w:pPr>
      <w:r>
        <w:t xml:space="preserve">Pesos: DCF 60, comparables 25 y escenarios 15; transacciones 0 (prima de control, sin oferta) y suma de partes 0 (divisiones sin historia separada). El DCF manda porque el negocio es estable y casi sin capital, y su valor depende de crecimiento y margen, que la guía y la historia acotan bien. Los comparables pesan 25 porque hay cuatro grandes cotizados con negocio parecido, aunque con más margen. Los métodos convergen alrededor del precio: DCF 29,18, EV/EBITDA de los próximos 12 meses 29,30 de mediana y PER 34,26 de mediana; el valor objetivo es 29,72 EUR (+1,7 %). Las transacciones (37,04 de mediana) muestran el valor de control.</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(18.8x) a mitad de camino hacia la mediana de 5 años (19.6x)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r>
    </w:tbl>
    <w:p>
      <w:pPr>
        <w:spacing w:after="160" w:before="0"/>
      </w:pPr>
    </w:p>
    <w:p>
      <w:pPr>
        <w:spacing w:after="100"/>
      </w:pPr>
      <w:r>
        <w:rPr>
          <w:b/>
          <w:bCs/>
        </w:rPr>
        <w:t xml:space="preserve">Objetivo a 12 meses (ponderado):</w:t>
      </w:r>
      <w:r>
        <w:t xml:space="preserve"> 31,85 EUR · rentabilidad +12,2 % (base +13,6 %) · señal Mantener.</w:t>
      </w:r>
    </w:p>
    <w:p>
      <w:pPr>
        <w:spacing w:after="100"/>
      </w:pPr>
      <w:r>
        <w:t xml:space="preserve">Para comparar, con la regla v2 (historia al cierre, mismo precio): 18,0x / 18,8x / 22,1x, 14,5 %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base coincide casi con el consenso de la empresa del nuevo perímetro: 1,39 frente a 1,39 en 2026e, 1,55 frente a 1,59 en 2027e (−2,5 %) y 1,68 frente a 1,72 en 2028e (−2,3 %) [33]; la diferencia es que no proyectamos compras (ventas de 7.070 frente a 7.155 M en 2028e), con un margen ajustado algo mayor (17,1 % frente a 16,8 %). MarketScreener (2-oct) daba un BPA contable de 1,36 en el perímetro antiguo y no es comparable [35]. Nuestro objetivo base (32,26 EUR) queda un 2,9 % por debajo del objetivo medio de los analistas (33,24 EUR, 17 analistas, 23-oct) [34], y el ponderado (31,85) un 4,2 % por debajo; los objetivos van de 28,50 a 37,00 EUR y han subido tras el día del inversor (JPMorgan 34, Barclays 32,2, Citi 31,54) [38].</w:t>
      </w:r>
    </w:p>
    <w:p>
      <w:pPr>
        <w:keepNext/>
        <w:spacing w:after="100"/>
      </w:pPr>
      <w:r>
        <w:rPr>
          <w:b/>
          <w:bCs/>
        </w:rPr>
        <w:t xml:space="preserve">Del valor intrínseco al objetivo a 12 meses.</w:t>
      </w:r>
    </w:p>
    <w:p>
      <w:pPr>
        <w:spacing w:after="100"/>
      </w:pPr>
      <w:r>
        <w:t xml:space="preserve">El objetivo a 12 meses ponderado (31,85 EUR, +12,2 % con el dividendo; base 32,26, +13,6 %) queda por encima del valor intrínseco (29,18 EUR por DCF; 29,72 de síntesis): el múltiplo de la regla (19,2x adelantado, a mitad de camino entre el actual de 18,8x y la mediana de cinco años de 19,6x) es más alto que el que implica nuestro DCF, porque el mercado paga históricamente el sector como defensivo. La señal es Mantener: la ponderada queda 2,8 puntos por debajo del umbral de compra (15 %) y el valor intrínseco no supera el precio, así que no habría Comprar ni con una ponderada mayor. La v2 de control da 14,5 % ponderada y 11,3 % base (también Mantener). La historia del PER y el BPA de los escenarios están en la misma base (BPA ajustado).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nuevo perímetro y caja; primera guía con la estructura nueva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 del 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Petróleo y Petroquímica y Carbón (EV 470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y redistribución en compras o recompras; quita la parte más cíclica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sin las actividades en salida en la base de comparación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LEAP | 28 con el apalancamiento de 1,5-2,0x</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«dos dígitos» del día del inversor depende de ellas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colocación de Wendel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oferta a corto plazo (descuento del 3-5 %); a largo plazo, más capital flotante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de capital privado (precedente de Intertek con un 62 % de prima)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 control; Wendel tiene la llave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Wendel (21,4 % del capital, 30,4 M de acciones vendidas a plazo hasta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 accionariado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temporal por colocación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la empresa en las colocaciones (2024) y más capital flotante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Wendel o colocación acelerada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automatización y la IA abaratan la inspección rutinaria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−20 %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BV usa la IA para productividad (110 pb de margen) y vende servicios de IA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medio y margen de Industria y de Certificación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Incidente de integridad o reputación (certificados, desviaciones de cumplimiento)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 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Detección interna y provisión de 32 M en 2026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provisiones o sanciones de reguladores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o mal integradas para llegar al «dos dígitos»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objetivo &gt;20 % en 2028 y pagos aplazados ligados a resultados (LotusWorks) [12,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pagados por encima de 15x EBITA o ROIC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venta de Petróleo y Carbón no se cierra o se cobra menos (autorizaciones)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−2 % (470 M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Firmada en junio; cierre previsto a final del 1T27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cierre más allá del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sin absorber por la salida de Servicios a Gobiernos y las actividades vendidas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32 M y programas de eficiencia [3,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del 2S26 por debajo del 16,6 %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Petróleo y Oriente Medio (Industria) y divisa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venta de Petróleo y Carbón reduce la exposición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 Industriales y Materias primas por debajo del 3 %</w:t>
            </w:r>
          </w:p>
        </w:tc>
      </w:tr>
    </w:tbl>
    <w:p>
      <w:pPr>
        <w:spacing w:after="160" w:before="0"/>
      </w:pPr>
    </w:p>
    <w:p>
      <w:pPr>
        <w:pStyle w:val="Heading2"/>
      </w:pPr>
      <w:r>
        <w:t xml:space="preserve">Pre-mortem</w:t>
      </w:r>
    </w:p>
    <w:p>
      <w:pPr>
        <w:spacing w:after="100"/>
      </w:pPr>
      <w:r>
        <w:t xml:space="preserve">Es octubre de 2029 y la acción vale un 40 % menos. La historia más probable empieza en 2027: con el apalancamiento elevado a 1,5-2,0x, la dirección compra caro para cumplir el «dos dígitos» del día del inversor, a 15-18 veces el EBITA, negocios de centros de datos y redes que crecían porque el ciclo de inversión en IA estaba en su punto alto. En 2028 la inversión en centros de datos se frena, las compras dejan de crecer y llegan los primeros deterioros de fondo de comercio. A la vez, la automatización de la inspección rutinaria (drones, sensores, IA de los propios clientes) baja precios en Industria y Certificación, y el orgánico cae al 2-3 %: el margen ajustado retrocede al 15 %. Wendel coloca el resto de su participación con descuento en 2028, tras liquidar la venta a plazo, y el PER vuelve al mínimo de cinco años (16,6x) sobre un BPA de 1,40 EUR: unos 23 EUR, y menos si el mercado deja de pagar el sector como defensivo. Indicadores que lo habrían anticipado: múltiplos pagados por encima de 15x EBITA, ROIC por debajo del 15 %, orgánico de Industriales y Certificación por debajo del 3 % durante dos trimestres y conversión de caja por debajo del 90 %.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−15 % a +5 % (bajista del DCF −24,9 %; alcista +14,7 %)</w:t>
      </w:r>
    </w:p>
    <w:p>
      <w:pPr>
        <w:spacing w:after="100"/>
      </w:pPr>
      <w:r>
        <w:t xml:space="preserve">La IA toca a la vez costes y ventas. Por costes, automatiza informes, planificación y parte de la inspección documental: la empresa ya atribuye 110 pb de margen a sus programas y espera hasta 180 pb [12], y en el foro se ve como palanca de productividad para 82.000 técnicos [39]. Por ventas, abre servicios nuevos (auditoría de algoritmos, ciberseguridad, integridad de datos) que la empresa quiere convertir en 1.000 M de ingresos en 2030 [12]. El riesgo es que clientes y competidores usen sensores, drones e IA para hacer ellos mismos la inspección rutinaria y bajar precios en Industria y Certificación. Señal: precio medio y orgánico de Certificación por debajo del 3 % o márgenes que no suben pese a la productividad.</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 [1]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 (riesgo insignificante) [1]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Oro (80/100) [1]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 [1]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84/100 (1 % superior de servicios profesionales) [1]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2025-08</w:t>
            </w:r>
          </w:p>
        </w:tc>
      </w:tr>
    </w:tbl>
    <w:p>
      <w:pPr>
        <w:spacing w:after="160" w:before="0"/>
      </w:pPr>
    </w:p>
    <w:p>
      <w:pPr>
        <w:pStyle w:val="Heading2"/>
      </w:pPr>
      <w:r>
        <w:t xml:space="preserve">Asuntos materiales</w:t>
      </w:r>
    </w:p>
    <w:p>
      <w:pPr>
        <w:spacing w:after="100"/>
      </w:pPr>
      <w:r>
        <w:t xml:space="preserve">Los dos asuntos que mueven las cifras son la integridad (un certificado falso o un incumplimiento destruye la marca: provisión de 32 M EUR en 2026 [3]) y la seguridad de los técnicos en plantas industriales y buques. La transición energética es riesgo (pierde la inspección de petróleo y carbón, que vende) y oportunidad (renovables, redes, verificación de emisiones).</w:t>
      </w:r>
    </w:p>
    <w:p>
      <w:pPr>
        <w:pStyle w:val="Heading2"/>
      </w:pPr>
      <w:r>
        <w:t xml:space="preserve">Controversias</w:t>
      </w:r>
    </w:p>
    <w:p>
      <w:pPr>
        <w:spacing w:after="100"/>
      </w:pPr>
      <w:r>
        <w:t xml:space="preserve">Desviaciones de cumplimiento detectadas internamente y provisión de 32 M EUR en el 1S26; salida de los contratos de Servicios a Gobiernos [3, 5]. No hemos encontrado sanciones de reguladores en los tres últimos años en lo buscado.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ajustado tiene el nuevo perímetro en el 2S26 y cuánto aportan las actividades en salida hasta su venta?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punto de partida del BPA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crecimiento por compras hay detrás del «dos dígitos» de 2027-2028 y a qué múltiplos?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proyectamos compras: es la diferencia con la guía.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Wendel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acuerdo de no venta (lock-up) vigente con Wendel o con BNP Paribas sobre las acciones a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riesgo de oferta de acciones.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110 pb de mejora de margen viene de la IA y cuánto queda hasta los 180 pb?</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margen del base y del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destinará el cobro de 470 M de la venta de Petróleo y Carbón a compras o a recompras, y con qué umbral de rentabilidad?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 en el puente como caja; mal invertido, resta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Cumplimiento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ha cerrado la revisión de las desviaciones de cumplimiento de abril?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reputacional en el único activo que vende la empresa.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BVI)</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 actividad («c'est le désert par ici»). Se comenta la venta de Petróleo y Carbón, que «la IA hará ganar mucho dinero» a BV por productividad de sus 82.000 empleados y que, con más de un 70 % de capital flotante y un PER «atractivo», podría ser objetivo de una OPA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(foro y notas de agencia)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hilo recoge las notas del día del inversor (bien acogidas), las subidas de recomendación de Barclays, JPMorgan y Citi y el 3T26 «a dos dígitos»; casi sin réplicas de lectores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y movimientos de fondos)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Oakmark International abre posición en el 2T26 y ClearBridge Global Value Improvers sale; las transcripciones del 2T, del día del inversor y del 3T son de pago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bursátil francesa (Boursedirect / AOF)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3T se lee como «tranquilizador» (Jefferies); RBC recuerda el lastre del sesgo francés y de la posible venta de más acciones de Wendel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amenaza o palanca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habla de 110 pb de margen ganados con sus programas de eficiencia y apunta a 1.000 M EUR de ingresos ligados a la IA en 2030 (nota A, día del inversor). El riesgo de que la automatización abarate la inspección rutinaria no aparece en el foro y sí en nuestros riesgos.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Posible OPA (capital privado)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 pagó un 62 % de prima por Intertek (nota D), pero Wendel controla el 34,6 % de los votos y no hay indicios de oferta; no entra en el caso base.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Wendel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de oferta más real: vende cada uno o dos años y tiene una venta a plazo que se liquida en marzo de 2028 (nota C). Lo tratamos en la regla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escaso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subió solo 2 céntimos (0,92 EUR) y la empresa prefiere recompras y compras; reparto del 65 % del beneficio ajustado (nota 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de cartera y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datos lo apoyan: 3T26 con +6,2 % orgánico y +10,1 % total; consenso de BPA de 2028 de 1,72 EUR en el nuevo perímetro (nota D).</w:t>
            </w:r>
          </w:p>
        </w:tc>
      </w:tr>
    </w:tbl>
    <w:p>
      <w:pPr>
        <w:spacing w:after="160" w:before="0"/>
      </w:pPr>
    </w:p>
    <w:p>
      <w:pPr>
        <w:spacing w:after="100"/>
      </w:pPr>
      <w:r>
        <w:t xml:space="preserve">El sentimiento ha pasado de la decepción de abril a un tono positivo, empujado por el día del inversor, tres subidas de recomendación y un 3T mejor de lo esperado. No hay euforia: el foro está casi vacío y la acción sigue por debajo de su máximo de cinco años. El tono va con la tesis y con el consenso (comprar). El único riesgo que los foros y la prensa ponen sobre la mesa y que pesa en la decisión, la venta de más acciones por Wendel, ya está en el análisis. Ninguna cifra del informe sale de estas fuentes.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42 (22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4,4 % en 2033e frente al 4,3 %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3,7 % frente a 3,7 % real: genera una variación de circulante de -8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0,13: el crecimiento no explica los múltiplos de estos comparables; no uses el valor de la regresión. Explicación: R² = 0,13 con cuatro comparables con EV/EBITDA de los próximos 12 meses: Intertek cotiza al precio de la OPA de EQT y Eurofins tiene un perfil distinto (farmacia, clínico). No se usa la regresión; se valora con la mediana del PER y del EV/EBITDA.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(historia de la segmentación nueva y resultado por división)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3T26 (solo ingresos trimestrales de 2025 y 2026 reexpresados); 2) informe semestral 2026 (resultado de 1S26 ilustrativo por división) y presentación del CMD (rangos de margen 2024-2025); 3) URD 2025 (segmentación antigua de seis negocios, no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2025 reexpresado, sin resultado; la serie antigua no se mezcla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(transcripción de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(solo vídeo); 2) Seeking Alpha (transcripción de pago, robots); 3) GuruFocus (solo la del 1S26, de pago tras la introducción)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Resumido con el comunicado, la presentación y la prensa (Jefferies, RBC)</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del mercado TIC (2019-2023)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el tamaño actual; 2) P&amp;S Market Research: 2024 y 2032; 3) MarketsandMarkets / Barchart: página vacía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2024-2032 de P&amp;S con años intermedios interpolados; sin TCAC histórico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y cuotas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solo los diez primeros, casi un 25 %; 2) consultoras: sin cuotas por empresa; 3) cálculo propio con ingresos de SGS, Eurofins, BV, DEKRA e Intertek sobre 150.000 M EUR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(CR5 ≈ 20 %, BV 4,3 %), marcada como tal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remuneración de la junta de 2026 (porcentajes)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(resultados de la junta): sin acta accesible; 2) Trivano: solo la aprobación; 3) Rendement Bourse: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Usamos los de 2025 del URD (los más bajos de las tres últimas juntas que hemos podido leer)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en contra sobre el capital libre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no da votos por accionista; 2) acta de 2025: no publicada en detalle; 3) cálculo: falta la asistencia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recomendaciones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la media (comprar) y 17 analistas; 2) Stock Analysis: «Buy» sin desglose gratuito; 3) TipRanks: línea estadounidense con 9 analistas, no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null; se da la recomendación media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consenso en el nuevo perímetro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Consenso de la empresa: solo beneficio operativo ajustado; 2) MarketScreener: EBITDA del perímetro antiguo (2-oct); 3) Stock Analysis: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 = beneficio operativo ajustado del consenso + amortizaciones sin intangibles de compras (3,74 % de las ventas) − reestructuración (0,58 %), ratios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de SGS, Intertek, Eurofins y ALS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lo da; 2) Stock Analysis: solo cotizadas en EE. UU. gratis; 3) cálculo con informes anuales: fuera del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foros alemanes con debate en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Stocktwits BVRDF: sin mensajes recientes; 2) Seeking Alpha: transcripciones y comentarios de pago o bloqueados; 3) ABC Bourse y Boursorama: leídos, con poca actividad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sitios en vez de cinco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3T26 (21-oct)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bloqueado (robots); 2) GuruFocus: de pago; 3) web de la empresa: solo la presentación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el comunicado, la presentación y la prensa (Boursedirect/AOF) [5, 6, 32]</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https://cdn3-group.bureauveritas.com/sites/g/files/zypfnx196/files/media/document/Bureau-Veritas_Universal_Registration_Document_2025_17.9-Mo.pdf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Full-year 2025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https://group.bureauveritas.com/sites/g/files/zypfnx196/files/media/document/BV_Press_Release_FY_2025_Results.pdf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https://group.bureauveritas.com/sites/g/files/zypfnx196/files/media/document/Press%20Release_H1_2026_Results.pdf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Half-Year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https://group.bureauveritas.com/sites/g/files/zypfnx196/files/media/document/2026_Half_Year_Financial_Report.pdf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Double digit total revenue growth in the third quarter of 2026 (ingresos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https://cdn3-group.bureauveritas.com/sites/g/files/zypfnx196/files/media/document/2026_10_21_PressRelease_Q3_2026-Revenue.pdf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2026 Revenue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https://group.bureauveritas.com/sites/g/files/zypfnx196/files/media/document/BureauVeritas_Q3_2026_Revenue_Presentation.pdf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2023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https://group.bureauveritas.com/sites/g/files/zypfnx196/files/media/document/BUREAUVERITAS_2024-02-22_Press-release_FY2023.pdf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2022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https://group.bureauveritas.com/sites/g/files/zypfnx196/files/media/document/20230223_Press%20Release_Full%20Year%202022.pdf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2021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https://group.bureauveritas.com/sites/g/files/zypfnx196/files/media/document/20220224_PR_Full-Year-2021_results.pdf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2020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https://group.bureauveritas.com/sites/g/files/zypfnx196/files/media/document/20210225_Press-Release_Full-year-2020-results.pdf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revenue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https://group.bureauveritas.com/sites/g/files/zypfnx196/files/media/document/BV_PR_Q1_2026_Revenue.pdf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https://cdn3-group.bureauveritas.com/sites/g/files/zypfnx196/files/media/document/2026-09-22_PressRelease_CMD_2026.pdf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acquires Lotusworks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https://group.bureauveritas.com/newsroom/bureau-veritas-acquires-lotusworks-reinforcing-its-position-in-data-centers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2025 revenue y H1 2025 results (comunicados)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https://group.bureauveritas.com/sites/g/files/zypfnx196/files/media/document/PR_Q3_2025_Revenue.pdf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Testing, Inspection and Certification Market Size and Share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P&amp;S Market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https://www.psmarketresearch.com/market-analysis/testing-inspection-certification-market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 2026 half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https://www.sgs.com/en/news/2026/07/sgs-2026-half-year-results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SGS SA: finances (2025 real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https://uk.marketscreener.com/quote/stock/SGS-SA-2956065/finances/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Intertek Group plc: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https://uk.marketscreener.com/quote/stock/INTERTEK-GROUP-PLC-4003872/finances/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Eurofins Scientific SE: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https://uk.marketscreener.com/quote/stock/EUROFINS-SCIENTIFIC-SE-4753/finances/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ALS Limited: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https://uk.marketscreener.com/quote/stock/ALS-LIMITED-11441934/finances/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Mistras Group (MG)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 Solutions (TIC)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https://stockanalysis.com/stocks/tic/statistics/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Intertek agrees 'attractive' £9.5 billion takeover offer from EQT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https://www.ajbell.co.uk/news/articles/intertek-agrees-attractive-ps95-billion-takeover-offer-eqt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TDR Capital e I Squared Capital: OPA sobre Applus (operación del primer semestre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Iberian Lawyer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https://iberianlawyer.com/transaction-of-the-first-half-of-2024/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23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https://www.ecb.europa.eu/stats/policy_and_exchange_rates/euro_reference_exchange_rates/html/index.en.html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Hinda Gharbi takes the helm at Bureau Veritas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Splash247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https://splash247.com/hinda-gharbi-takes-the-helm-at-bureau-veritas/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(presentación; histórico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https://group.bureauveritas.com/investors/capital-markets-day-2026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H1 2026 earnings call transcript (parte pública)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https://www.gurufocus.com/stock/XPAR:BVI/transcripts/8993219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BDIF: declaraciones de dirigentes de Bureau Veritas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https://bdif.amf-france.org/fr?typesInformation=DD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19 mai 2026: adoption de l'ensemble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 Trivano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https://www.trivano.com/persbericht/bureau-veritas-assemblee-generale-mixte-du-19-mai-2026-adoption-de-laposensemble-des-resolutions-proposees-731408.html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 colocación acelerada de unos 23 millones de acciones de Bureau Veritas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Wendel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https://www.wendelgroup.com/en/?p=25312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publication saluée en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Boursedirect / AOF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https://www.boursedirect.fr/fr/actualites/categorie/divers/bureau-veritas-publication-saluee-boursier-56fd77b1a593b9df1c0ec62d0af4112416180952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consensus (Q3 2026 revenue y FY 2026-2028, nuevo perímetro)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https://group.bureauveritas.com/investors/bureau-veritas-share/consensus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https://uk.marketscreener.com/quote/stock/BUREAU-VERITAS-SA-64670/consensus/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de Bureau Veritas, SGS, Intertek, Eurofins y 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https://uk.marketscreener.com/quote/stock/BUREAU-VERITAS-SA-64670/finances/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(EPA:BVI)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https://stockanalysis.com/quote/epa/BVI/forecast/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BVI.PA, ^FCHI y EXH4.DE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https://finance.yahoo.com/quote/BVI.PA/history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y noticias de Bureau Veritas (notas de AOF/Cercle Finance: Barclays, JPMorgan, Citi;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https://www.abcbourse.com/forums/msg1025639_bureau-veritas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Bureau Veritas (BVI)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https://www.boursorama.com/bourse/forum/1rPBVI/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Veritas SA: news and analysis (feed BVRDF)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https://seekingalpha.com/symbol/BVRDF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(23-oct-2026), serie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88,9 %</w:t>
      </w:r>
      <w:r>
        <w:t xml:space="preserve"> · Secciones con menos del 60 % de campos cubiertos: </w:t>
      </w:r>
      <w:r>
        <w:rPr>
          <w:b/>
          <w:bCs/>
        </w:rPr>
        <w:t xml:space="preserve">ninguna</w:t>
      </w:r>
      <w:r>
        <w:t xml:space="preserve"> · Generado el 26 oct 2026.</w:t>
      </w:r>
    </w:p>
    <w:p>
      <w:pPr>
        <w:pStyle w:val="Nota"/>
        <w:spacing w:after="100"/>
      </w:pPr>
      <w:r>
        <w:t xml:space="preserve">Cotiza en Euronext París en EUR y publica en EUR: tipo 1. Cuentas 2019-2025 del XBRL ESEF del grupo (herramientas/cuentas.mjs) comprobadas y completadas con el URD 2025 y los comunicados anuales [1, 2, 7, 8, 9, 10]: compras y cargas externas, gastos financieros, capex, pagos de arrendamientos, recompras y acciones diluidas (2019-2023 estimadas como básicas + 3,5 M). </w:t>
      </w:r>
      <w:r>
        <w:rPr>
          <w:b/>
        </w:rPr>
        <w:t xml:space="preserve">Cambio de perímetro (NIIF 5) desde el 3T26:</w:t>
      </w:r>
      <w:r>
        <w:t xml:space="preserve"> Petróleo y Petroquímica, Carbón (venta pactada, EV 470 M) y Servicios a Gobiernos son «actividades en salida»; la empresa reexpresa 2025 a 5.830,3 M de ingresos [5]. El motor parte de 2025 publicado (6.466,4 M, con esas actividades) y 2026e ya está en el nuevo perímetro (≈ 6.180 M): el −4,4 % de 2026e es de perímetro, no de negocio; el cobro de 470 M va al puente. La historia por divisiones solo existe para 2025 con la estructura nueva [1, 5]. Los ingresos del 3T26 no traen cuentas: el balance es el del 30-jun-2026 [3, 4]. Precio: cierre del 23-oct-2026 (la sesión del 26-oct no había cerrado al calcular) [37].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Bureau Veritas SA (BVI)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29,21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(24,58 – 30,18)</c:v>
                </c:pt>
                <c:pt idx="1">
                  <c:v>Precio objetivo de los analistas (28,50 – 37,00)</c:v>
                </c:pt>
                <c:pt idx="2">
                  <c:v>Comparables: EV/EBITDA NTM (27,68 – 30,56)</c:v>
                </c:pt>
                <c:pt idx="3">
                  <c:v>Comparables: PER NTM (30,03 – 36,28)</c:v>
                </c:pt>
                <c:pt idx="4">
                  <c:v>Transacciones precedentes (EV/ventas) (23,68 – 39,61)</c:v>
                </c:pt>
                <c:pt idx="5">
                  <c:v>DCF (WACC y g ± 0,5) (24,54 – 35,88)</c:v>
                </c:pt>
                <c:pt idx="6">
                  <c:v>Escenarios (bajista – alcista) (21,94 – 33,51)</c:v>
                </c:pt>
                <c:pt idx="7">
                  <c:v>DCF con la prima implícita del mercado (4,2 %)</c:v>
                </c:pt>
                <c:pt idx="8">
                  <c:v>Precio actual (29,21)</c:v>
                </c:pt>
              </c:strCache>
            </c:strRef>
          </c:cat>
          <c:val>
            <c:numRef>
              <c:f>Hoja1!$B$2:$B$10</c:f>
              <c:numCache>
                <c:formatCode>#,##0.0</c:formatCode>
                <c:ptCount val="9"/>
                <c:pt idx="0">
                  <c:v>24.58</c:v>
                </c:pt>
                <c:pt idx="1">
                  <c:v>28.5</c:v>
                </c:pt>
                <c:pt idx="2">
                  <c:v>27.68</c:v>
                </c:pt>
                <c:pt idx="3">
                  <c:v>30.03</c:v>
                </c:pt>
                <c:pt idx="4">
                  <c:v>23.68</c:v>
                </c:pt>
                <c:pt idx="5">
                  <c:v>24.54</c:v>
                </c:pt>
                <c:pt idx="6">
                  <c:v>21.94</c:v>
                </c:pt>
                <c:pt idx="7">
                  <c:v>33.39</c:v>
                </c:pt>
                <c:pt idx="8">
                  <c:v>29.06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(24,58 – 30,18)</c:v>
                </c:pt>
                <c:pt idx="1">
                  <c:v>Precio objetivo de los analistas (28,50 – 37,00)</c:v>
                </c:pt>
                <c:pt idx="2">
                  <c:v>Comparables: EV/EBITDA NTM (27,68 – 30,56)</c:v>
                </c:pt>
                <c:pt idx="3">
                  <c:v>Comparables: PER NTM (30,03 – 36,28)</c:v>
                </c:pt>
                <c:pt idx="4">
                  <c:v>Transacciones precedentes (EV/ventas) (23,68 – 39,61)</c:v>
                </c:pt>
                <c:pt idx="5">
                  <c:v>DCF (WACC y g ± 0,5) (24,54 – 35,88)</c:v>
                </c:pt>
                <c:pt idx="6">
                  <c:v>Escenarios (bajista – alcista) (21,94 – 33,51)</c:v>
                </c:pt>
                <c:pt idx="7">
                  <c:v>DCF con la prima implícita del mercado (4,2 %)</c:v>
                </c:pt>
                <c:pt idx="8">
                  <c:v>Precio actual (29,21)</c:v>
                </c:pt>
              </c:strCache>
            </c:strRef>
          </c:cat>
          <c:val>
            <c:numRef>
              <c:f>Hoja1!$C$2:$C$10</c:f>
              <c:numCache>
                <c:formatCode>#,##0.0</c:formatCode>
                <c:ptCount val="9"/>
                <c:pt idx="0">
                  <c:v>5.600000000000001</c:v>
                </c:pt>
                <c:pt idx="1">
                  <c:v>8.5</c:v>
                </c:pt>
                <c:pt idx="2">
                  <c:v>2.879999999999999</c:v>
                </c:pt>
                <c:pt idx="3">
                  <c:v>6.25</c:v>
                </c:pt>
                <c:pt idx="4">
                  <c:v>15.93</c:v>
                </c:pt>
                <c:pt idx="5">
                  <c:v>11.340000000000003</c:v>
                </c:pt>
                <c:pt idx="6">
                  <c:v>11.569999999999997</c:v>
                </c:pt>
                <c:pt idx="7">
                  <c:v>10.079999999999998</c:v>
                </c:pt>
                <c:pt idx="8">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Industrials &amp; Commodities</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2225.2</c:v>
                </c:pt>
              </c:numCache>
            </c:numRef>
          </c:val>
        </c:ser>
        <c:ser>
          <c:idx val="1"/>
          <c:order val="1"/>
          <c:tx>
            <c:strRef>
              <c:f>Hoja1!$C$1</c:f>
              <c:strCache>
                <c:ptCount val="1"/>
                <c:pt idx="0">
                  <c:v>Buildings &amp; Infrastructure</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1995.7</c:v>
                </c:pt>
              </c:numCache>
            </c:numRef>
          </c:val>
        </c:ser>
        <c:ser>
          <c:idx val="2"/>
          <c:order val="2"/>
          <c:tx>
            <c:strRef>
              <c:f>Hoja1!$D$1</c:f>
              <c:strCache>
                <c:ptCount val="1"/>
                <c:pt idx="0">
                  <c:v>Business Assurance</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571.7</c:v>
                </c:pt>
              </c:numCache>
            </c:numRef>
          </c:val>
        </c:ser>
        <c:ser>
          <c:idx val="3"/>
          <c:order val="3"/>
          <c:tx>
            <c:strRef>
              <c:f>Hoja1!$E$1</c:f>
              <c:strCache>
                <c:ptCount val="1"/>
                <c:pt idx="0">
                  <c:v>Product Testing &amp; Services</c:v>
                </c:pt>
              </c:strCache>
            </c:strRef>
          </c:tx>
          <c:spPr>
            <a:solidFill>
              <a:srgbClr val="EDA100"/>
            </a:solidFill>
            <a:ln w="12700">
              <a:solidFill>
                <a:srgbClr val="FFFFFF"/>
              </a:solidFill>
            </a:ln>
          </c:spPr>
          <c:invertIfNegative val="0"/>
          <c:cat>
            <c:strRef>
              <c:f>Hoja1!$A$2</c:f>
              <c:strCache>
                <c:ptCount val="1"/>
                <c:pt idx="0">
                  <c:v>2025</c:v>
                </c:pt>
              </c:strCache>
            </c:strRef>
          </c:cat>
          <c:val>
            <c:numRef>
              <c:f>Hoja1!$E$2</c:f>
              <c:numCache>
                <c:formatCode>#,##0</c:formatCode>
                <c:ptCount val="1"/>
                <c:pt idx="0">
                  <c:v>1037.7</c:v>
                </c:pt>
              </c:numCache>
            </c:numRef>
          </c:val>
        </c:ser>
        <c:ser>
          <c:idx val="4"/>
          <c:order val="4"/>
          <c:tx>
            <c:strRef>
              <c:f>Hoja1!$F$1</c:f>
              <c:strCache>
                <c:ptCount val="1"/>
                <c:pt idx="0">
                  <c:v>Actividades en salida (NIIF 5)</c:v>
                </c:pt>
              </c:strCache>
            </c:strRef>
          </c:tx>
          <c:spPr>
            <a:solidFill>
              <a:srgbClr val="E87BA4"/>
            </a:solidFill>
            <a:ln w="12700">
              <a:solidFill>
                <a:srgbClr val="FFFFFF"/>
              </a:solidFill>
            </a:ln>
          </c:spPr>
          <c:invertIfNegative val="0"/>
          <c:cat>
            <c:strRef>
              <c:f>Hoja1!$A$2</c:f>
              <c:strCache>
                <c:ptCount val="1"/>
                <c:pt idx="0">
                  <c:v>2025</c:v>
                </c:pt>
              </c:strCache>
            </c:strRef>
          </c:cat>
          <c:val>
            <c:numRef>
              <c:f>Hoja1!$F$2</c:f>
              <c:numCache>
                <c:formatCode>#,##0</c:formatCode>
                <c:ptCount val="1"/>
                <c:pt idx="0">
                  <c:v>636.1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Industrials &amp; Commodities</c:v>
                </c:pt>
                <c:pt idx="1">
                  <c:v>Buildings &amp; Infrastructure</c:v>
                </c:pt>
                <c:pt idx="2">
                  <c:v>Business Assurance</c:v>
                </c:pt>
                <c:pt idx="3">
                  <c:v>Product Testing &amp; Services</c:v>
                </c:pt>
                <c:pt idx="4">
                  <c:v>Actividades en salida (NIIF 5)</c:v>
                </c:pt>
              </c:strCache>
            </c:strRef>
          </c:cat>
          <c:val>
            <c:numRef>
              <c:f>Hoja1!$B$2:$B$6</c:f>
              <c:numCache>
                <c:formatCode>General</c:formatCode>
                <c:ptCount val="5"/>
                <c:pt idx="0">
                  <c:v>34.4</c:v>
                </c:pt>
                <c:pt idx="1">
                  <c:v>30.9</c:v>
                </c:pt>
                <c:pt idx="2">
                  <c:v>8.8</c:v>
                </c:pt>
                <c:pt idx="3">
                  <c:v>16</c:v>
                </c:pt>
                <c:pt idx="4">
                  <c:v>9.8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c:v>
                </c:pt>
                <c:pt idx="1">
                  <c:v>Asia-Pacífico</c:v>
                </c:pt>
                <c:pt idx="2">
                  <c:v>América</c:v>
                </c:pt>
                <c:pt idx="3">
                  <c:v>Oriente Medio y África</c:v>
                </c:pt>
              </c:strCache>
            </c:strRef>
          </c:cat>
          <c:val>
            <c:numRef>
              <c:f>Hoja1!$B$2:$B$5</c:f>
              <c:numCache>
                <c:formatCode>0"%"</c:formatCode>
                <c:ptCount val="4"/>
                <c:pt idx="0">
                  <c:v>36</c:v>
                </c:pt>
                <c:pt idx="1">
                  <c:v>29</c:v>
                </c:pt>
                <c:pt idx="2">
                  <c:v>25</c:v>
                </c:pt>
                <c:pt idx="3">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(mercado total TIC, P&amp;S Market Research; años intermedios interpolados al 3,6 %))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2024</c:v>
                </c:pt>
                <c:pt idx="1">
                  <c:v>2025e</c:v>
                </c:pt>
                <c:pt idx="2">
                  <c:v>2026e</c:v>
                </c:pt>
                <c:pt idx="3">
                  <c:v>2027e</c:v>
                </c:pt>
                <c:pt idx="4">
                  <c:v>2028e</c:v>
                </c:pt>
                <c:pt idx="5">
                  <c:v>2030e</c:v>
                </c:pt>
                <c:pt idx="6">
                  <c:v>2032e</c:v>
                </c:pt>
              </c:strCache>
            </c:strRef>
          </c:cat>
          <c:val>
            <c:numRef>
              <c:f>Hoja1!$B$2:$B$8</c:f>
              <c:numCache>
                <c:formatCode>#,##0</c:formatCode>
                <c:ptCount val="7"/>
                <c:pt idx="0">
                  <c:v>234.9</c:v>
                </c:pt>
                <c:pt idx="1">
                  <c:v>241.2</c:v>
                </c:pt>
                <c:pt idx="2">
                  <c:v>249.9</c:v>
                </c:pt>
                <c:pt idx="3">
                  <c:v>258.9</c:v>
                </c:pt>
                <c:pt idx="4">
                  <c:v>268.2</c:v>
                </c:pt>
                <c:pt idx="5">
                  <c:v>287.9</c:v>
                </c:pt>
                <c:pt idx="6">
                  <c:v>308.1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Bureau Veritas</c:v>
                </c:pt>
                <c:pt idx="1">
                  <c:v>SGS</c:v>
                </c:pt>
                <c:pt idx="2">
                  <c:v>Eurofins Scientific</c:v>
                </c:pt>
                <c:pt idx="3">
                  <c:v>Intertek</c:v>
                </c:pt>
                <c:pt idx="4">
                  <c:v>ALS</c:v>
                </c:pt>
                <c:pt idx="5">
                  <c:v>Mistras Group</c:v>
                </c:pt>
                <c:pt idx="6">
                  <c:v>TIC Solutions (antes Acuren)</c:v>
                </c:pt>
                <c:pt idx="7">
                  <c:v>Applus+</c:v>
                </c:pt>
              </c:strCache>
            </c:strRef>
          </c:cat>
          <c:val>
            <c:numRef>
              <c:f>Hoja1!$B$2:$B$9</c:f>
              <c:numCache>
                <c:formatCode>0.0"%"</c:formatCode>
                <c:ptCount val="8"/>
                <c:pt idx="0">
                  <c:v>14.8</c:v>
                </c:pt>
                <c:pt idx="1">
                  <c:v>16</c:v>
                </c:pt>
                <c:pt idx="2">
                  <c:v>14.8</c:v>
                </c:pt>
                <c:pt idx="3">
                  <c:v>18.1</c:v>
                </c:pt>
                <c:pt idx="4">
                  <c:v>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5099.7</c:v>
                </c:pt>
                <c:pt idx="1">
                  <c:v>4601</c:v>
                </c:pt>
                <c:pt idx="2">
                  <c:v>4981.1</c:v>
                </c:pt>
                <c:pt idx="3">
                  <c:v>5650.6</c:v>
                </c:pt>
                <c:pt idx="4">
                  <c:v>5867.8</c:v>
                </c:pt>
                <c:pt idx="5">
                  <c:v>6240.9</c:v>
                </c:pt>
                <c:pt idx="6">
                  <c:v>6466.4</c:v>
                </c:pt>
                <c:pt idx="7">
                  <c:v>6182</c:v>
                </c:pt>
                <c:pt idx="8">
                  <c:v>6670</c:v>
                </c:pt>
                <c:pt idx="9">
                  <c:v>7070</c:v>
                </c:pt>
                <c:pt idx="10">
                  <c:v>7459</c:v>
                </c:pt>
                <c:pt idx="11">
                  <c:v>7832</c:v>
                </c:pt>
                <c:pt idx="12">
                  <c:v>8185</c:v>
                </c:pt>
                <c:pt idx="13">
                  <c:v>8512</c:v>
                </c:pt>
                <c:pt idx="14">
                  <c:v>8810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1032.6</c:v>
                </c:pt>
                <c:pt idx="1">
                  <c:v>784</c:v>
                </c:pt>
                <c:pt idx="2">
                  <c:v>1001.1</c:v>
                </c:pt>
                <c:pt idx="3">
                  <c:v>1092.1000000000001</c:v>
                </c:pt>
                <c:pt idx="4">
                  <c:v>1112.2</c:v>
                </c:pt>
                <c:pt idx="5">
                  <c:v>1217.8999999999999</c:v>
                </c:pt>
                <c:pt idx="6">
                  <c:v>1257.2</c:v>
                </c:pt>
                <c:pt idx="7">
                  <c:v>1224</c:v>
                </c:pt>
                <c:pt idx="8">
                  <c:v>1334</c:v>
                </c:pt>
                <c:pt idx="9">
                  <c:v>1428</c:v>
                </c:pt>
                <c:pt idx="10">
                  <c:v>1522</c:v>
                </c:pt>
                <c:pt idx="11">
                  <c:v>1606</c:v>
                </c:pt>
                <c:pt idx="12">
                  <c:v>1686</c:v>
                </c:pt>
                <c:pt idx="13">
                  <c:v>1754</c:v>
                </c:pt>
                <c:pt idx="14">
                  <c:v>1815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71.8</c:v>
                </c:pt>
                <c:pt idx="1">
                  <c:v>70.7</c:v>
                </c:pt>
                <c:pt idx="2">
                  <c:v>72</c:v>
                </c:pt>
                <c:pt idx="3">
                  <c:v>71.3</c:v>
                </c:pt>
                <c:pt idx="4">
                  <c:v>72</c:v>
                </c:pt>
                <c:pt idx="5">
                  <c:v>68.9</c:v>
                </c:pt>
                <c:pt idx="6">
                  <c:v>68.9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20.2</c:v>
                </c:pt>
                <c:pt idx="1">
                  <c:v>17</c:v>
                </c:pt>
                <c:pt idx="2">
                  <c:v>20.1</c:v>
                </c:pt>
                <c:pt idx="3">
                  <c:v>19.3</c:v>
                </c:pt>
                <c:pt idx="4">
                  <c:v>19</c:v>
                </c:pt>
                <c:pt idx="5">
                  <c:v>19.5</c:v>
                </c:pt>
                <c:pt idx="6">
                  <c:v>19.4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14.3</c:v>
                </c:pt>
                <c:pt idx="1">
                  <c:v>9.2</c:v>
                </c:pt>
                <c:pt idx="2">
                  <c:v>14.6</c:v>
                </c:pt>
                <c:pt idx="3">
                  <c:v>14.1</c:v>
                </c:pt>
                <c:pt idx="4">
                  <c:v>14</c:v>
                </c:pt>
                <c:pt idx="5">
                  <c:v>15</c:v>
                </c:pt>
                <c:pt idx="6">
                  <c:v>14.8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7.2</c:v>
                </c:pt>
                <c:pt idx="1">
                  <c:v>2.7</c:v>
                </c:pt>
                <c:pt idx="2">
                  <c:v>8.4</c:v>
                </c:pt>
                <c:pt idx="3">
                  <c:v>8.3</c:v>
                </c:pt>
                <c:pt idx="4">
                  <c:v>8.6</c:v>
                </c:pt>
                <c:pt idx="5">
                  <c:v>9.1</c:v>
                </c:pt>
                <c:pt idx="6">
                  <c:v>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0">
                  <c:v>8.3</c:v>
                </c:pt>
                <c:pt idx="1">
                  <c:v>3.3</c:v>
                </c:pt>
                <c:pt idx="2">
                  <c:v>2.3</c:v>
                </c:pt>
                <c:pt idx="3">
                  <c:v>1.1</c:v>
                </c:pt>
                <c:pt idx="4">
                  <c:v>-0.8</c:v>
                </c:pt>
                <c:pt idx="5">
                  <c:v>4.7</c:v>
                </c:pt>
                <c:pt idx="6">
                  <c:v>10.1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Hoja1!$C$2:$C$8</c:f>
              <c:numCache>
                <c:formatCode>0.0"%"</c:formatCode>
                <c:ptCount val="7"/>
                <c:pt idx="1">
                  <c:v>6.2</c:v>
                </c:pt>
                <c:pt idx="2">
                  <c:v>6.3</c:v>
                </c:pt>
                <c:pt idx="3">
                  <c:v>6.3</c:v>
                </c:pt>
                <c:pt idx="4">
                  <c:v>4.5</c:v>
                </c:pt>
                <c:pt idx="5">
                  <c:v>5.5</c:v>
                </c:pt>
                <c:pt idx="6">
                  <c:v>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109</c:v>
                </c:pt>
                <c:pt idx="1">
                  <c:v>106</c:v>
                </c:pt>
                <c:pt idx="2">
                  <c:v>110</c:v>
                </c:pt>
                <c:pt idx="3">
                  <c:v>100</c:v>
                </c:pt>
                <c:pt idx="4">
                  <c:v>99</c:v>
                </c:pt>
                <c:pt idx="5">
                  <c:v>96</c:v>
                </c:pt>
                <c:pt idx="6">
                  <c:v>91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99</c:v>
                </c:pt>
                <c:pt idx="1">
                  <c:v>104</c:v>
                </c:pt>
                <c:pt idx="2">
                  <c:v>117</c:v>
                </c:pt>
                <c:pt idx="3">
                  <c:v>101</c:v>
                </c:pt>
                <c:pt idx="4">
                  <c:v>98</c:v>
                </c:pt>
                <c:pt idx="5">
                  <c:v>101</c:v>
                </c:pt>
                <c:pt idx="6">
                  <c:v>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503.7</c:v>
                </c:pt>
                <c:pt idx="1">
                  <c:v>505</c:v>
                </c:pt>
                <c:pt idx="2">
                  <c:v>474.7000000000001</c:v>
                </c:pt>
                <c:pt idx="3">
                  <c:v>513.3</c:v>
                </c:pt>
                <c:pt idx="4">
                  <c:v>503.1</c:v>
                </c:pt>
                <c:pt idx="5">
                  <c:v>687.3</c:v>
                </c:pt>
                <c:pt idx="6">
                  <c:v>661.2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367.9</c:v>
                </c:pt>
                <c:pt idx="1">
                  <c:v>125.3</c:v>
                </c:pt>
                <c:pt idx="2">
                  <c:v>420.9</c:v>
                </c:pt>
                <c:pt idx="3">
                  <c:v>466.7</c:v>
                </c:pt>
                <c:pt idx="4">
                  <c:v>503.7</c:v>
                </c:pt>
                <c:pt idx="5">
                  <c:v>569.4</c:v>
                </c:pt>
                <c:pt idx="6">
                  <c:v>588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13.3</c:v>
                </c:pt>
                <c:pt idx="1">
                  <c:v>7.7</c:v>
                </c:pt>
                <c:pt idx="2">
                  <c:v>16.2</c:v>
                </c:pt>
                <c:pt idx="3">
                  <c:v>16.5</c:v>
                </c:pt>
                <c:pt idx="4">
                  <c:v>16.8</c:v>
                </c:pt>
                <c:pt idx="5">
                  <c:v>18.1</c:v>
                </c:pt>
                <c:pt idx="6">
                  <c:v>18.6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7.9</c:v>
                </c:pt>
                <c:pt idx="1">
                  <c:v>7.9</c:v>
                </c:pt>
                <c:pt idx="2">
                  <c:v>7.9</c:v>
                </c:pt>
                <c:pt idx="3">
                  <c:v>7.9</c:v>
                </c:pt>
                <c:pt idx="4">
                  <c:v>7.9</c:v>
                </c:pt>
                <c:pt idx="5">
                  <c:v>7.9</c:v>
                </c:pt>
                <c:pt idx="6">
                  <c:v>7.9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29.1</c:v>
                </c:pt>
                <c:pt idx="1">
                  <c:v>10</c:v>
                </c:pt>
                <c:pt idx="2">
                  <c:v>29.3</c:v>
                </c:pt>
                <c:pt idx="3">
                  <c:v>26.7</c:v>
                </c:pt>
                <c:pt idx="4">
                  <c:v>26.5</c:v>
                </c:pt>
                <c:pt idx="5">
                  <c:v>29.1</c:v>
                </c:pt>
                <c:pt idx="6">
                  <c:v>31.9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2.16</c:v>
                </c:pt>
                <c:pt idx="1">
                  <c:v>2.23</c:v>
                </c:pt>
                <c:pt idx="2">
                  <c:v>1.47</c:v>
                </c:pt>
                <c:pt idx="3">
                  <c:v>1.27</c:v>
                </c:pt>
                <c:pt idx="4">
                  <c:v>1.23</c:v>
                </c:pt>
                <c:pt idx="5">
                  <c:v>1.37</c:v>
                </c:pt>
                <c:pt idx="6">
                  <c:v>1.37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2027</c:v>
                </c:pt>
                <c:pt idx="1">
                  <c:v>2028-2030</c:v>
                </c:pt>
                <c:pt idx="2">
                  <c:v>2031</c:v>
                </c:pt>
                <c:pt idx="3">
                  <c:v>2032</c:v>
                </c:pt>
                <c:pt idx="4">
                  <c:v>2033</c:v>
                </c:pt>
                <c:pt idx="5">
                  <c:v>2034</c:v>
                </c:pt>
                <c:pt idx="6">
                  <c:v>2036</c:v>
                </c:pt>
              </c:strCache>
            </c:strRef>
          </c:cat>
          <c:val>
            <c:numRef>
              <c:f>Hoja1!$B$2:$B$8</c:f>
              <c:numCache>
                <c:formatCode>#,##0</c:formatCode>
                <c:ptCount val="7"/>
                <c:pt idx="0">
                  <c:v>500</c:v>
                </c:pt>
                <c:pt idx="1">
                  <c:v>0</c:v>
                </c:pt>
                <c:pt idx="2">
                  <c:v>500</c:v>
                </c:pt>
                <c:pt idx="3">
                  <c:v>200</c:v>
                </c:pt>
                <c:pt idx="4">
                  <c:v>700</c:v>
                </c:pt>
                <c:pt idx="5">
                  <c:v>700</c:v>
                </c:pt>
                <c:pt idx="6">
                  <c:v>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69.9</c:v>
                </c:pt>
                <c:pt idx="1">
                  <c:v>20.8</c:v>
                </c:pt>
                <c:pt idx="2">
                  <c:v>58.4</c:v>
                </c:pt>
                <c:pt idx="3">
                  <c:v>76.6</c:v>
                </c:pt>
                <c:pt idx="4">
                  <c:v>58.9</c:v>
                </c:pt>
                <c:pt idx="5">
                  <c:v>313.9</c:v>
                </c:pt>
                <c:pt idx="6">
                  <c:v>126.2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97.3</c:v>
                </c:pt>
                <c:pt idx="1">
                  <c:v>31.8</c:v>
                </c:pt>
                <c:pt idx="2">
                  <c:v>186.1</c:v>
                </c:pt>
                <c:pt idx="3">
                  <c:v>280.9</c:v>
                </c:pt>
                <c:pt idx="4">
                  <c:v>396.3</c:v>
                </c:pt>
                <c:pt idx="5">
                  <c:v>406.9</c:v>
                </c:pt>
                <c:pt idx="6">
                  <c:v>430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0</c:v>
                </c:pt>
                <c:pt idx="3">
                  <c:v>49.8</c:v>
                </c:pt>
                <c:pt idx="4">
                  <c:v>1.9</c:v>
                </c:pt>
                <c:pt idx="5">
                  <c:v>191.8</c:v>
                </c:pt>
                <c:pt idx="6">
                  <c:v>190.7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4</c:v>
                </c:pt>
                <c:pt idx="1">
                  <c:v>7</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Wendel</c:v>
                </c:pt>
                <c:pt idx="1">
                  <c:v>BlackRock</c:v>
                </c:pt>
                <c:pt idx="2">
                  <c:v>Autocartera</c:v>
                </c:pt>
                <c:pt idx="3">
                  <c:v>Bpifrance</c:v>
                </c:pt>
              </c:strCache>
            </c:strRef>
          </c:cat>
          <c:val>
            <c:numRef>
              <c:f>Hoja1!$B$2:$B$5</c:f>
              <c:numCache>
                <c:formatCode>0.0"%"</c:formatCode>
                <c:ptCount val="4"/>
                <c:pt idx="0">
                  <c:v>21.37</c:v>
                </c:pt>
                <c:pt idx="1">
                  <c:v>5.73</c:v>
                </c:pt>
                <c:pt idx="2">
                  <c:v>2.24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c:v>
                </c:pt>
                <c:pt idx="1">
                  <c:v>23.8</c:v>
                </c:pt>
                <c:pt idx="2">
                  <c:v>-21.9</c:v>
                </c:pt>
                <c:pt idx="3">
                  <c:v>30.7</c:v>
                </c:pt>
                <c:pt idx="4">
                  <c:v>-6.4</c:v>
                </c:pt>
                <c:pt idx="5">
                  <c:v>34.1</c:v>
                </c:pt>
                <c:pt idx="6">
                  <c:v>-15.7</c:v>
                </c:pt>
                <c:pt idx="7">
                  <c:v>-7.1</c:v>
                </c:pt>
                <c:pt idx="8">
                  <c:v>28.3</c:v>
                </c:pt>
                <c:pt idx="9">
                  <c:v>-7.4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12.3</c:v>
                </c:pt>
                <c:pt idx="1">
                  <c:v>14.8</c:v>
                </c:pt>
                <c:pt idx="2">
                  <c:v>14.8</c:v>
                </c:pt>
                <c:pt idx="3">
                  <c:v>11.6</c:v>
                </c:pt>
                <c:pt idx="4">
                  <c:v>10.7</c:v>
                </c:pt>
                <c:pt idx="5">
                  <c:v>12.4</c:v>
                </c:pt>
                <c:pt idx="6">
                  <c:v>11.1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12</c:v>
                </c:pt>
                <c:pt idx="1">
                  <c:v>12</c:v>
                </c:pt>
                <c:pt idx="2">
                  <c:v>12</c:v>
                </c:pt>
                <c:pt idx="3">
                  <c:v>12</c:v>
                </c:pt>
                <c:pt idx="4">
                  <c:v>12</c:v>
                </c:pt>
                <c:pt idx="5">
                  <c:v>12</c:v>
                </c:pt>
                <c:pt idx="6">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Bureau Veritas</c:v>
                </c:pt>
                <c:pt idx="1">
                  <c:v>SGS</c:v>
                </c:pt>
                <c:pt idx="2">
                  <c:v>Intertek</c:v>
                </c:pt>
                <c:pt idx="3">
                  <c:v>Eurofins Scientific</c:v>
                </c:pt>
                <c:pt idx="4">
                  <c:v>ALS</c:v>
                </c:pt>
                <c:pt idx="5">
                  <c:v>Mistras Group</c:v>
                </c:pt>
                <c:pt idx="6">
                  <c:v>TIC Solutions</c:v>
                </c:pt>
              </c:strCache>
            </c:strRef>
          </c:cat>
          <c:val>
            <c:numRef>
              <c:f>Hoja1!$B$2:$B$8</c:f>
              <c:numCache>
                <c:formatCode>0.0"x"</c:formatCode>
                <c:ptCount val="7"/>
                <c:pt idx="0">
                  <c:v>11.6</c:v>
                </c:pt>
                <c:pt idx="1">
                  <c:v>13</c:v>
                </c:pt>
                <c:pt idx="2">
                  <c:v>11.7</c:v>
                </c:pt>
                <c:pt idx="3">
                  <c:v>9.7</c:v>
                </c:pt>
                <c:pt idx="4">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Bureau Veritas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c:v>
                </c:pt>
              </c:numCache>
            </c:numRef>
          </c:xVal>
          <c:yVal>
            <c:numRef>
              <c:f>Hoja1!$C$2</c:f>
              <c:numCache>
                <c:formatCode>0.0"x"</c:formatCode>
                <c:ptCount val="1"/>
                <c:pt idx="0">
                  <c:v>11.6</c:v>
                </c:pt>
              </c:numCache>
            </c:numRef>
          </c:yVal>
          <c:smooth val="0"/>
        </c:ser>
        <c:ser>
          <c:idx val="1"/>
          <c:order val="1"/>
          <c:tx>
            <c:strRef>
              <c:f>Hoja1!$A$3</c:f>
              <c:strCache>
                <c:ptCount val="1"/>
                <c:pt idx="0">
                  <c:v>SGS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c:v>
                </c:pt>
              </c:numCache>
            </c:numRef>
          </c:xVal>
          <c:yVal>
            <c:numRef>
              <c:f>Hoja1!$C$3</c:f>
              <c:numCache>
                <c:formatCode>0.0"x"</c:formatCode>
                <c:ptCount val="1"/>
                <c:pt idx="0">
                  <c:v>13</c:v>
                </c:pt>
              </c:numCache>
            </c:numRef>
          </c:yVal>
          <c:smooth val="0"/>
        </c:ser>
        <c:ser>
          <c:idx val="2"/>
          <c:order val="2"/>
          <c:tx>
            <c:strRef>
              <c:f>Hoja1!$A$4</c:f>
              <c:strCache>
                <c:ptCount val="1"/>
                <c:pt idx="0">
                  <c:v>Intertek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5.3</c:v>
                </c:pt>
              </c:numCache>
            </c:numRef>
          </c:xVal>
          <c:yVal>
            <c:numRef>
              <c:f>Hoja1!$C$4</c:f>
              <c:numCache>
                <c:formatCode>0.0"x"</c:formatCode>
                <c:ptCount val="1"/>
                <c:pt idx="0">
                  <c:v>11.7</c:v>
                </c:pt>
              </c:numCache>
            </c:numRef>
          </c:yVal>
          <c:smooth val="0"/>
        </c:ser>
        <c:ser>
          <c:idx val="3"/>
          <c:order val="3"/>
          <c:tx>
            <c:strRef>
              <c:f>Hoja1!$A$5</c:f>
              <c:strCache>
                <c:ptCount val="1"/>
                <c:pt idx="0">
                  <c:v>Eurofins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5.4</c:v>
                </c:pt>
              </c:numCache>
            </c:numRef>
          </c:xVal>
          <c:yVal>
            <c:numRef>
              <c:f>Hoja1!$C$5</c:f>
              <c:numCache>
                <c:formatCode>0.0"x"</c:formatCode>
                <c:ptCount val="1"/>
                <c:pt idx="0">
                  <c:v>9.7</c:v>
                </c:pt>
              </c:numCache>
            </c:numRef>
          </c:yVal>
          <c:smooth val="0"/>
        </c:ser>
        <c:ser>
          <c:idx val="4"/>
          <c:order val="4"/>
          <c:tx>
            <c:strRef>
              <c:f>Hoja1!$A$6</c:f>
              <c:strCache>
                <c:ptCount val="1"/>
                <c:pt idx="0">
                  <c:v>ALS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c:v>
                </c:pt>
              </c:numCache>
            </c:numRef>
          </c:xVal>
          <c:yVal>
            <c:numRef>
              <c:f>Hoja1!$C$6</c:f>
              <c:numCache>
                <c:formatCode>0.0"x"</c:formatCode>
                <c:ptCount val="1"/>
                <c:pt idx="0">
                  <c:v>11.5</c:v>
                </c:pt>
              </c:numCache>
            </c:numRef>
          </c:yVal>
          <c:smooth val="0"/>
        </c:ser>
        <c:axId val="10"/>
        <c:axId val="20"/>
      </c:scatterChart>
      <c:valAx>
        <c:axId val="10"/>
        <c:scaling>
          <c:orientation val="minMax"/>
          <c:max val="1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Intertek Group</c:v>
                </c:pt>
                <c:pt idx="1">
                  <c:v>Petróleo y Petroquímica y Carbón de Bureau Veritas</c:v>
                </c:pt>
                <c:pt idx="2">
                  <c:v>LotusWorks</c:v>
                </c:pt>
                <c:pt idx="3">
                  <c:v>Applus Services</c:v>
                </c:pt>
                <c:pt idx="4">
                  <c:v>Ensayos de alimentos de Bureau Veritas</c:v>
                </c:pt>
              </c:strCache>
            </c:strRef>
          </c:cat>
          <c:val>
            <c:numRef>
              <c:f>Hoja1!$B$2:$B$6</c:f>
              <c:numCache>
                <c:formatCode>0.0"x"</c:formatCode>
                <c:ptCount val="5"/>
                <c:pt idx="0">
                  <c:v>13.9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658</c:v>
                </c:pt>
                <c:pt idx="1">
                  <c:v>691</c:v>
                </c:pt>
                <c:pt idx="2">
                  <c:v>758</c:v>
                </c:pt>
                <c:pt idx="3">
                  <c:v>809</c:v>
                </c:pt>
                <c:pt idx="4">
                  <c:v>856</c:v>
                </c:pt>
                <c:pt idx="5">
                  <c:v>900</c:v>
                </c:pt>
                <c:pt idx="6">
                  <c:v>937</c:v>
                </c:pt>
                <c:pt idx="7">
                  <c:v>972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4566</c:v>
                </c:pt>
                <c:pt idx="1">
                  <c:v>10617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29,21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21.94</c:v>
                </c:pt>
                <c:pt idx="1">
                  <c:v>29.18</c:v>
                </c:pt>
                <c:pt idx="2">
                  <c:v>33.51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29,21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(24,58 – 30,18)</c:v>
                </c:pt>
                <c:pt idx="1">
                  <c:v>Precio objetivo de los analistas (28,50 – 37,00)</c:v>
                </c:pt>
                <c:pt idx="2">
                  <c:v>Comparables: EV/EBITDA NTM (27,68 – 30,56)</c:v>
                </c:pt>
                <c:pt idx="3">
                  <c:v>Comparables: PER NTM (30,03 – 36,28)</c:v>
                </c:pt>
                <c:pt idx="4">
                  <c:v>Transacciones precedentes (EV/ventas) (23,68 – 39,61)</c:v>
                </c:pt>
                <c:pt idx="5">
                  <c:v>DCF (WACC y g ± 0,5) (24,54 – 35,88)</c:v>
                </c:pt>
                <c:pt idx="6">
                  <c:v>Escenarios (bajista – alcista) (21,94 – 33,51)</c:v>
                </c:pt>
                <c:pt idx="7">
                  <c:v>DCF con la prima implícita del mercado (4,2 %)</c:v>
                </c:pt>
                <c:pt idx="8">
                  <c:v>Precio actual (29,21)</c:v>
                </c:pt>
              </c:strCache>
            </c:strRef>
          </c:cat>
          <c:val>
            <c:numRef>
              <c:f>Hoja1!$B$2:$B$10</c:f>
              <c:numCache>
                <c:formatCode>#,##0.0</c:formatCode>
                <c:ptCount val="9"/>
                <c:pt idx="0">
                  <c:v>24.58</c:v>
                </c:pt>
                <c:pt idx="1">
                  <c:v>28.5</c:v>
                </c:pt>
                <c:pt idx="2">
                  <c:v>27.68</c:v>
                </c:pt>
                <c:pt idx="3">
                  <c:v>30.03</c:v>
                </c:pt>
                <c:pt idx="4">
                  <c:v>23.68</c:v>
                </c:pt>
                <c:pt idx="5">
                  <c:v>24.54</c:v>
                </c:pt>
                <c:pt idx="6">
                  <c:v>21.94</c:v>
                </c:pt>
                <c:pt idx="7">
                  <c:v>33.39</c:v>
                </c:pt>
                <c:pt idx="8">
                  <c:v>29.06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(24,58 – 30,18)</c:v>
                </c:pt>
                <c:pt idx="1">
                  <c:v>Precio objetivo de los analistas (28,50 – 37,00)</c:v>
                </c:pt>
                <c:pt idx="2">
                  <c:v>Comparables: EV/EBITDA NTM (27,68 – 30,56)</c:v>
                </c:pt>
                <c:pt idx="3">
                  <c:v>Comparables: PER NTM (30,03 – 36,28)</c:v>
                </c:pt>
                <c:pt idx="4">
                  <c:v>Transacciones precedentes (EV/ventas) (23,68 – 39,61)</c:v>
                </c:pt>
                <c:pt idx="5">
                  <c:v>DCF (WACC y g ± 0,5) (24,54 – 35,88)</c:v>
                </c:pt>
                <c:pt idx="6">
                  <c:v>Escenarios (bajista – alcista) (21,94 – 33,51)</c:v>
                </c:pt>
                <c:pt idx="7">
                  <c:v>DCF con la prima implícita del mercado (4,2 %)</c:v>
                </c:pt>
                <c:pt idx="8">
                  <c:v>Precio actual (29,21)</c:v>
                </c:pt>
              </c:strCache>
            </c:strRef>
          </c:cat>
          <c:val>
            <c:numRef>
              <c:f>Hoja1!$C$2:$C$10</c:f>
              <c:numCache>
                <c:formatCode>#,##0.0</c:formatCode>
                <c:ptCount val="9"/>
                <c:pt idx="0">
                  <c:v>5.600000000000001</c:v>
                </c:pt>
                <c:pt idx="1">
                  <c:v>8.5</c:v>
                </c:pt>
                <c:pt idx="2">
                  <c:v>2.879999999999999</c:v>
                </c:pt>
                <c:pt idx="3">
                  <c:v>6.25</c:v>
                </c:pt>
                <c:pt idx="4">
                  <c:v>15.93</c:v>
                </c:pt>
                <c:pt idx="5">
                  <c:v>11.340000000000003</c:v>
                </c:pt>
                <c:pt idx="6">
                  <c:v>11.569999999999997</c:v>
                </c:pt>
                <c:pt idx="7">
                  <c:v>10.079999999999998</c:v>
                </c:pt>
                <c:pt idx="8">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