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Default Extension="xlsx" ContentType="application/vnd.openxmlformats-officedocument.spreadsheetml.sheet"/>
  <Override PartName="/word/charts/chart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600"/>
      </w:pPr>
      <w:r>
        <w:rPr>
          <w:rFonts w:ascii="Calibri" w:cs="Calibri" w:eastAsia="Calibri" w:hAnsi="Calibri"/>
          <w:b/>
          <w:bCs/>
          <w:color w:val="2A78D6"/>
          <w:spacing w:val="40"/>
          <w:sz w:val="18"/>
          <w:szCs w:val="18"/>
        </w:rPr>
        <w:t xml:space="preserve">ANÁLISIS DE EMPRESA COTIZADA</w:t>
      </w:r>
    </w:p>
    <w:p>
      <w:pPr>
        <w:pStyle w:val="Title"/>
      </w:pPr>
      <w:r>
        <w:t xml:space="preserve">Compañía Ejemplo, S.A.</w:t>
      </w:r>
    </w:p>
    <w:p>
      <w:pPr>
        <w:spacing w:after="60"/>
        <w:rPr>
          <w:color w:val="52514E"/>
          <w:sz w:val="22"/>
          <w:szCs w:val="22"/>
        </w:rPr>
      </w:pPr>
      <w:r>
        <w:rPr>
          <w:color w:val="52514E"/>
          <w:sz w:val="22"/>
          <w:szCs w:val="22"/>
        </w:rPr>
        <w:t xml:space="preserve">EJM · Bolsa de Madrid (Mercado Continuo) · ISIN ES0000000000 · Industria</w:t>
      </w:r>
    </w:p>
    <w:p>
      <w:pPr>
        <w:spacing w:after="360"/>
        <w:rPr>
          <w:color w:val="52514E"/>
          <w:sz w:val="18"/>
          <w:szCs w:val="18"/>
        </w:rPr>
      </w:pPr>
      <w:r>
        <w:rPr>
          <w:color w:val="52514E"/>
          <w:sz w:val="18"/>
          <w:szCs w:val="18"/>
        </w:rPr>
        <w:t xml:space="preserve">Fecha de corte de los datos: </w:t>
      </w:r>
      <w:r>
        <w:rPr>
          <w:b/>
          <w:bCs/>
          <w:color w:val="52514E"/>
          <w:sz w:val="18"/>
          <w:szCs w:val="18"/>
        </w:rPr>
        <w:t xml:space="preserve">6 oct 2026</w:t>
      </w:r>
      <w:r>
        <w:rPr>
          <w:color w:val="52514E"/>
          <w:sz w:val="18"/>
          <w:szCs w:val="18"/>
        </w:rPr>
        <w:t xml:space="preserve"> · Divisa: </w:t>
      </w:r>
      <w:r>
        <w:rPr>
          <w:b/>
          <w:bCs/>
          <w:color w:val="52514E"/>
          <w:sz w:val="18"/>
          <w:szCs w:val="18"/>
        </w:rPr>
        <w:t xml:space="preserve">EUR</w:t>
      </w:r>
      <w:r>
        <w:rPr>
          <w:color w:val="52514E"/>
          <w:sz w:val="18"/>
          <w:szCs w:val="18"/>
        </w:rPr>
        <w:t xml:space="preserve"> · Cifras en </w:t>
      </w:r>
      <w:r>
        <w:rPr>
          <w:b/>
          <w:bCs/>
          <w:color w:val="52514E"/>
          <w:sz w:val="18"/>
          <w:szCs w:val="18"/>
        </w:rPr>
        <w:t xml:space="preserve">millones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Recomendación</w:t>
            </w:r>
          </w:p>
          <w:p>
            <w:pPr>
              <w:spacing w:after="0"/>
            </w:pPr>
            <w:r>
              <w:rPr>
                <w:rFonts w:ascii="Calibri" w:cs="Calibri" w:eastAsia="Calibri" w:hAnsi="Calibri"/>
                <w:b/>
                <w:bCs/>
                <w:color w:val="1F2A3C"/>
                <w:sz w:val="26"/>
                <w:szCs w:val="26"/>
              </w:rPr>
              <w:t xml:space="preserve">Mantener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Precio</w:t>
            </w:r>
          </w:p>
          <w:p>
            <w:pPr>
              <w:spacing w:after="0"/>
            </w:pPr>
            <w:r>
              <w:rPr>
                <w:rFonts w:ascii="Calibri" w:cs="Calibri" w:eastAsia="Calibri" w:hAnsi="Calibri"/>
                <w:b/>
                <w:bCs/>
                <w:color w:val="1F2A3C"/>
                <w:sz w:val="26"/>
                <w:szCs w:val="26"/>
              </w:rPr>
              <w:t xml:space="preserve">31,40 EUR</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Valor objetivo</w:t>
            </w:r>
          </w:p>
          <w:p>
            <w:pPr>
              <w:spacing w:after="0"/>
            </w:pPr>
            <w:r>
              <w:rPr>
                <w:rFonts w:ascii="Calibri" w:cs="Calibri" w:eastAsia="Calibri" w:hAnsi="Calibri"/>
                <w:b/>
                <w:bCs/>
                <w:color w:val="1F2A3C"/>
                <w:sz w:val="26"/>
                <w:szCs w:val="26"/>
              </w:rPr>
              <w:t xml:space="preserve">30,82 EUR</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Rentabilidad total 12 m</w:t>
            </w:r>
          </w:p>
          <w:p>
            <w:pPr>
              <w:spacing w:after="0"/>
            </w:pPr>
            <w:r>
              <w:rPr>
                <w:rFonts w:ascii="Calibri" w:cs="Calibri" w:eastAsia="Calibri" w:hAnsi="Calibri"/>
                <w:b/>
                <w:bCs/>
                <w:color w:val="1F2A3C"/>
                <w:sz w:val="26"/>
                <w:szCs w:val="26"/>
              </w:rPr>
              <w:t xml:space="preserve">+0,2 %</w:t>
            </w:r>
          </w:p>
        </w:tc>
      </w:tr>
      <w:tr>
        <w:trPr>
          <w:cantSplit/>
        </w:trPr>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Convicción</w:t>
            </w:r>
          </w:p>
          <w:p>
            <w:pPr>
              <w:spacing w:after="0"/>
            </w:pPr>
            <w:r>
              <w:rPr>
                <w:rFonts w:ascii="Calibri" w:cs="Calibri" w:eastAsia="Calibri" w:hAnsi="Calibri"/>
                <w:b/>
                <w:bCs/>
                <w:color w:val="1F2A3C"/>
                <w:sz w:val="26"/>
                <w:szCs w:val="26"/>
              </w:rPr>
              <w:t xml:space="preserve">Media</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Capitalización</w:t>
            </w:r>
          </w:p>
          <w:p>
            <w:pPr>
              <w:spacing w:after="0"/>
            </w:pPr>
            <w:r>
              <w:rPr>
                <w:rFonts w:ascii="Calibri" w:cs="Calibri" w:eastAsia="Calibri" w:hAnsi="Calibri"/>
                <w:b/>
                <w:bCs/>
                <w:color w:val="1F2A3C"/>
                <w:sz w:val="26"/>
                <w:szCs w:val="26"/>
              </w:rPr>
              <w:t xml:space="preserve">5.024 M</w:t>
            </w:r>
          </w:p>
        </w:tc>
        <w:tc>
          <w:tcPr>
            <w:tcW w:type="dxa" w:w="2409"/>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EV/EBITDA próx. 12 m</w:t>
            </w:r>
          </w:p>
          <w:p>
            <w:pPr>
              <w:spacing w:after="0"/>
            </w:pPr>
            <w:r>
              <w:rPr>
                <w:rFonts w:ascii="Calibri" w:cs="Calibri" w:eastAsia="Calibri" w:hAnsi="Calibri"/>
                <w:b/>
                <w:bCs/>
                <w:color w:val="1F2A3C"/>
                <w:sz w:val="26"/>
                <w:szCs w:val="26"/>
              </w:rPr>
              <w:t xml:space="preserve">10,5x</w:t>
            </w:r>
          </w:p>
        </w:tc>
        <w:tc>
          <w:tcPr>
            <w:tcW w:type="dxa" w:w="2411"/>
            <w:tcBorders>
              <w:top w:val="single" w:color="FFFFFF" w:sz="24"/>
              <w:left w:val="single" w:color="FFFFFF" w:sz="24"/>
              <w:bottom w:val="single" w:color="FFFFFF" w:sz="24"/>
              <w:right w:val="single" w:color="FFFFFF" w:sz="24"/>
            </w:tcBorders>
            <w:shd w:fill="F3F2EE" w:color="auto" w:val="clear"/>
            <w:tcMar>
              <w:top w:type="dxa" w:w="100"/>
              <w:left w:type="dxa" w:w="140"/>
              <w:bottom w:type="dxa" w:w="100"/>
              <w:right w:type="dxa" w:w="100"/>
            </w:tcMar>
          </w:tcPr>
          <w:p>
            <w:pPr>
              <w:spacing w:after="20"/>
            </w:pPr>
            <w:r>
              <w:rPr>
                <w:rFonts w:ascii="Calibri" w:cs="Calibri" w:eastAsia="Calibri" w:hAnsi="Calibri"/>
                <w:color w:val="52514E"/>
                <w:sz w:val="15"/>
                <w:szCs w:val="15"/>
              </w:rPr>
              <w:t xml:space="preserve">Deuda neta aj. / EBITDA</w:t>
            </w:r>
          </w:p>
          <w:p>
            <w:pPr>
              <w:spacing w:after="0"/>
            </w:pPr>
            <w:r>
              <w:rPr>
                <w:rFonts w:ascii="Calibri" w:cs="Calibri" w:eastAsia="Calibri" w:hAnsi="Calibri"/>
                <w:b/>
                <w:bCs/>
                <w:color w:val="1F2A3C"/>
                <w:sz w:val="26"/>
                <w:szCs w:val="26"/>
              </w:rPr>
              <w:t xml:space="preserve">1,2x</w:t>
            </w:r>
          </w:p>
        </w:tc>
      </w:tr>
    </w:tbl>
    <w:p>
      <w:pPr>
        <w:spacing w:after="20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Nombre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Compañía Ejemplo, S.A.</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Ticker / ISIN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EJM / ES0000000000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Bolsa de Madrid (Mercado Continuo)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Índice de referencia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IBEX 35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Sector / industria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Industria / Componentes y equipos eléctricos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Sede · fundación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Madrid · 1975</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Empleados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8.400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Web</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www.ejemplo.com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(fecha)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31,40 (3 oct 2026)</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52 semanas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24,10 – 33,90</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Acciones diluidas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160,0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Free float</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62,5 %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Capitalización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5.024 M EUR</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empresa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5.654 M EUR</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Volumen medio diario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6,5 M EUR/día (3 meses)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Próximos resultados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29 oct 2026</w:t>
            </w:r>
          </w:p>
        </w:tc>
      </w:tr>
    </w:tbl>
    <w:p>
      <w:pPr>
        <w:spacing w:after="160" w:before="0"/>
      </w:pPr>
    </w:p>
    <w:p>
      <w:pPr>
        <w:pStyle w:val="Heading2"/>
      </w:pPr>
      <w:r>
        <w:t xml:space="preserve">Contenido</w:t>
      </w:r>
    </w:p>
    <w:p>
      <w:pPr>
        <w:pStyle w:val="ListParagraph"/>
        <w:numPr>
          <w:ilvl w:val="0"/>
          <w:numId w:val="2"/>
        </w:numPr>
        <w:spacing w:after="40"/>
      </w:pPr>
      <w:r>
        <w:rPr>
          <w:sz w:val="18"/>
          <w:szCs w:val="18"/>
        </w:rPr>
        <w:t xml:space="preserve">Resumen ejecutivo</w:t>
      </w:r>
    </w:p>
    <w:p>
      <w:pPr>
        <w:pStyle w:val="ListParagraph"/>
        <w:numPr>
          <w:ilvl w:val="0"/>
          <w:numId w:val="2"/>
        </w:numPr>
        <w:spacing w:after="40"/>
      </w:pPr>
      <w:r>
        <w:rPr>
          <w:sz w:val="18"/>
          <w:szCs w:val="18"/>
        </w:rPr>
        <w:t xml:space="preserve">Parte I — Negocio y sector: 1. Historia · 2. Modelo de negocio · 3. Sector y mercado · 4. Posición competitiva</w:t>
      </w:r>
    </w:p>
    <w:p>
      <w:pPr>
        <w:pStyle w:val="ListParagraph"/>
        <w:numPr>
          <w:ilvl w:val="0"/>
          <w:numId w:val="2"/>
        </w:numPr>
        <w:spacing w:after="40"/>
      </w:pPr>
      <w:r>
        <w:rPr>
          <w:sz w:val="18"/>
          <w:szCs w:val="18"/>
        </w:rPr>
        <w:t xml:space="preserve">Parte II — Finanzas: 5. Cuenta de resultados · 6. Resultados recientes · 7. Balance y circulante · 8. Flujos de caja · 9. Calidad contable · 10. Rentabilidad · 11. Deuda y solvencia · 12. Asignación de capital</w:t>
      </w:r>
    </w:p>
    <w:p>
      <w:pPr>
        <w:pStyle w:val="ListParagraph"/>
        <w:numPr>
          <w:ilvl w:val="0"/>
          <w:numId w:val="2"/>
        </w:numPr>
        <w:spacing w:after="40"/>
      </w:pPr>
      <w:r>
        <w:rPr>
          <w:sz w:val="18"/>
          <w:szCs w:val="18"/>
        </w:rPr>
        <w:t xml:space="preserve">Parte III — Equipo y gobierno: 13. Equipo directivo · 14. Gobierno corporativo</w:t>
      </w:r>
    </w:p>
    <w:p>
      <w:pPr>
        <w:pStyle w:val="ListParagraph"/>
        <w:numPr>
          <w:ilvl w:val="0"/>
          <w:numId w:val="2"/>
        </w:numPr>
        <w:spacing w:after="40"/>
      </w:pPr>
      <w:r>
        <w:rPr>
          <w:sz w:val="18"/>
          <w:szCs w:val="18"/>
        </w:rPr>
        <w:t xml:space="preserve">Parte IV — Mercado y valoración: 15. Consenso · 16. Bolsa · 17. Múltiplos históricos · 18. Comparables · 19. Transacciones · 20. DCF · 21. Escenarios · 22. Suma de partes · 23. Síntesis</w:t>
      </w:r>
    </w:p>
    <w:p>
      <w:pPr>
        <w:pStyle w:val="ListParagraph"/>
        <w:numPr>
          <w:ilvl w:val="0"/>
          <w:numId w:val="2"/>
        </w:numPr>
        <w:spacing w:after="40"/>
      </w:pPr>
      <w:r>
        <w:rPr>
          <w:sz w:val="18"/>
          <w:szCs w:val="18"/>
        </w:rPr>
        <w:t xml:space="preserve">Parte V — Tesis, riesgos y seguimiento: 24. Catalizadores · 25. Riesgos y pre-mortem · 26. ESG · 27. Preguntas abiertas</w:t>
      </w:r>
    </w:p>
    <w:p>
      <w:pPr>
        <w:pStyle w:val="ListParagraph"/>
        <w:numPr>
          <w:ilvl w:val="0"/>
          <w:numId w:val="2"/>
        </w:numPr>
        <w:spacing w:after="40"/>
      </w:pPr>
      <w:r>
        <w:rPr>
          <w:sz w:val="18"/>
          <w:szCs w:val="18"/>
        </w:rPr>
        <w:t xml:space="preserve">Anexos: controles de calidad, información no disponible y fuentes</w:t>
      </w:r>
    </w:p>
    <w:p>
      <w:pPr>
        <w:pStyle w:val="ListParagraph"/>
        <w:numPr>
          <w:ilvl w:val="0"/>
          <w:numId w:val="2"/>
        </w:numPr>
        <w:spacing w:after="40"/>
      </w:pPr>
      <w:r>
        <w:rPr>
          <w:sz w:val="18"/>
          <w:szCs w:val="18"/>
        </w:rPr>
        <w:t xml:space="preserve">Las secciones sin información verificable no se imprimen; quedan listadas en el anexo «Información no disponible».</w:t>
      </w:r>
    </w:p>
    <w:p>
      <w:r>
        <w:br w:type="page"/>
      </w:r>
    </w:p>
    <w:p>
      <w:pPr>
        <w:pStyle w:val="Heading1"/>
      </w:pPr>
      <w:r>
        <w:t xml:space="preserve">Resumen ejecutivo</w:t>
      </w:r>
    </w:p>
    <w:p>
      <w:pPr>
        <w:pStyle w:val="Confianza"/>
        <w:spacing w:after="100"/>
      </w:pPr>
      <w:r>
        <w:t xml:space="preserve">Confianza: Media</w:t>
      </w:r>
    </w:p>
    <w:p>
      <w:pPr>
        <w:spacing w:after="100"/>
      </w:pPr>
      <w:r>
        <w:rPr>
          <w:b/>
          <w:bCs/>
        </w:rPr>
        <w:t xml:space="preserve">Recomendación: Mantener</w:t>
      </w:r>
      <w:r>
        <w:t xml:space="preserve"> · Convicción: Media · Horizonte: 12 meses · Valor objetivo: </w:t>
      </w:r>
      <w:r>
        <w:rPr>
          <w:b/>
          <w:bCs/>
        </w:rPr>
        <w:t xml:space="preserve">30,82 EUR</w:t>
      </w:r>
      <w:r>
        <w:t xml:space="preserve"> (-1,8 % sobre 31,40; rentabilidad total esperada +0,2 %)</w:t>
      </w:r>
    </w:p>
    <w:p>
      <w:pPr>
        <w:spacing w:after="100"/>
      </w:pPr>
      <w:r>
        <w:t xml:space="preserve">Ejemplo fabrica equipos eléctricos de media tensión y obtiene ya el </w:t>
      </w:r>
      <w:r>
        <w:rPr>
          <w:b/>
        </w:rPr>
        <w:t xml:space="preserve">39 % de sus ingresos de las redes de distribución</w:t>
      </w:r>
      <w:r>
        <w:t xml:space="preserve">, un mercado que crece por encima del 7 % anual por la inversión regulada en redes [1][19]. El margen EBITDA ha subido 160 pb desde 2021 por ese cambio de mezcla [1].</w:t>
      </w:r>
    </w:p>
    <w:p>
      <w:pPr>
        <w:spacing w:after="100"/>
      </w:pPr>
      <w:r>
        <w:t xml:space="preserve">Al precio actual, el DCF inverso dice que el mercado descuenta un crecimiento anual cercano al de nuestra proyección: el precio ya recoge buena parte de la tesis de redes [16].</w:t>
      </w:r>
    </w:p>
    <w:p>
      <w:pPr>
        <w:spacing w:after="100"/>
      </w:pPr>
      <w:r>
        <w:t xml:space="preserve">Para ganar dinero hay que creer que el margen de redes seguirá subiendo y que automoción se estabiliza en 2027; ninguna de las dos cosas está demostrada [5][6].</w:t>
      </w:r>
    </w:p>
    <w:p>
      <w:pPr>
        <w:pStyle w:val="Heading2"/>
      </w:pPr>
      <w:r>
        <w:t xml:space="preserve">La decisión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425"/>
        <w:gridCol w:w="3213"/>
      </w:tblGrid>
      <w:tr>
        <w:trPr>
          <w:cantSplit/>
          <w:tblHeader/>
        </w:trPr>
        <w:tc>
          <w:tcPr>
            <w:tcW w:type="dxa" w:w="64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Elemento de la decisión</w:t>
            </w:r>
          </w:p>
        </w:tc>
        <w:tc>
          <w:tcPr>
            <w:tcW w:type="dxa" w:w="32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objetivo (síntesis ponderada)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30,82 EUR</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Potencial sobre el precio actual</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por dividendo ordinario</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Rentabilidad total esperada a 12 meses</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 alcista /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 / -40,2 %</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Asimetría (ganancia alcista / pérdida bajista)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0,25x</w:t>
            </w:r>
          </w:p>
        </w:tc>
      </w:tr>
      <w:tr>
        <w:trPr>
          <w:cantSplit/>
        </w:trPr>
        <w:tc>
          <w:tcPr>
            <w:tcW w:type="dxa" w:w="64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Recomendación según la regla</w:t>
            </w:r>
          </w:p>
        </w:tc>
        <w:tc>
          <w:tcPr>
            <w:tcW w:type="dxa" w:w="32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Mantener</w:t>
            </w:r>
          </w:p>
        </w:tc>
      </w:tr>
    </w:tbl>
    <w:p>
      <w:pPr>
        <w:spacing w:after="160" w:before="0"/>
      </w:pPr>
    </w:p>
    <w:p>
      <w:pPr>
        <w:pStyle w:val="Nota"/>
        <w:spacing w:after="100"/>
      </w:pPr>
      <w:r>
        <w:t xml:space="preserve">Regla: Comprar si la rentabilidad total esperada a 12 meses es ≥ 15 % y el alcista gana al menos lo que pierde el bajista; Vender si es ≤ −10 %, o negativa con asimetría &lt; 0,5; Mantener en el resto.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8032"/>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Acción</w:t>
            </w:r>
          </w:p>
        </w:tc>
        <w:tc>
          <w:tcPr>
            <w:tcW w:type="dxa" w:w="8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 qué precio</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Comprar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27,29 (rentabilidad total esperada ≥ 15 %), si la asimetría sigue siendo favorable</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Mantener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Entre 27,29 y 35,05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Vender o reducir</w:t>
            </w:r>
          </w:p>
        </w:tc>
        <w:tc>
          <w:tcPr>
            <w:tcW w:type="dxa" w:w="8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encima de 35,05 (rentabilidad total esperada ≤ −10 %)</w:t>
            </w:r>
          </w:p>
        </w:tc>
      </w:tr>
    </w:tbl>
    <w:p>
      <w:pPr>
        <w:spacing w:after="160" w:before="0"/>
      </w:pPr>
    </w:p>
    <w:p>
      <w:pPr>
        <w:pStyle w:val="Heading2"/>
      </w:pPr>
      <w:r>
        <w:t xml:space="preserve">Qué cambiaría la recomendación</w:t>
      </w:r>
    </w:p>
    <w:p>
      <w:pPr>
        <w:pStyle w:val="ListParagraph"/>
        <w:numPr>
          <w:ilvl w:val="0"/>
          <w:numId w:val="2"/>
        </w:numPr>
        <w:spacing w:after="60"/>
      </w:pPr>
      <w:r>
        <w:t xml:space="preserve">Si el precio baja de la zona de compra con la cartera de redes intacta, pasaríamos a Comprar.</w:t>
      </w:r>
    </w:p>
    <w:p>
      <w:pPr>
        <w:pStyle w:val="ListParagraph"/>
        <w:numPr>
          <w:ilvl w:val="0"/>
          <w:numId w:val="2"/>
        </w:numPr>
        <w:spacing w:after="60"/>
      </w:pPr>
      <w:r>
        <w:t xml:space="preserve">Si la tasa de concursos ganados en transformadores cae por debajo del 45 %, pasaríamos a Vender [6].</w:t>
      </w:r>
    </w:p>
    <w:p>
      <w:pPr>
        <w:pStyle w:val="ListParagraph"/>
        <w:numPr>
          <w:ilvl w:val="0"/>
          <w:numId w:val="2"/>
        </w:numPr>
        <w:spacing w:after="60"/>
      </w:pPr>
      <w:r>
        <w:t xml:space="preserve">Si la dirección presenta un plan creíble de reducción de capacidad en automoción, revisaríamos al alza el margen [8].</w:t>
      </w:r>
    </w:p>
    <w:p>
      <w:pPr>
        <w:pStyle w:val="Heading2"/>
      </w:pPr>
      <w:r>
        <w:t xml:space="preserve">Dónde discrepamos del mercado</w:t>
      </w:r>
    </w:p>
    <w:p>
      <w:pPr>
        <w:spacing w:after="100"/>
      </w:pPr>
      <w:r>
        <w:rPr>
          <w:b/>
          <w:bCs/>
        </w:rPr>
        <w:t xml:space="preserve">Lo que descuenta el precio.</w:t>
      </w:r>
    </w:p>
    <w:p>
      <w:pPr>
        <w:spacing w:after="100"/>
      </w:pPr>
      <w:r>
        <w:t xml:space="preserve">Un crecimiento de ingresos en torno al 6 % anual y márgenes estables, en línea con el consenso [16][17].</w:t>
      </w:r>
    </w:p>
    <w:p>
      <w:pPr>
        <w:spacing w:after="100"/>
      </w:pPr>
      <w:r>
        <w:rPr>
          <w:b/>
          <w:bCs/>
        </w:rPr>
        <w:t xml:space="preserve">Lo que creemos nosotros.</w:t>
      </w:r>
    </w:p>
    <w:p>
      <w:pPr>
        <w:spacing w:after="100"/>
      </w:pPr>
      <w:r>
        <w:t xml:space="preserve">Coincidimos en crecimiento, pero vemos más riesgo en el margen de automoción y en la presión de precios asiática en transformadores [26].</w:t>
      </w:r>
    </w:p>
    <w:p>
      <w:pPr>
        <w:spacing w:after="100"/>
      </w:pPr>
      <w:r>
        <w:rPr>
          <w:b/>
          <w:bCs/>
        </w:rPr>
        <w:t xml:space="preserve">Por qué podemos tener razón.</w:t>
      </w:r>
    </w:p>
    <w:p>
      <w:pPr>
        <w:spacing w:after="100"/>
      </w:pPr>
      <w:r>
        <w:t xml:space="preserve">La dirección no ha concretado el plan de reducción de capacidad en automoción y los concursos de transformadores se están perdiendo por precio [6][7].</w:t>
      </w:r>
    </w:p>
    <w:p>
      <w:pPr>
        <w:keepNext w:val="false"/>
        <w:spacing w:after="160" w:before="120"/>
        <w:jc w:val="center"/>
      </w:pPr>
      <w:r>
        <w:drawing>
          <wp:inline xmlns:wp="http://schemas.openxmlformats.org/drawingml/2006/wordprocessingDrawing" distT="0" distB="0" distL="0" distR="0">
            <wp:extent cx="5760000" cy="2880000"/>
            <wp:effectExtent l="0" t="0" r="0" b="0"/>
            <wp:docPr id="1001" name="Gráfico 1"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pStyle w:val="Heading2"/>
      </w:pPr>
      <w:r>
        <w:t xml:space="preserve">A favor</w:t>
      </w:r>
    </w:p>
    <w:p>
      <w:pPr>
        <w:pStyle w:val="ListParagraph"/>
        <w:numPr>
          <w:ilvl w:val="0"/>
          <w:numId w:val="2"/>
        </w:numPr>
        <w:spacing w:after="60"/>
      </w:pPr>
      <w:r>
        <w:rPr>
          <w:b/>
        </w:rPr>
        <w:t xml:space="preserve">Redes eléctricas</w:t>
      </w:r>
      <w:r>
        <w:t xml:space="preserve">: cartera de pedidos de 1,9 veces los ingresos del segmento [4].</w:t>
      </w:r>
    </w:p>
    <w:p>
      <w:pPr>
        <w:pStyle w:val="ListParagraph"/>
        <w:numPr>
          <w:ilvl w:val="0"/>
          <w:numId w:val="2"/>
        </w:numPr>
        <w:spacing w:after="60"/>
      </w:pPr>
      <w:r>
        <w:rPr>
          <w:b/>
        </w:rPr>
        <w:t xml:space="preserve">Balance</w:t>
      </w:r>
      <w:r>
        <w:t xml:space="preserve">: deuda neta de 1,3x EBITDA y sin vencimientos relevantes hasta 2028 [1].</w:t>
      </w:r>
    </w:p>
    <w:p>
      <w:pPr>
        <w:pStyle w:val="ListParagraph"/>
        <w:numPr>
          <w:ilvl w:val="0"/>
          <w:numId w:val="2"/>
        </w:numPr>
        <w:spacing w:after="60"/>
      </w:pPr>
      <w:r>
        <w:rPr>
          <w:b/>
        </w:rPr>
        <w:t xml:space="preserve">Asignación de capital</w:t>
      </w:r>
      <w:r>
        <w:t xml:space="preserve">: recompras de 120 M en tres años con el ROIC por encima del WACC [1].</w:t>
      </w:r>
    </w:p>
    <w:p>
      <w:pPr>
        <w:pStyle w:val="ListParagraph"/>
        <w:numPr>
          <w:ilvl w:val="0"/>
          <w:numId w:val="2"/>
        </w:numPr>
        <w:spacing w:after="60"/>
      </w:pPr>
      <w:r>
        <w:rPr>
          <w:b/>
        </w:rPr>
        <w:t xml:space="preserve">Gobierno</w:t>
      </w:r>
      <w:r>
        <w:t xml:space="preserve">: mayoría de independientes y variable ligado al ROIC [9][10].</w:t>
      </w:r>
    </w:p>
    <w:p>
      <w:pPr>
        <w:pStyle w:val="Heading2"/>
      </w:pPr>
      <w:r>
        <w:t xml:space="preserve">En contra</w:t>
      </w:r>
    </w:p>
    <w:p>
      <w:pPr>
        <w:pStyle w:val="ListParagraph"/>
        <w:numPr>
          <w:ilvl w:val="0"/>
          <w:numId w:val="2"/>
        </w:numPr>
        <w:spacing w:after="60"/>
      </w:pPr>
      <w:r>
        <w:rPr>
          <w:b/>
        </w:rPr>
        <w:t xml:space="preserve">Automoción</w:t>
      </w:r>
      <w:r>
        <w:t xml:space="preserve"> sigue cayendo (−6 % en el primer semestre) [4].</w:t>
      </w:r>
    </w:p>
    <w:p>
      <w:pPr>
        <w:pStyle w:val="ListParagraph"/>
        <w:numPr>
          <w:ilvl w:val="0"/>
          <w:numId w:val="2"/>
        </w:numPr>
        <w:spacing w:after="60"/>
      </w:pPr>
      <w:r>
        <w:rPr>
          <w:b/>
        </w:rPr>
        <w:t xml:space="preserve">Cobre</w:t>
      </w:r>
      <w:r>
        <w:t xml:space="preserve">: una subida del 10 % resta unos 40 pb de margen bruto si no se traslada [1].</w:t>
      </w:r>
    </w:p>
    <w:p>
      <w:pPr>
        <w:pStyle w:val="ListParagraph"/>
        <w:numPr>
          <w:ilvl w:val="0"/>
          <w:numId w:val="2"/>
        </w:numPr>
        <w:spacing w:after="60"/>
      </w:pPr>
      <w:r>
        <w:rPr>
          <w:b/>
        </w:rPr>
        <w:t xml:space="preserve">Valoración</w:t>
      </w:r>
      <w:r>
        <w:t xml:space="preserve">: el precio ya descuenta la mejora de márgenes [18].</w:t>
      </w:r>
    </w:p>
    <w:p>
      <w:pPr>
        <w:pStyle w:val="ListParagraph"/>
        <w:numPr>
          <w:ilvl w:val="0"/>
          <w:numId w:val="2"/>
        </w:numPr>
        <w:spacing w:after="60"/>
      </w:pPr>
      <w:r>
        <w:rPr>
          <w:b/>
        </w:rPr>
        <w:t xml:space="preserve">Competencia asiática</w:t>
      </w:r>
      <w:r>
        <w:t xml:space="preserve"> en transformadores con precios un 15-20 % inferiores [26].</w:t>
      </w:r>
    </w:p>
    <w:p>
      <w:pPr>
        <w:pStyle w:val="Heading2"/>
      </w:pPr>
      <w:r>
        <w:t xml:space="preserve">Qué tiene que pasar para que la tesis funcione</w:t>
      </w:r>
    </w:p>
    <w:p>
      <w:pPr>
        <w:spacing w:after="100"/>
      </w:pPr>
      <w:r>
        <w:t xml:space="preserve">La tesis depende de que la cartera de redes se convierta en ingresos al ritmo previsto y de que automoción toque fondo en 2027. La señal de alarma sería una caída de la cartera de pedidos dos trimestres seguidos [4].</w:t>
      </w:r>
    </w:p>
    <w:p>
      <w:pPr>
        <w:pStyle w:val="Heading2"/>
      </w:pPr>
      <w:r>
        <w:t xml:space="preserve">Indicadores de seguimiento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482"/>
        <w:gridCol w:w="1482"/>
        <w:gridCol w:w="4203"/>
      </w:tblGrid>
      <w:tr>
        <w:trPr>
          <w:cantSplit/>
          <w:tblHeader/>
        </w:trPr>
        <w:tc>
          <w:tcPr>
            <w:tcW w:type="dxa" w:w="24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Nivel actual</w:t>
            </w:r>
          </w:p>
        </w:tc>
        <w:tc>
          <w:tcPr>
            <w:tcW w:type="dxa" w:w="14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Umbral de alerta</w:t>
            </w:r>
          </w:p>
        </w:tc>
        <w:tc>
          <w:tcPr>
            <w:tcW w:type="dxa" w:w="42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 de redes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1.800 M</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Anticipa los ingresos de 12-18 meses.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Margen EBIT de automoción</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&lt; 4 %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Si cae más, el segmento destruye valor.</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 USD/t</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&gt; 11.000 USD/t</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Coste principal de los cables.</w:t>
            </w:r>
          </w:p>
        </w:tc>
      </w:tr>
      <w:tr>
        <w:trPr>
          <w:cantSplit/>
        </w:trPr>
        <w:tc>
          <w:tcPr>
            <w:tcW w:type="dxa" w:w="24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de transformadores ganados</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4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&lt; 45 %</w:t>
            </w:r>
          </w:p>
        </w:tc>
        <w:tc>
          <w:tcPr>
            <w:tcW w:type="dxa" w:w="42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Mide la presión asiática.</w:t>
            </w:r>
          </w:p>
        </w:tc>
      </w:tr>
    </w:tbl>
    <w:p>
      <w:pPr>
        <w:spacing w:after="160" w:before="0"/>
      </w:pPr>
    </w:p>
    <w:p>
      <w:pPr>
        <w:pStyle w:val="Heading2"/>
      </w:pPr>
      <w:r>
        <w:t xml:space="preserve">Datos clave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11,5x / 10,5x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PER últimos 12 m / próx.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20,4x / 17,9x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15,8x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EV/Ventas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1,85x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FCF</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por dividendo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de ingresos (2016-2025)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16,1 %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ROIC último ejercicio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11,8 %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WACC</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(contable ·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 · 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Gobierno (criterios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12</w:t>
            </w:r>
          </w:p>
        </w:tc>
      </w:tr>
    </w:tbl>
    <w:p>
      <w:pPr>
        <w:spacing w:after="160" w:before="0"/>
      </w:pPr>
    </w:p>
    <w:p>
      <w:r>
        <w:br w:type="page"/>
      </w:r>
    </w:p>
    <w:p>
      <w:pPr>
        <w:pStyle w:val="Parte"/>
      </w:pPr>
      <w:r>
        <w:t xml:space="preserve">Parte I — Negocio y sector</w:t>
      </w:r>
    </w:p>
    <w:p>
      <w:pPr>
        <w:pStyle w:val="Heading1"/>
      </w:pPr>
      <w:r>
        <w:t xml:space="preserve">1. Historia e hitos</w:t>
      </w:r>
    </w:p>
    <w:p>
      <w:pPr>
        <w:pStyle w:val="Confianza"/>
        <w:spacing w:after="100"/>
      </w:pPr>
      <w:r>
        <w:t xml:space="preserve">Confianza: Alta</w:t>
      </w:r>
    </w:p>
    <w:p>
      <w:pPr>
        <w:spacing w:after="100"/>
      </w:pPr>
      <w:r>
        <w:t xml:space="preserve">Fundada en 1975 como taller de bobinado, salió a bolsa en 1998 y se transformó con dos compras: cables especiales en 2008 y aparamenta en 2015. La familia fundadora conserva el 28 %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3"/>
        <w:gridCol w:w="8505"/>
      </w:tblGrid>
      <w:tr>
        <w:trPr>
          <w:cantSplit/>
          <w:tblHeader/>
        </w:trPr>
        <w:tc>
          <w:tcPr>
            <w:tcW w:type="dxa" w:w="11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8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Hito</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1975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Fundación en Madrid.</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1998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Salida a bolsa.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2008</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un fabricante de cables especiales.</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Entrada en aparamenta de media tensión.</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2019</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consejera delegada.</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de cables especiales en Polonia por 120 M.</w:t>
            </w:r>
          </w:p>
        </w:tc>
      </w:tr>
      <w:tr>
        <w:trPr>
          <w:cantSplit/>
        </w:trPr>
        <w:tc>
          <w:tcPr>
            <w:tcW w:type="dxa" w:w="11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8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[8].</w:t>
            </w:r>
          </w:p>
        </w:tc>
      </w:tr>
    </w:tbl>
    <w:p>
      <w:pPr>
        <w:spacing w:after="160" w:before="0"/>
      </w:pPr>
    </w:p>
    <w:p>
      <w:pPr>
        <w:pStyle w:val="Heading1"/>
      </w:pPr>
      <w:r>
        <w:t xml:space="preserve">2. Modelo de negocio</w:t>
      </w:r>
    </w:p>
    <w:p>
      <w:pPr>
        <w:pStyle w:val="Confianza"/>
        <w:spacing w:after="100"/>
      </w:pPr>
      <w:r>
        <w:t xml:space="preserve">Confianza: Alta</w:t>
      </w:r>
    </w:p>
    <w:p>
      <w:pPr>
        <w:spacing w:after="100"/>
      </w:pPr>
      <w:r>
        <w:t xml:space="preserve">Diseña y fabrica aparamenta, transformadores de distribución y cableado para tres mercados: redes eléctricas, industria y automoción. Vende sobre todo a distribuidoras eléctricas con contratos marco de 3-5 años y a fabricantes industriales; tiene 14 plantas en seis países [1].</w:t>
      </w:r>
    </w:p>
    <w:p>
      <w:pPr>
        <w:pStyle w:val="Heading2"/>
      </w:pPr>
      <w:r>
        <w:t xml:space="preserve">Cómo gana dinero</w:t>
      </w:r>
    </w:p>
    <w:p>
      <w:pPr>
        <w:spacing w:after="100"/>
      </w:pPr>
      <w:r>
        <w:t xml:space="preserve">El 45 % de los ingresos de redes viene de contratos marco con revisión de precios por cobre. El margen depende del precio del cobre, de la utilización de las plantas (81 %) y de la mezcla: redes deja 17 % de margen EBIT frente al 6 % de automoción [1][4].</w:t>
      </w:r>
    </w:p>
    <w:p>
      <w:pPr>
        <w:pStyle w:val="Heading2"/>
      </w:pPr>
      <w:r>
        <w:t xml:space="preserve">Segmentos (2025)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68"/>
        <w:gridCol w:w="1320"/>
        <w:gridCol w:w="1320"/>
        <w:gridCol w:w="1320"/>
        <w:gridCol w:w="1188"/>
        <w:gridCol w:w="1322"/>
      </w:tblGrid>
      <w:tr>
        <w:trPr>
          <w:cantSplit/>
          <w:tblHeader/>
        </w:trPr>
        <w:tc>
          <w:tcPr>
            <w:tcW w:type="dxa" w:w="316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Segmento</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del total</w:t>
            </w:r>
          </w:p>
        </w:tc>
        <w:tc>
          <w:tcPr>
            <w:tcW w:type="dxa" w:w="13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Crecimiento</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w:t>
            </w:r>
          </w:p>
        </w:tc>
        <w:tc>
          <w:tcPr>
            <w:tcW w:type="dxa" w:w="132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 de margen</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EBIT</w:t>
            </w:r>
          </w:p>
        </w:tc>
      </w:tr>
      <w:tr>
        <w:trPr>
          <w:cantSplit/>
        </w:trPr>
        <w:tc>
          <w:tcPr>
            <w:tcW w:type="dxa" w:w="316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21,0 %</w:t>
            </w:r>
          </w:p>
        </w:tc>
        <w:tc>
          <w:tcPr>
            <w:tcW w:type="dxa" w:w="13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6,1 %</w:t>
            </w:r>
          </w:p>
        </w:tc>
        <w:tc>
          <w:tcPr>
            <w:tcW w:type="dxa" w:w="132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EBIT</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02" name="Gráfico 2" descr="Ingresos por segmen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
              </a:graphicData>
            </a:graphic>
          </wp:inline>
        </w:drawing>
      </w:r>
    </w:p>
    <w:p>
      <w:pPr>
        <w:keepNext w:val="false"/>
        <w:spacing w:after="160" w:before="120"/>
        <w:jc w:val="center"/>
      </w:pPr>
      <w:r>
        <w:drawing>
          <wp:inline xmlns:wp="http://schemas.openxmlformats.org/drawingml/2006/wordprocessingDrawing" distT="0" distB="0" distL="0" distR="0">
            <wp:extent cx="5760000" cy="2340000"/>
            <wp:effectExtent l="0" t="0" r="0" b="0"/>
            <wp:docPr id="1003" name="Gráfico 3" descr="Peso de cada segmento en los ingresos (2025)"/>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3"/>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25"/>
        <w:gridCol w:w="1302"/>
        <w:gridCol w:w="1302"/>
        <w:gridCol w:w="1302"/>
        <w:gridCol w:w="1302"/>
        <w:gridCol w:w="1305"/>
      </w:tblGrid>
      <w:tr>
        <w:trPr>
          <w:cantSplit/>
          <w:tblHeader/>
        </w:trPr>
        <w:tc>
          <w:tcPr>
            <w:tcW w:type="dxa" w:w="31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Ingresos por segmento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2021</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2022</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2023</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2024</w:t>
            </w:r>
          </w:p>
        </w:tc>
        <w:tc>
          <w:tcPr>
            <w:tcW w:type="dxa" w:w="13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2025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835</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1.042</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1.021</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1.155</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1.184</w:t>
            </w:r>
          </w:p>
        </w:tc>
      </w:tr>
      <w:tr>
        <w:trPr>
          <w:cantSplit/>
        </w:trPr>
        <w:tc>
          <w:tcPr>
            <w:tcW w:type="dxa" w:w="31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618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620</w:t>
            </w:r>
          </w:p>
        </w:tc>
        <w:tc>
          <w:tcPr>
            <w:tcW w:type="dxa" w:w="13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622</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04" name="Gráfico 4" descr="Ingresos por geografía, según destino (% del to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4"/>
              </a:graphicData>
            </a:graphic>
          </wp:inline>
        </w:drawing>
      </w:r>
    </w:p>
    <w:p>
      <w:pPr>
        <w:pStyle w:val="Heading2"/>
      </w:pPr>
      <w:r>
        <w:t xml:space="preserve">Clientes, recurrencia y poder de precios</w:t>
      </w:r>
    </w:p>
    <w:p>
      <w:pPr>
        <w:spacing w:after="100"/>
      </w:pPr>
      <w:r>
        <w:t xml:space="preserve">Los diez primeros clientes son el 31 % de las ventas; el mayor, el 7 %. La tasa de renovación de contratos marco es del 92 % [1]. Subió precios un 9 % en 2022-2023, frente a una inflación de costes del 11 % [2][3].</w:t>
      </w:r>
    </w:p>
    <w:p>
      <w:pPr>
        <w:pStyle w:val="Heading2"/>
      </w:pPr>
      <w:r>
        <w:t xml:space="preserve">Indicadores operativos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0"/>
        <w:gridCol w:w="1220"/>
        <w:gridCol w:w="1220"/>
        <w:gridCol w:w="1098"/>
        <w:gridCol w:w="3660"/>
      </w:tblGrid>
      <w:tr>
        <w:trPr>
          <w:cantSplit/>
          <w:tblHeader/>
        </w:trPr>
        <w:tc>
          <w:tcPr>
            <w:tcW w:type="dxa" w:w="24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Anterior</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Variación</w:t>
            </w:r>
          </w:p>
        </w:tc>
        <w:tc>
          <w:tcPr>
            <w:tcW w:type="dxa" w:w="366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Cartera de pedidos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1.770 M</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2.020 M</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Récord; 1,9 años de ingresos de redes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Book-to-bill</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1,07x</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+0,05</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encima de 1 seis trimestres seguidos [4].</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Utilización de plantas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Cerca del límite en transformadores [5].</w:t>
            </w:r>
          </w:p>
        </w:tc>
      </w:tr>
      <w:tr>
        <w:trPr>
          <w:cantSplit/>
        </w:trPr>
        <w:tc>
          <w:tcPr>
            <w:tcW w:type="dxa" w:w="24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Concursos ganados (transformadores)</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58 %</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 pp</w:t>
            </w:r>
          </w:p>
        </w:tc>
        <w:tc>
          <w:tcPr>
            <w:tcW w:type="dxa" w:w="366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Presión de precios asiática [6].</w:t>
            </w:r>
          </w:p>
        </w:tc>
      </w:tr>
    </w:tbl>
    <w:p>
      <w:pPr>
        <w:spacing w:after="160" w:before="0"/>
      </w:pPr>
    </w:p>
    <w:p>
      <w:pPr>
        <w:pStyle w:val="Heading1"/>
      </w:pPr>
      <w:r>
        <w:t xml:space="preserve">3. Sector y mercado</w:t>
      </w:r>
    </w:p>
    <w:p>
      <w:pPr>
        <w:pStyle w:val="Confianza"/>
        <w:spacing w:after="100"/>
      </w:pPr>
      <w:r>
        <w:t xml:space="preserve">Confianza: Media</w:t>
      </w:r>
    </w:p>
    <w:p>
      <w:pPr>
        <w:spacing w:after="100"/>
      </w:pPr>
      <w:r>
        <w:t xml:space="preserve">Mercado europeo de equipos de distribución eléctrica de media y baja tensión. Tomamos la cifra de la asociación sectorial [19]; la previsión de inversión del organismo europeo da un tamaño un 8 % mayor por perímetro [20].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Tamaño del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 42.000 M EUR en 2025 [19]</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 en el ciclo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Expansión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histórico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previsto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7,3 %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los 5 primeros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Estructura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Moderadamente concentrada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5" name="Gráfico 5" descr="Tamaño del mercado (miles de millones de EUR) · «e» = previsión"/>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5"/>
              </a:graphicData>
            </a:graphic>
          </wp:inline>
        </w:drawing>
      </w:r>
    </w:p>
    <w:p>
      <w:pPr>
        <w:pStyle w:val="Heading2"/>
      </w:pPr>
      <w:r>
        <w:t xml:space="preserve">Motores de la demanda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3"/>
        <w:gridCol w:w="876"/>
        <w:gridCol w:w="1251"/>
        <w:gridCol w:w="5008"/>
      </w:tblGrid>
      <w:tr>
        <w:trPr>
          <w:cantSplit/>
          <w:tblHeader/>
        </w:trPr>
        <w:tc>
          <w:tcPr>
            <w:tcW w:type="dxa" w:w="25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Motor</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Horizonte</w:t>
            </w:r>
          </w:p>
        </w:tc>
        <w:tc>
          <w:tcPr>
            <w:tcW w:type="dxa" w:w="50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Inversión regulada en redes</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europeo de 584.000 M EUR hasta 2030 [20].</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Electrificación de la industria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Estructural</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Demanda eléctrica industrial +2 % anual [19].</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Producción de automóviles en Europa</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2019 en un 18 % [26].</w:t>
            </w:r>
          </w:p>
        </w:tc>
      </w:tr>
      <w:tr>
        <w:trPr>
          <w:cantSplit/>
        </w:trPr>
        <w:tc>
          <w:tcPr>
            <w:tcW w:type="dxa" w:w="25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del cobre</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Cíclico</w:t>
            </w:r>
          </w:p>
        </w:tc>
        <w:tc>
          <w:tcPr>
            <w:tcW w:type="dxa" w:w="50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60 % del coste de materiales [1].</w:t>
            </w:r>
          </w:p>
        </w:tc>
      </w:tr>
    </w:tbl>
    <w:p>
      <w:pPr>
        <w:spacing w:after="160" w:before="0"/>
      </w:pPr>
    </w:p>
    <w:p>
      <w:pPr>
        <w:pStyle w:val="Heading2"/>
      </w:pPr>
      <w:r>
        <w:t xml:space="preserve">Las cinco fuerzas</w:t>
      </w:r>
    </w:p>
    <w:p>
      <w:pPr>
        <w:keepNext w:val="false"/>
        <w:spacing w:after="160" w:before="120"/>
        <w:jc w:val="center"/>
      </w:pPr>
      <w:r>
        <w:drawing>
          <wp:inline xmlns:wp="http://schemas.openxmlformats.org/drawingml/2006/wordprocessingDrawing" distT="0" distB="0" distL="0" distR="0">
            <wp:extent cx="5760000" cy="2700000"/>
            <wp:effectExtent l="0" t="0" r="0" b="0"/>
            <wp:docPr id="1006" name="Gráfico 6" descr="Cinco fuerzas: intensidad (1 = favorable, 5 = desfavorabl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6"/>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1204"/>
        <w:gridCol w:w="6025"/>
      </w:tblGrid>
      <w:tr>
        <w:trPr>
          <w:cantSplit/>
          <w:tblHeader/>
        </w:trPr>
        <w:tc>
          <w:tcPr>
            <w:tcW w:type="dxa" w:w="24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Fuerza</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Intensidad (1-5)</w:t>
            </w:r>
          </w:p>
        </w:tc>
        <w:tc>
          <w:tcPr>
            <w:tcW w:type="dxa" w:w="6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Rivalidad</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Cuatro grandes y una cola de especialistas; precios estables salvo en transformadores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clientes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Distribuidoras grandes que licitan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Poder de los proveedores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y acero cotizan en mercado; poca diferenciación [1].</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Amenaza de entrada</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[19].</w:t>
            </w:r>
          </w:p>
        </w:tc>
      </w:tr>
      <w:tr>
        <w:trPr>
          <w:cantSplit/>
        </w:trPr>
        <w:tc>
          <w:tcPr>
            <w:tcW w:type="dxa" w:w="24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Amenaza de sustitutos</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1</w:t>
            </w:r>
          </w:p>
        </w:tc>
        <w:tc>
          <w:tcPr>
            <w:tcW w:type="dxa" w:w="6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 hay alternativa a la red física [19].</w:t>
            </w:r>
          </w:p>
        </w:tc>
      </w:tr>
    </w:tbl>
    <w:p>
      <w:pPr>
        <w:spacing w:after="160" w:before="0"/>
      </w:pPr>
    </w:p>
    <w:p>
      <w:pPr>
        <w:pStyle w:val="Heading2"/>
      </w:pPr>
      <w:r>
        <w:t xml:space="preserve">Ciclo</w:t>
      </w:r>
    </w:p>
    <w:p>
      <w:pPr>
        <w:spacing w:after="100"/>
      </w:pPr>
      <w:r>
        <w:t xml:space="preserve">La inversión en redes está en máximos y la regulación la asegura hasta 2030 [20]. En 2009 el sector cayó un 12 % y en 2020 un 8 %, la mitad que la industria [19].</w:t>
      </w:r>
    </w:p>
    <w:p>
      <w:pPr>
        <w:pStyle w:val="Heading2"/>
      </w:pPr>
      <w:r>
        <w:t xml:space="preserve">Regulación</w:t>
      </w:r>
    </w:p>
    <w:p>
      <w:pPr>
        <w:spacing w:after="100"/>
      </w:pPr>
      <w:r>
        <w:t xml:space="preserve">La remuneración regulada de las distribuidoras fija su inversión: la revisión de 2026 sube la tasa de retribución al 6,5 % [20].</w:t>
      </w:r>
    </w:p>
    <w:p>
      <w:pPr>
        <w:pStyle w:val="Heading2"/>
      </w:pPr>
      <w:r>
        <w:t xml:space="preserve">Tendencias y disrupción</w:t>
      </w:r>
    </w:p>
    <w:p>
      <w:pPr>
        <w:spacing w:after="100"/>
      </w:pPr>
      <w:r>
        <w:t xml:space="preserve">Digitalización de la red (sensores, telecontrol) y entrada de fabricantes asiáticos en transformadores. Ejemplo gana con la primera y pierde con la segunda [26].</w:t>
      </w:r>
    </w:p>
    <w:p>
      <w:pPr>
        <w:pStyle w:val="Heading1"/>
      </w:pPr>
      <w:r>
        <w:t xml:space="preserve">4. Posición competitiva y foso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Cuota de mercado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4,1 %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Posición</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5.º fabricante europeo de equipos de distribución</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Estrecho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Tendencia del foso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Estable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6"/>
        <w:gridCol w:w="847"/>
        <w:gridCol w:w="953"/>
        <w:gridCol w:w="1059"/>
        <w:gridCol w:w="847"/>
        <w:gridCol w:w="847"/>
        <w:gridCol w:w="3179"/>
      </w:tblGrid>
      <w:tr>
        <w:trPr>
          <w:cantSplit/>
          <w:tblHeader/>
        </w:trPr>
        <w:tc>
          <w:tcPr>
            <w:tcW w:type="dxa" w:w="19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Competidor</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Cotiza</w:t>
            </w:r>
          </w:p>
        </w:tc>
        <w:tc>
          <w:tcPr>
            <w:tcW w:type="dxa" w:w="105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(M)</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Cuota</w:t>
            </w:r>
          </w:p>
        </w:tc>
        <w:tc>
          <w:tcPr>
            <w:tcW w:type="dxa" w:w="8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3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Cómo compite</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Francia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ALF</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Líder en aparamenta; compite en precio en grandes concursos [21].</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Alemania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Fuerte en transformadores [22].</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Suiza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17,4 %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Integra software de red [19].</w:t>
            </w:r>
          </w:p>
        </w:tc>
      </w:tr>
      <w:tr>
        <w:trPr>
          <w:cantSplit/>
        </w:trPr>
        <w:tc>
          <w:tcPr>
            <w:tcW w:type="dxa" w:w="19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Delta Cables</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Italia</w:t>
            </w:r>
          </w:p>
        </w:tc>
        <w:tc>
          <w:tcPr>
            <w:tcW w:type="dxa" w:w="9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DLC</w:t>
            </w:r>
          </w:p>
        </w:tc>
        <w:tc>
          <w:tcPr>
            <w:tcW w:type="dxa" w:w="105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2.100</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8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8,1 %</w:t>
            </w:r>
          </w:p>
        </w:tc>
        <w:tc>
          <w:tcPr>
            <w:tcW w:type="dxa" w:w="3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Especialista en cable [19].</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07" name="Gráfico 7" descr="Margen EBIT: la empresa frente a sus competidores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7"/>
              </a:graphicData>
            </a:graphic>
          </wp:inline>
        </w:drawing>
      </w:r>
    </w:p>
    <w:p>
      <w:pPr>
        <w:pStyle w:val="Heading2"/>
      </w:pPr>
      <w:r>
        <w:t xml:space="preserve">Fuentes de ventaja competitiva</w:t>
      </w:r>
    </w:p>
    <w:p>
      <w:pPr>
        <w:keepNext w:val="false"/>
        <w:spacing w:after="160" w:before="120"/>
        <w:jc w:val="center"/>
      </w:pPr>
      <w:r>
        <w:drawing>
          <wp:inline xmlns:wp="http://schemas.openxmlformats.org/drawingml/2006/wordprocessingDrawing" distT="0" distB="0" distL="0" distR="0">
            <wp:extent cx="5760000" cy="1980000"/>
            <wp:effectExtent l="0" t="0" r="0" b="0"/>
            <wp:docPr id="1008" name="Gráfico 8" descr="Fuentes de ventaja competitiva (0 = inexistente, 5 = muy fuerte)"/>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24"/>
        <w:gridCol w:w="1235"/>
        <w:gridCol w:w="6179"/>
      </w:tblGrid>
      <w:tr>
        <w:trPr>
          <w:cantSplit/>
          <w:tblHeader/>
        </w:trPr>
        <w:tc>
          <w:tcPr>
            <w:tcW w:type="dxa" w:w="22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c>
          <w:tcPr>
            <w:tcW w:type="dxa" w:w="12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Puntuación (0-5)</w:t>
            </w:r>
          </w:p>
        </w:tc>
        <w:tc>
          <w:tcPr>
            <w:tcW w:type="dxa" w:w="617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Evidencia</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Efectos de red</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aplica a un fabricante de equipos.</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Costes de cambio</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de 2-3 años con cada distribuidora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Intangibles (marca, patentes, licencias)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140 patentes, ninguna crítica [1].</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Ventaja en costes</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Margen EBIT por debajo de los dos líderes [21][22].</w:t>
            </w:r>
          </w:p>
        </w:tc>
      </w:tr>
      <w:tr>
        <w:trPr>
          <w:cantSplit/>
        </w:trPr>
        <w:tc>
          <w:tcPr>
            <w:tcW w:type="dxa" w:w="22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Escala eficiente</w:t>
            </w:r>
          </w:p>
        </w:tc>
        <w:tc>
          <w:tcPr>
            <w:tcW w:type="dxa" w:w="12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w:t>
            </w:r>
          </w:p>
        </w:tc>
        <w:tc>
          <w:tcPr>
            <w:tcW w:type="dxa" w:w="617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Líder en España con el 22 % de cuota [19].</w:t>
            </w:r>
          </w:p>
        </w:tc>
      </w:tr>
    </w:tbl>
    <w:p>
      <w:pPr>
        <w:spacing w:after="160" w:before="0"/>
      </w:pPr>
    </w:p>
    <w:p>
      <w:pPr>
        <w:pStyle w:val="Heading2"/>
      </w:pPr>
      <w:r>
        <w:t xml:space="preserve">Amenazas</w:t>
      </w:r>
    </w:p>
    <w:p>
      <w:pPr>
        <w:spacing w:after="100"/>
      </w:pPr>
      <w:r>
        <w:t xml:space="preserve">Fabricantes asiáticos de transformadores con precios un 15-20 % inferiores, ya homologados en dos distribuidoras europeas [26].</w:t>
      </w:r>
    </w:p>
    <w:p>
      <w:r>
        <w:br w:type="page"/>
      </w:r>
    </w:p>
    <w:p>
      <w:pPr>
        <w:pStyle w:val="Parte"/>
      </w:pPr>
      <w:r>
        <w:t xml:space="preserve">Parte II — Finanzas</w:t>
      </w:r>
    </w:p>
    <w:p>
      <w:pPr>
        <w:pStyle w:val="Heading1"/>
      </w:pPr>
      <w:r>
        <w:t xml:space="preserve">5. Cuenta de resultados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973"/>
        <w:gridCol w:w="778"/>
        <w:gridCol w:w="778"/>
        <w:gridCol w:w="876"/>
        <w:gridCol w:w="827"/>
        <w:gridCol w:w="827"/>
        <w:gridCol w:w="778"/>
        <w:gridCol w:w="827"/>
        <w:gridCol w:w="681"/>
        <w:gridCol w:w="681"/>
        <w:gridCol w:w="736"/>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9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bruto</w:t>
            </w:r>
          </w:p>
        </w:tc>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7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w:t>
            </w:r>
          </w:p>
        </w:tc>
        <w:tc>
          <w:tcPr>
            <w:tcW w:type="dxa" w:w="8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6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7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Tipo imp.</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186</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31,1 %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2.075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-7,5 %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30,5 %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0,71</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2.320</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31,2 %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332</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232</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0,41</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30,8 %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9,3 %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2.688</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0,52</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2.817</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434</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0,58</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9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2.961</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+5,1 %</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31,9 %</w:t>
            </w:r>
          </w:p>
        </w:tc>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471</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15,9 %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344</w:t>
            </w:r>
          </w:p>
        </w:tc>
        <w:tc>
          <w:tcPr>
            <w:tcW w:type="dxa" w:w="7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11,6 %</w:t>
            </w:r>
          </w:p>
        </w:tc>
        <w:tc>
          <w:tcPr>
            <w:tcW w:type="dxa" w:w="8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1,47</w:t>
            </w:r>
          </w:p>
        </w:tc>
        <w:tc>
          <w:tcPr>
            <w:tcW w:type="dxa" w:w="6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0,65</w:t>
            </w:r>
          </w:p>
        </w:tc>
        <w:tc>
          <w:tcPr>
            <w:tcW w:type="dxa" w:w="7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25 %</w:t>
            </w:r>
          </w:p>
        </w:tc>
      </w:tr>
    </w:tbl>
    <w:p>
      <w:pPr>
        <w:spacing w:after="160" w:before="0"/>
      </w:pPr>
    </w:p>
    <w:p>
      <w:pPr>
        <w:spacing w:after="100"/>
      </w:pPr>
      <w:r>
        <w:t xml:space="preserve">Crecimiento anual compuesto 2016-2025: ingresos </w:t>
      </w:r>
      <w:r>
        <w:rPr>
          <w:b/>
          <w:bCs/>
        </w:rPr>
        <w:t xml:space="preserve">5,1 %</w:t>
      </w:r>
      <w:r>
        <w:t xml:space="preserve">, EBITDA </w:t>
      </w:r>
      <w:r>
        <w:rPr>
          <w:b/>
          <w:bCs/>
        </w:rPr>
        <w:t xml:space="preserve">6,5 %</w:t>
      </w:r>
      <w:r>
        <w:t xml:space="preserve">, BPA </w:t>
      </w:r>
      <w:r>
        <w:rPr>
          <w:b/>
          <w:bCs/>
        </w:rPr>
        <w:t xml:space="preserve">7,8 %</w:t>
      </w:r>
      <w:r>
        <w:t xml:space="preserve">.</w:t>
      </w:r>
    </w:p>
    <w:p>
      <w:pPr>
        <w:keepNext w:val="false"/>
        <w:spacing w:after="160" w:before="120"/>
        <w:jc w:val="center"/>
      </w:pPr>
      <w:r>
        <w:drawing>
          <wp:inline xmlns:wp="http://schemas.openxmlformats.org/drawingml/2006/wordprocessingDrawing" distT="0" distB="0" distL="0" distR="0">
            <wp:extent cx="5760000" cy="2700000"/>
            <wp:effectExtent l="0" t="0" r="0" b="0"/>
            <wp:docPr id="1009" name="Gráfico 9" descr="Ingresos y EBITDA (EUR, millones) · «e» = proyección propia del DCF"/>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9"/>
              </a:graphicData>
            </a:graphic>
          </wp:inline>
        </w:drawing>
      </w:r>
    </w:p>
    <w:p>
      <w:pPr>
        <w:keepNext w:val="false"/>
        <w:spacing w:after="160" w:before="120"/>
        <w:jc w:val="center"/>
      </w:pPr>
      <w:r>
        <w:drawing>
          <wp:inline xmlns:wp="http://schemas.openxmlformats.org/drawingml/2006/wordprocessingDrawing" distT="0" distB="0" distL="0" distR="0">
            <wp:extent cx="5760000" cy="2700000"/>
            <wp:effectExtent l="0" t="0" r="0" b="0"/>
            <wp:docPr id="1010" name="Gráfico 10" descr="Márgenes (% de ingres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0"/>
              </a:graphicData>
            </a:graphic>
          </wp:inline>
        </w:drawing>
      </w:r>
    </w:p>
    <w:p>
      <w:pPr>
        <w:spacing w:after="100"/>
      </w:pPr>
      <w:r>
        <w:t xml:space="preserve">Los ingresos crecieron un 5,5 % anual en 2016-2025, con un 2020 de caída (−7,5 %) por automoción. El margen EBITDA pasó del 14,1 % al 15,9 % por el mayor peso de redes [1][2][3].</w:t>
      </w:r>
    </w:p>
    <w:p>
      <w:pPr>
        <w:pStyle w:val="Heading2"/>
      </w:pPr>
      <w:r>
        <w:t xml:space="preserve">Ajustes y partidas no recurrentes</w:t>
      </w:r>
    </w:p>
    <w:p>
      <w:pPr>
        <w:spacing w:after="100"/>
      </w:pPr>
      <w:r>
        <w:t xml:space="preserve">Las cifras son las reportadas. Los no recurrentes (reestructuración en 2020 y 2023) fueron inferiores al 3 % del EBIT [1][3].</w:t>
      </w:r>
    </w:p>
    <w:p>
      <w:pPr>
        <w:pStyle w:val="Heading1"/>
      </w:pPr>
      <w:r>
        <w:t xml:space="preserve">6. Resultados recientes</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98"/>
        <w:gridCol w:w="1220"/>
        <w:gridCol w:w="1220"/>
        <w:gridCol w:w="1220"/>
        <w:gridCol w:w="1220"/>
        <w:gridCol w:w="1220"/>
        <w:gridCol w:w="976"/>
        <w:gridCol w:w="1464"/>
      </w:tblGrid>
      <w:tr>
        <w:trPr>
          <w:cantSplit/>
          <w:tblHeader/>
        </w:trPr>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interanual</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orgánico</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2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4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Frente al consenso</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0,29</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0,30</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0,31</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0,33</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0,34</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4T25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0,35</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En línea</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744</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122</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0,36</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Superior</w:t>
            </w:r>
          </w:p>
        </w:tc>
      </w:tr>
      <w:tr>
        <w:trPr>
          <w:cantSplit/>
        </w:trPr>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2T26</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778</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+7,1 %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+6,8 %</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w:t>
            </w:r>
          </w:p>
        </w:tc>
        <w:tc>
          <w:tcPr>
            <w:tcW w:type="dxa" w:w="12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16,6 %</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0,37</w:t>
            </w:r>
          </w:p>
        </w:tc>
        <w:tc>
          <w:tcPr>
            <w:tcW w:type="dxa" w:w="14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En línea</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1" name="Gráfico 11" descr="Crecimiento interanual por trimestr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1"/>
              </a:graphicData>
            </a:graphic>
          </wp:inline>
        </w:drawing>
      </w:r>
    </w:p>
    <w:p>
      <w:pPr>
        <w:pStyle w:val="Heading2"/>
      </w:pPr>
      <w:r>
        <w:t xml:space="preserve">Lo que dijo la dirección en las últimas presentaciones</w:t>
      </w:r>
    </w:p>
    <w:p>
      <w:pPr>
        <w:spacing w:after="100"/>
      </w:pPr>
      <w:r>
        <w:t xml:space="preserve">La dirección elevó la guía de margen al 16 % y anunció un plan de capacidad en transformadores. Los analistas preguntaron cuatro veces por los precios asiáticos; la respuesta fue genérica [5][6]. Frente a la conferencia anterior, el discurso sobre automoción pasó de «estabilización» a «revisión de la capacidad» [7].</w:t>
      </w:r>
    </w:p>
    <w:p>
      <w:pPr>
        <w:pStyle w:val="Heading1"/>
      </w:pPr>
      <w:r>
        <w:t xml:space="preserve">7. Balance y capital circulante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58"/>
        <w:gridCol w:w="1064"/>
        <w:gridCol w:w="1171"/>
        <w:gridCol w:w="958"/>
        <w:gridCol w:w="851"/>
        <w:gridCol w:w="958"/>
        <w:gridCol w:w="851"/>
        <w:gridCol w:w="958"/>
        <w:gridCol w:w="958"/>
        <w:gridCol w:w="911"/>
      </w:tblGrid>
      <w:tr>
        <w:trPr>
          <w:cantSplit/>
          <w:tblHeader/>
        </w:trPr>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06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Activo total</w:t>
            </w:r>
          </w:p>
        </w:tc>
        <w:tc>
          <w:tcPr>
            <w:tcW w:type="dxa" w:w="1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Fondo com. + intang.</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Caja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fin.</w:t>
            </w:r>
          </w:p>
        </w:tc>
        <w:tc>
          <w:tcPr>
            <w:tcW w:type="dxa" w:w="8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Deuda neta</w:t>
            </w:r>
          </w:p>
        </w:tc>
        <w:tc>
          <w:tcPr>
            <w:tcW w:type="dxa" w:w="9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Patrimonio</w:t>
            </w:r>
          </w:p>
        </w:tc>
        <w:tc>
          <w:tcPr>
            <w:tcW w:type="dxa" w:w="91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DN/EBITDA</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2.412</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1.180</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2.374</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235</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1.247</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2.487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473</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1.335</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2.757</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518</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549</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603</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700</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575</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539</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1.591</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1,2x</w:t>
            </w:r>
          </w:p>
        </w:tc>
      </w:tr>
      <w:tr>
        <w:trPr>
          <w:cantSplit/>
        </w:trPr>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06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3.119</w:t>
            </w:r>
          </w:p>
        </w:tc>
        <w:tc>
          <w:tcPr>
            <w:tcW w:type="dxa" w:w="1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706</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604</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207</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600</w:t>
            </w:r>
          </w:p>
        </w:tc>
        <w:tc>
          <w:tcPr>
            <w:tcW w:type="dxa" w:w="8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494</w:t>
            </w:r>
          </w:p>
        </w:tc>
        <w:tc>
          <w:tcPr>
            <w:tcW w:type="dxa" w:w="9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1.692</w:t>
            </w:r>
          </w:p>
        </w:tc>
        <w:tc>
          <w:tcPr>
            <w:tcW w:type="dxa" w:w="91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1472"/>
        <w:gridCol w:w="1338"/>
        <w:gridCol w:w="1338"/>
        <w:gridCol w:w="1338"/>
        <w:gridCol w:w="1472"/>
        <w:gridCol w:w="1342"/>
      </w:tblGrid>
      <w:tr>
        <w:trPr>
          <w:cantSplit/>
          <w:tblHeader/>
        </w:trPr>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Circulante / ventas</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cobro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inventario</w:t>
            </w:r>
          </w:p>
        </w:tc>
        <w:tc>
          <w:tcPr>
            <w:tcW w:type="dxa" w:w="13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Días de pago</w:t>
            </w:r>
          </w:p>
        </w:tc>
        <w:tc>
          <w:tcPr>
            <w:tcW w:type="dxa" w:w="147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Ciclo de caja (días)</w:t>
            </w:r>
          </w:p>
        </w:tc>
        <w:tc>
          <w:tcPr>
            <w:tcW w:type="dxa" w:w="1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Liquidez corriente</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20,5 %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r>
      <w:tr>
        <w:trPr>
          <w:cantSplit/>
        </w:trPr>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20,4 %</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w:t>
            </w:r>
          </w:p>
        </w:tc>
        <w:tc>
          <w:tcPr>
            <w:tcW w:type="dxa" w:w="13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w:t>
            </w:r>
          </w:p>
        </w:tc>
        <w:tc>
          <w:tcPr>
            <w:tcW w:type="dxa" w:w="147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81</w:t>
            </w:r>
          </w:p>
        </w:tc>
        <w:tc>
          <w:tcPr>
            <w:tcW w:type="dxa" w:w="1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1,9x</w:t>
            </w:r>
          </w:p>
        </w:tc>
      </w:tr>
    </w:tbl>
    <w:p>
      <w:pPr>
        <w:spacing w:after="160" w:before="0"/>
      </w:pPr>
    </w:p>
    <w:p>
      <w:pPr>
        <w:pStyle w:val="Nota"/>
        <w:spacing w:after="100"/>
      </w:pPr>
      <w:r>
        <w:t xml:space="preserve">Días de inventario y de pago calculados sobre el coste de ventas.</w:t>
      </w:r>
    </w:p>
    <w:p>
      <w:pPr>
        <w:pStyle w:val="Nota"/>
        <w:spacing w:after="100"/>
      </w:pPr>
      <w:r>
        <w:t xml:space="preserve">Cambio de perímetro (2022: compra de Aparamenta Boreal (ficticia), consolidada desde octubre: tres meses en la cuenta y el balance completo). Los ratios de balance de ese año (días, circulante, deuda neta / EBITDA, ROIC) y los indicadores de calidad contable no son comparables con los anteriores.</w:t>
      </w:r>
    </w:p>
    <w:p>
      <w:pPr>
        <w:keepNext w:val="false"/>
        <w:spacing w:after="160" w:before="120"/>
        <w:jc w:val="center"/>
      </w:pPr>
      <w:r>
        <w:drawing>
          <wp:inline xmlns:wp="http://schemas.openxmlformats.org/drawingml/2006/wordprocessingDrawing" distT="0" distB="0" distL="0" distR="0">
            <wp:extent cx="5760000" cy="2340000"/>
            <wp:effectExtent l="0" t="0" r="0" b="0"/>
            <wp:docPr id="1012" name="Gráfico 12" descr="Capital circulante en día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2"/>
              </a:graphicData>
            </a:graphic>
          </wp:inline>
        </w:drawing>
      </w:r>
    </w:p>
    <w:p>
      <w:pPr>
        <w:spacing w:after="100"/>
      </w:pPr>
      <w:r>
        <w:t xml:space="preserve">La deuda neta baja de 2,0x a 1,3x EBITDA desde 2022. El ciclo de caja se ha mantenido estable en torno a 90 días [1].</w:t>
      </w:r>
    </w:p>
    <w:p>
      <w:pPr>
        <w:pStyle w:val="Heading1"/>
      </w:pPr>
      <w:r>
        <w:t xml:space="preserve">8. Flujos de caja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97"/>
        <w:gridCol w:w="1107"/>
        <w:gridCol w:w="886"/>
        <w:gridCol w:w="886"/>
        <w:gridCol w:w="886"/>
        <w:gridCol w:w="886"/>
        <w:gridCol w:w="997"/>
        <w:gridCol w:w="997"/>
        <w:gridCol w:w="997"/>
        <w:gridCol w:w="999"/>
      </w:tblGrid>
      <w:tr>
        <w:trPr>
          <w:cantSplit/>
          <w:tblHeader/>
        </w:trPr>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Flujo operativo</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Arrend.</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8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 B. neto</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ventas</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 / amort.</w:t>
            </w:r>
          </w:p>
        </w:tc>
        <w:tc>
          <w:tcPr>
            <w:tcW w:type="dxa" w:w="9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por acción</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0,76</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0,54</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221</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0,59</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0,85</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329</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214</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w:t>
            </w:r>
          </w:p>
        </w:tc>
      </w:tr>
      <w:tr>
        <w:trPr>
          <w:cantSplit/>
        </w:trPr>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357</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145</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8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235</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75 %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4,9 %</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1,1x</w:t>
            </w:r>
          </w:p>
        </w:tc>
        <w:tc>
          <w:tcPr>
            <w:tcW w:type="dxa" w:w="9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3" name="Gráfico 13" descr="Flujo de caja libre frente a beneficio net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3"/>
              </a:graphicData>
            </a:graphic>
          </wp:inline>
        </w:drawing>
      </w:r>
    </w:p>
    <w:p>
      <w:pPr>
        <w:spacing w:after="100"/>
      </w:pPr>
      <w:r>
        <w:t xml:space="preserve">Acumulado 2019-2025: FCF </w:t>
      </w:r>
      <w:r>
        <w:rPr>
          <w:b/>
          <w:bCs/>
        </w:rPr>
        <w:t xml:space="preserve">829</w:t>
      </w:r>
      <w:r>
        <w:t xml:space="preserve">, conversión </w:t>
      </w:r>
      <w:r>
        <w:rPr>
          <w:b/>
          <w:bCs/>
        </w:rPr>
        <w:t xml:space="preserve">67 %</w:t>
      </w:r>
      <w:r>
        <w:t xml:space="preserve"> del beneficio neto; adquisiciones 220, dividendos 541, recompras 120.</w:t>
      </w:r>
    </w:p>
    <w:p>
      <w:pPr>
        <w:spacing w:after="100"/>
      </w:pPr>
      <w:r>
        <w:t xml:space="preserve">La conversión de beneficio en caja es alta salvo en 2022, por la acumulación de inventario de cobre. La empresa estima el capex de mantenimiento en el 3 % de las ventas [1][8].</w:t>
      </w:r>
    </w:p>
    <w:p>
      <w:pPr>
        <w:pStyle w:val="Heading1"/>
      </w:pPr>
      <w:r>
        <w:t xml:space="preserve">9. Calidad contable</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Auditora Ejemplo</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Años como auditor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Opinión del último informe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Favorable</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Ejercicio analizado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2025</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53"/>
        <w:gridCol w:w="1147"/>
        <w:gridCol w:w="5738"/>
      </w:tblGrid>
      <w:tr>
        <w:trPr>
          <w:cantSplit/>
          <w:tblHeader/>
        </w:trPr>
        <w:tc>
          <w:tcPr>
            <w:tcW w:type="dxa" w:w="275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Indicador</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57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Lectura</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Altman Z</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4,33</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Zona segura (&gt; 2,99 seguro; &lt; 1,81 riesgo). No aplica a bancos ni aseguradoras, y subestima la solvencia de empresas con grandes anticipos de clientes o prefinanciación pública (contratistas, construcción), que inflan el pasivo.</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Piotroski F</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 / 9</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Fortaleza financiera alta (7-9).</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Beneish M</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-2,62</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Por debajo de −1,78: sin señal de manipulación.</w:t>
            </w:r>
          </w:p>
        </w:tc>
      </w:tr>
      <w:tr>
        <w:trPr>
          <w:cantSplit/>
        </w:trPr>
        <w:tc>
          <w:tcPr>
            <w:tcW w:type="dxa" w:w="275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Flujo operativo / beneficio neto (acumulado)</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1,12x</w:t>
            </w:r>
          </w:p>
        </w:tc>
        <w:tc>
          <w:tcPr>
            <w:tcW w:type="dxa" w:w="57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El beneficio se cobra.</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0"/>
        <w:gridCol w:w="1928"/>
      </w:tblGrid>
      <w:tr>
        <w:trPr>
          <w:cantSplit/>
          <w:tblHeader/>
        </w:trPr>
        <w:tc>
          <w:tcPr>
            <w:tcW w:type="dxa" w:w="77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 Piotroski</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Cumple</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Beneficio neto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positivo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ROA mejora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Flujo operativo &gt; beneficio neto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Baja el endeudamiento (deuda /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la liquidez corriente</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No emite acciones</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Mejora el margen bruto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77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Mejora la rotación del activo</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pStyle w:val="Heading2"/>
      </w:pPr>
      <w:r>
        <w:t xml:space="preserve">Ajustes, criterios contables y remuneración en acciones</w:t>
      </w:r>
    </w:p>
    <w:p>
      <w:pPr>
        <w:spacing w:after="100"/>
      </w:pPr>
      <w:r>
        <w:t xml:space="preserve">Sin cambios de criterio en cinco años. Capitaliza el 30 % del gasto en desarrollo, en línea con el sector [1]. Los tres indicadores del motor no muestran señales de alarma.</w:t>
      </w:r>
    </w:p>
    <w:p>
      <w:pPr>
        <w:pStyle w:val="Heading2"/>
      </w:pPr>
      <w:r>
        <w:t xml:space="preserve">Señales de alerta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71"/>
        <w:gridCol w:w="976"/>
        <w:gridCol w:w="5491"/>
      </w:tblGrid>
      <w:tr>
        <w:trPr>
          <w:cantSplit/>
          <w:tblHeader/>
        </w:trPr>
        <w:tc>
          <w:tcPr>
            <w:tcW w:type="dxa" w:w="317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w:t>
            </w:r>
          </w:p>
        </w:tc>
        <w:tc>
          <w:tcPr>
            <w:tcW w:type="dxa" w:w="9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Nivel</w:t>
            </w:r>
          </w:p>
        </w:tc>
        <w:tc>
          <w:tcPr>
            <w:tcW w:type="dxa" w:w="549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Explicación</w:t>
            </w:r>
          </w:p>
        </w:tc>
      </w:tr>
      <w:tr>
        <w:trPr>
          <w:cantSplit/>
        </w:trPr>
        <w:tc>
          <w:tcPr>
            <w:tcW w:type="dxa" w:w="317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Factoring sin recurso</w:t>
            </w:r>
          </w:p>
        </w:tc>
        <w:tc>
          <w:tcPr>
            <w:tcW w:type="dxa" w:w="9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Media</w:t>
            </w:r>
          </w:p>
        </w:tc>
        <w:tc>
          <w:tcPr>
            <w:tcW w:type="dxa" w:w="54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120 M fuera del balance que mejoran el circulante [1].</w:t>
            </w:r>
          </w:p>
        </w:tc>
      </w:tr>
    </w:tbl>
    <w:p>
      <w:pPr>
        <w:spacing w:after="160" w:before="0"/>
      </w:pPr>
    </w:p>
    <w:p>
      <w:pPr>
        <w:pStyle w:val="Heading1"/>
      </w:pPr>
      <w:r>
        <w:t xml:space="preserve">10. Rentabilidad sobre el capital</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126"/>
        <w:gridCol w:w="1126"/>
        <w:gridCol w:w="1251"/>
        <w:gridCol w:w="1251"/>
        <w:gridCol w:w="1251"/>
        <w:gridCol w:w="138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ROE</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ROA</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neto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Rotación del activo</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Apalancamiento</w:t>
            </w:r>
          </w:p>
        </w:tc>
        <w:tc>
          <w:tcPr>
            <w:tcW w:type="dxa" w:w="1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 invertido</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2016</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2017</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2018</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0,93x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0,87x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1.788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6,4 %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1,88x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1.907</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8,6 %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6,0 %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2.069</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7,2 %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0,95x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1,93x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2.138</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7,3 %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0,96x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1,90x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2.161</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11,8 %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7,7 %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0,97x</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1,86x</w:t>
            </w:r>
          </w:p>
        </w:tc>
        <w:tc>
          <w:tcPr>
            <w:tcW w:type="dxa" w:w="1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2.205</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4" name="Gráfico 14" descr="ROIC y ROE frente al coste del capital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4"/>
              </a:graphicData>
            </a:graphic>
          </wp:inline>
        </w:drawing>
      </w:r>
    </w:p>
    <w:p>
      <w:pPr>
        <w:spacing w:after="100"/>
      </w:pPr>
      <w:r>
        <w:rPr>
          <w:b/>
          <w:bCs/>
        </w:rPr>
        <w:t xml:space="preserve">ROIC incremental</w:t>
      </w:r>
      <w:r>
        <w:t xml:space="preserve"> (variación del NOPAT sobre variación del capital invertido en el periodo): 19,3 % · </w:t>
      </w:r>
      <w:r>
        <w:rPr>
          <w:b/>
          <w:bCs/>
        </w:rPr>
        <w:t xml:space="preserve">WACC</w:t>
      </w:r>
      <w:r>
        <w:t xml:space="preserve">: 8,5 %.</w:t>
      </w:r>
    </w:p>
    <w:p>
      <w:pPr>
        <w:spacing w:after="100"/>
      </w:pPr>
      <w:r>
        <w:t xml:space="preserve">El ROIC supera al WACC todos los años desde 2016 y el diferencial se amplía con el peso de redes. El ROIC incremental confirma que el crecimiento reciente crea valor [1].</w:t>
      </w:r>
    </w:p>
    <w:p>
      <w:pPr>
        <w:pStyle w:val="Heading1"/>
      </w:pPr>
      <w:r>
        <w:t xml:space="preserve">11. Deuda y solvencia</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 30 jun 2026</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550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 EBITDA últimos 12 m</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1,1x</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Pasivos asimilables a deuda (pensiones y otros)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45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595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Deuda neta ajustada / EBITDA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Liquidez disponible</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Caja de 210 M y líneas comprometidas no dispuestas de 500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Rating</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BBB (agencia ficticia), perspectiva estable [14]</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Coste medio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Vida media de la deuda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5" name="Gráfico 15" descr="Deuda neta / EBITDA al cierre de cada ejercicio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5"/>
              </a:graphicData>
            </a:graphic>
          </wp:inline>
        </w:drawing>
      </w:r>
    </w:p>
    <w:p>
      <w:pPr>
        <w:keepNext w:val="false"/>
        <w:spacing w:after="160" w:before="120"/>
        <w:jc w:val="center"/>
      </w:pPr>
      <w:r>
        <w:drawing>
          <wp:inline xmlns:wp="http://schemas.openxmlformats.org/drawingml/2006/wordprocessingDrawing" distT="0" distB="0" distL="0" distR="0">
            <wp:extent cx="5760000" cy="2160000"/>
            <wp:effectExtent l="0" t="0" r="0" b="0"/>
            <wp:docPr id="1016" name="Gráfico 16" descr="Vencimientos de la deuda brut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6"/>
              </a:graphicData>
            </a:graphic>
          </wp:inline>
        </w:drawing>
      </w:r>
    </w:p>
    <w:p>
      <w:pPr>
        <w:pStyle w:val="Heading2"/>
      </w:pPr>
      <w:r>
        <w:t xml:space="preserve">Covenants, pasivos fuera de la deuda y contingencias</w:t>
      </w:r>
    </w:p>
    <w:p>
      <w:pPr>
        <w:spacing w:after="100"/>
      </w:pPr>
      <w:r>
        <w:t xml:space="preserve">Covenant de DN/EBITDA &lt; 3,5x, con holgura amplia. Factoring sin recurso de 120 M, que conviene sumar a la deuda en una lectura prudente. Reclamación fiscal de 18 M en Brasil, provisionada al 50 % [1].</w:t>
      </w:r>
    </w:p>
    <w:p>
      <w:pPr>
        <w:pStyle w:val="Heading1"/>
      </w:pPr>
      <w:r>
        <w:t xml:space="preserve">12. Asignación de capital</w:t>
      </w:r>
    </w:p>
    <w:p>
      <w:pPr>
        <w:pStyle w:val="Confianza"/>
        <w:spacing w:after="100"/>
      </w:pPr>
      <w:r>
        <w:t xml:space="preserve">Confianza: Alta</w:t>
      </w:r>
    </w:p>
    <w:p>
      <w:pPr>
        <w:spacing w:after="100"/>
      </w:pPr>
      <w:r>
        <w:t xml:space="preserve">Reparte el 40-50 % del beneficio y tiene un programa de recompra de hasta 100 M. Prioridad declarada: crecimiento orgánico en redes y compras pequeñas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26"/>
        <w:gridCol w:w="1126"/>
        <w:gridCol w:w="1251"/>
        <w:gridCol w:w="1251"/>
        <w:gridCol w:w="1251"/>
        <w:gridCol w:w="1251"/>
        <w:gridCol w:w="1251"/>
        <w:gridCol w:w="1131"/>
      </w:tblGrid>
      <w:tr>
        <w:trPr>
          <w:cantSplit/>
          <w:tblHeader/>
        </w:trPr>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Adquisiciones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Dividendos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Recompras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Ampliaciones</w:t>
            </w:r>
          </w:p>
        </w:tc>
        <w:tc>
          <w:tcPr>
            <w:tcW w:type="dxa" w:w="12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Retorno / B. neto</w:t>
            </w:r>
          </w:p>
        </w:tc>
        <w:tc>
          <w:tcPr>
            <w:tcW w:type="dxa" w:w="11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 (M)</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2019</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2021</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68</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2022</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45 %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139</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59 %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157</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63 %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162,0</w:t>
            </w:r>
          </w:p>
        </w:tc>
      </w:tr>
      <w:tr>
        <w:trPr>
          <w:cantSplit/>
        </w:trPr>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2025</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176</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104</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w:t>
            </w:r>
          </w:p>
        </w:tc>
        <w:tc>
          <w:tcPr>
            <w:tcW w:type="dxa" w:w="12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66 %</w:t>
            </w:r>
          </w:p>
        </w:tc>
        <w:tc>
          <w:tcPr>
            <w:tcW w:type="dxa" w:w="11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160,0</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17" name="Gráfico 17" descr="Usos de la caja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7"/>
              </a:graphicData>
            </a:graphic>
          </wp:inline>
        </w:drawing>
      </w:r>
    </w:p>
    <w:p>
      <w:pPr>
        <w:pStyle w:val="Heading2"/>
      </w:pPr>
      <w:r>
        <w:t xml:space="preserve">Historial de adquisiciones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
        <w:gridCol w:w="2141"/>
        <w:gridCol w:w="951"/>
        <w:gridCol w:w="951"/>
        <w:gridCol w:w="1308"/>
        <w:gridCol w:w="3574"/>
      </w:tblGrid>
      <w:tr>
        <w:trPr>
          <w:cantSplit/>
          <w:tblHeader/>
        </w:trPr>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21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c>
          <w:tcPr>
            <w:tcW w:type="dxa" w:w="95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13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Financiación</w:t>
            </w:r>
          </w:p>
        </w:tc>
        <w:tc>
          <w:tcPr>
            <w:tcW w:type="dxa" w:w="357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Resultado</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2022</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especiales (Polonia)</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8,0x</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Deuda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Cumple el plan; sin deterioros [1].</w:t>
            </w:r>
          </w:p>
        </w:tc>
      </w:tr>
      <w:tr>
        <w:trPr>
          <w:cantSplit/>
        </w:trPr>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2021</w:t>
            </w:r>
          </w:p>
        </w:tc>
        <w:tc>
          <w:tcPr>
            <w:tcW w:type="dxa" w:w="21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Software de red</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40</w:t>
            </w:r>
          </w:p>
        </w:tc>
        <w:tc>
          <w:tcPr>
            <w:tcW w:type="dxa" w:w="95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13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Caja</w:t>
            </w:r>
          </w:p>
        </w:tc>
        <w:tc>
          <w:tcPr>
            <w:tcW w:type="dxa" w:w="357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Integrada en redes [2].</w:t>
            </w:r>
          </w:p>
        </w:tc>
      </w:tr>
    </w:tbl>
    <w:p>
      <w:pPr>
        <w:spacing w:after="160" w:before="0"/>
      </w:pPr>
    </w:p>
    <w:p>
      <w:pPr>
        <w:spacing w:after="100"/>
      </w:pPr>
      <w:r>
        <w:t xml:space="preserve">Disciplina razonable: compras pequeñas a múltiplos moderados y recompras con el ROIC por encima del WACC [1][8].</w:t>
      </w:r>
    </w:p>
    <w:p>
      <w:r>
        <w:br w:type="page"/>
      </w:r>
    </w:p>
    <w:p>
      <w:pPr>
        <w:pStyle w:val="Parte"/>
      </w:pPr>
      <w:r>
        <w:t xml:space="preserve">Parte III — Equipo y gobierno</w:t>
      </w:r>
    </w:p>
    <w:p>
      <w:pPr>
        <w:pStyle w:val="Heading1"/>
      </w:pPr>
      <w:r>
        <w:t xml:space="preserve">13. Equipo directivo</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63"/>
        <w:gridCol w:w="1527"/>
        <w:gridCol w:w="705"/>
        <w:gridCol w:w="940"/>
        <w:gridCol w:w="4703"/>
      </w:tblGrid>
      <w:tr>
        <w:trPr>
          <w:cantSplit/>
          <w:tblHeader/>
        </w:trPr>
        <w:tc>
          <w:tcPr>
            <w:tcW w:type="dxa" w:w="17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Nombre</w:t>
            </w:r>
          </w:p>
        </w:tc>
        <w:tc>
          <w:tcPr>
            <w:tcW w:type="dxa" w:w="15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7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9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470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Trayectoria y resultados</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0,15 %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Antes dirigió redes; con ella el margen EBITDA ha subido 160 pb [1].</w:t>
            </w:r>
          </w:p>
        </w:tc>
      </w:tr>
      <w:tr>
        <w:trPr>
          <w:cantSplit/>
        </w:trPr>
        <w:tc>
          <w:tcPr>
            <w:tcW w:type="dxa" w:w="17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Director Financiero (ficticio)</w:t>
            </w:r>
          </w:p>
        </w:tc>
        <w:tc>
          <w:tcPr>
            <w:tcW w:type="dxa" w:w="15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Director financiero</w:t>
            </w:r>
          </w:p>
        </w:tc>
        <w:tc>
          <w:tcPr>
            <w:tcW w:type="dxa" w:w="7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2021</w:t>
            </w:r>
          </w:p>
        </w:tc>
        <w:tc>
          <w:tcPr>
            <w:tcW w:type="dxa" w:w="9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0,02 %</w:t>
            </w:r>
          </w:p>
        </w:tc>
        <w:tc>
          <w:tcPr>
            <w:tcW w:type="dxa" w:w="470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Viene de un grupo industrial cotizado [9].</w:t>
            </w:r>
          </w:p>
        </w:tc>
      </w:tr>
    </w:tbl>
    <w:p>
      <w:pPr>
        <w:spacing w:after="160" w:before="0"/>
      </w:pPr>
    </w:p>
    <w:p>
      <w:pPr>
        <w:pStyle w:val="Heading2"/>
      </w:pPr>
      <w:r>
        <w:t xml:space="preserve">¿Cumple lo que promete?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76"/>
        <w:gridCol w:w="3796"/>
        <w:gridCol w:w="3796"/>
        <w:gridCol w:w="1170"/>
      </w:tblGrid>
      <w:tr>
        <w:trPr>
          <w:cantSplit/>
          <w:tblHeader/>
        </w:trPr>
        <w:tc>
          <w:tcPr>
            <w:tcW w:type="dxa" w:w="8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Año</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prometió</w:t>
            </w:r>
          </w:p>
        </w:tc>
        <w:tc>
          <w:tcPr>
            <w:tcW w:type="dxa" w:w="37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Lo que logró</w:t>
            </w:r>
          </w:p>
        </w:tc>
        <w:tc>
          <w:tcPr>
            <w:tcW w:type="dxa" w:w="117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Cumplió</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2023</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14,5 %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+6,2 %; 14,9 %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2024</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Crecer 5-7 %; margen ≥ 15 %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+4,8 %; 15,4 %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Parcial</w:t>
            </w:r>
          </w:p>
        </w:tc>
      </w:tr>
      <w:tr>
        <w:trPr>
          <w:cantSplit/>
        </w:trPr>
        <w:tc>
          <w:tcPr>
            <w:tcW w:type="dxa" w:w="8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2025</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Crecer ~5 %; margen ≥ 15,5 %</w:t>
            </w:r>
          </w:p>
        </w:tc>
        <w:tc>
          <w:tcPr>
            <w:tcW w:type="dxa" w:w="3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+5,1 %; 15,9 %</w:t>
            </w:r>
          </w:p>
        </w:tc>
        <w:tc>
          <w:tcPr>
            <w:tcW w:type="dxa" w:w="117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Sí</w:t>
            </w:r>
          </w:p>
        </w:tc>
      </w:tr>
    </w:tbl>
    <w:p>
      <w:pPr>
        <w:spacing w:after="160" w:before="0"/>
      </w:pPr>
    </w:p>
    <w:p>
      <w:pPr>
        <w:spacing w:after="100"/>
      </w:pPr>
      <w:r>
        <w:t xml:space="preserve">Cumple o casi cumple sus guías desde 2023. Sucesión sin plan público [9].</w:t>
      </w:r>
    </w:p>
    <w:p>
      <w:pPr>
        <w:pStyle w:val="Heading1"/>
      </w:pPr>
      <w:r>
        <w:t xml:space="preserve">14. Gobierno corporativo</w:t>
      </w:r>
    </w:p>
    <w:p>
      <w:pPr>
        <w:pStyle w:val="Confianza"/>
        <w:spacing w:after="100"/>
      </w:pPr>
      <w:r>
        <w:t xml:space="preserve">Confianza: Alta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Consejeros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Independientes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57 %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Antigüedad media en el consejo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8,6 años</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Criterios de buen gobierno cumplidos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12 de 12</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Cambios de presidente o primer ejecutivo (24 meses)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18" name="Gráfico 18" descr="Composición del consejo (número de consejero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43"/>
        <w:gridCol w:w="1900"/>
        <w:gridCol w:w="1493"/>
        <w:gridCol w:w="814"/>
        <w:gridCol w:w="2988"/>
      </w:tblGrid>
      <w:tr>
        <w:trPr>
          <w:cantSplit/>
          <w:tblHeader/>
        </w:trPr>
        <w:tc>
          <w:tcPr>
            <w:tcW w:type="dxa" w:w="244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Consejero</w:t>
            </w:r>
          </w:p>
        </w:tc>
        <w:tc>
          <w:tcPr>
            <w:tcW w:type="dxa" w:w="190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Cargo</w:t>
            </w:r>
          </w:p>
        </w:tc>
        <w:tc>
          <w:tcPr>
            <w:tcW w:type="dxa" w:w="14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81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Desde</w:t>
            </w:r>
          </w:p>
        </w:tc>
        <w:tc>
          <w:tcPr>
            <w:tcW w:type="dxa" w:w="29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Comisiones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Presidente</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Nombramientos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Directora General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Ejecutivo</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2019</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familiar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Dominical</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2012</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Estrategia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A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Coordinadora</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2017</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 (presidenta)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 independiente B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2020</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Retribuciones</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Consejera independiente C (ficticia)</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2021</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Auditoría</w:t>
            </w:r>
          </w:p>
        </w:tc>
      </w:tr>
      <w:tr>
        <w:trPr>
          <w:cantSplit/>
        </w:trPr>
        <w:tc>
          <w:tcPr>
            <w:tcW w:type="dxa" w:w="244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Consejero independiente D (ficticio)</w:t>
            </w:r>
          </w:p>
        </w:tc>
        <w:tc>
          <w:tcPr>
            <w:tcW w:type="dxa" w:w="190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Vocal</w:t>
            </w:r>
          </w:p>
        </w:tc>
        <w:tc>
          <w:tcPr>
            <w:tcW w:type="dxa" w:w="14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Independiente</w:t>
            </w:r>
          </w:p>
        </w:tc>
        <w:tc>
          <w:tcPr>
            <w:tcW w:type="dxa" w:w="81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2023</w:t>
            </w:r>
          </w:p>
        </w:tc>
        <w:tc>
          <w:tcPr>
            <w:tcW w:type="dxa" w:w="29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Nombramientos</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236"/>
        <w:gridCol w:w="1984"/>
        <w:gridCol w:w="1418"/>
      </w:tblGrid>
      <w:tr>
        <w:trPr>
          <w:cantSplit/>
          <w:tblHeader/>
        </w:trPr>
        <w:tc>
          <w:tcPr>
            <w:tcW w:type="dxa" w:w="62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Criterio</w:t>
            </w:r>
          </w:p>
        </w:tc>
        <w:tc>
          <w:tcPr>
            <w:tcW w:type="dxa" w:w="198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Dato</w:t>
            </w:r>
          </w:p>
        </w:tc>
        <w:tc>
          <w:tcPr>
            <w:tcW w:type="dxa" w:w="141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Consejeros independientes ≥ 50 % (≥ 33 % si hay accionista de control)</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57 %</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Presidente no ejecutivo, o consejero coordinador independiente</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Separados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Comisión de auditoría con mayoría de independientes y presidida por uno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Ningún consejero «otro externo» con más de 12 años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Ninguno</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Estabilidad de la cúpula: como mucho un cambio de presidente o primer ejecutivo en 24 meses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0 cambios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Peor voto en contra sobre remuneración (3 juntas) ≤ 20 %</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9,6 % en contra</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Variable a largo plazo ligado a rentabilidad (ROIC, TSR, FCF)</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Una acción, un voto, sin blindajes ni límites de voto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Sí</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Sin operaciones vinculadas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No hay</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Auditor con 10 años o menos en el cargo</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7 años</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Opinión de auditoría sin salvedades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Favorable</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Cumple</w:t>
            </w:r>
          </w:p>
        </w:tc>
      </w:tr>
      <w:tr>
        <w:trPr>
          <w:cantSplit/>
        </w:trPr>
        <w:tc>
          <w:tcPr>
            <w:tcW w:type="dxa" w:w="62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Directivos compradores netos en 12 meses (o sin ventas relevantes)</w:t>
            </w:r>
          </w:p>
        </w:tc>
        <w:tc>
          <w:tcPr>
            <w:tcW w:type="dxa" w:w="198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Compras 0,64 / ventas 0,00 M</w:t>
            </w:r>
          </w:p>
        </w:tc>
        <w:tc>
          <w:tcPr>
            <w:tcW w:type="dxa" w:w="141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Cumple</w:t>
            </w:r>
          </w:p>
        </w:tc>
      </w:tr>
    </w:tbl>
    <w:p>
      <w:pPr>
        <w:spacing w:after="160" w:before="0"/>
      </w:pPr>
    </w:p>
    <w:p>
      <w:pPr>
        <w:pStyle w:val="Heading2"/>
      </w:pPr>
      <w:r>
        <w:t xml:space="preserve">Accionariado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41"/>
        <w:gridCol w:w="1156"/>
        <w:gridCol w:w="1799"/>
        <w:gridCol w:w="3342"/>
      </w:tblGrid>
      <w:tr>
        <w:trPr>
          <w:cantSplit/>
          <w:tblHeader/>
        </w:trPr>
        <w:tc>
          <w:tcPr>
            <w:tcW w:type="dxa" w:w="33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Accionista</w:t>
            </w:r>
          </w:p>
        </w:tc>
        <w:tc>
          <w:tcPr>
            <w:tcW w:type="dxa" w:w="11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 capital</w:t>
            </w:r>
          </w:p>
        </w:tc>
        <w:tc>
          <w:tcPr>
            <w:tcW w:type="dxa" w:w="17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33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Movimientos recientes</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Familia fundadora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28,00 %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Familiar</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Estable</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Fondo de pensiones nórdico</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Sube desde el 3,0 % en 2025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Gestora estadounidense</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Institucional</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Nueva [11]</w:t>
            </w:r>
          </w:p>
        </w:tc>
      </w:tr>
      <w:tr>
        <w:trPr>
          <w:cantSplit/>
        </w:trPr>
        <w:tc>
          <w:tcPr>
            <w:tcW w:type="dxa" w:w="33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Autocartera</w:t>
            </w:r>
          </w:p>
        </w:tc>
        <w:tc>
          <w:tcPr>
            <w:tcW w:type="dxa" w:w="11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1,20 %</w:t>
            </w:r>
          </w:p>
        </w:tc>
        <w:tc>
          <w:tcPr>
            <w:tcW w:type="dxa" w:w="17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Autocartera</w:t>
            </w:r>
          </w:p>
        </w:tc>
        <w:tc>
          <w:tcPr>
            <w:tcW w:type="dxa" w:w="33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Por recompras</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19" name="Gráfico 19" descr="Accionistas significativos (% del capital)"/>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19"/>
              </a:graphicData>
            </a:graphic>
          </wp:inline>
        </w:drawing>
      </w:r>
    </w:p>
    <w:p>
      <w:pPr>
        <w:pStyle w:val="Heading2"/>
      </w:pPr>
      <w:r>
        <w:t xml:space="preserve">Compras y ventas de consejeros y directivos (12 meses)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21"/>
        <w:gridCol w:w="3381"/>
        <w:gridCol w:w="1521"/>
        <w:gridCol w:w="1690"/>
        <w:gridCol w:w="1525"/>
      </w:tblGrid>
      <w:tr>
        <w:trPr>
          <w:cantSplit/>
          <w:tblHeader/>
        </w:trPr>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3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Persona</w:t>
            </w:r>
          </w:p>
        </w:tc>
        <w:tc>
          <w:tcPr>
            <w:tcW w:type="dxa" w:w="15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Operación</w:t>
            </w:r>
          </w:p>
        </w:tc>
        <w:tc>
          <w:tcPr>
            <w:tcW w:type="dxa" w:w="16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Acciones</w:t>
            </w:r>
          </w:p>
        </w:tc>
        <w:tc>
          <w:tcPr>
            <w:tcW w:type="dxa" w:w="15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 (M)</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12 mar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Consejera delegada</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0,55</w:t>
            </w:r>
          </w:p>
        </w:tc>
      </w:tr>
      <w:tr>
        <w:trPr>
          <w:cantSplit/>
        </w:trPr>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5 ago 2026</w:t>
            </w:r>
          </w:p>
        </w:tc>
        <w:tc>
          <w:tcPr>
            <w:tcW w:type="dxa" w:w="33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Consejero independiente B</w:t>
            </w:r>
          </w:p>
        </w:tc>
        <w:tc>
          <w:tcPr>
            <w:tcW w:type="dxa" w:w="15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Compra</w:t>
            </w:r>
          </w:p>
        </w:tc>
        <w:tc>
          <w:tcPr>
            <w:tcW w:type="dxa" w:w="16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3.000</w:t>
            </w:r>
          </w:p>
        </w:tc>
        <w:tc>
          <w:tcPr>
            <w:tcW w:type="dxa" w:w="15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0,09</w:t>
            </w:r>
          </w:p>
        </w:tc>
      </w:tr>
    </w:tbl>
    <w:p>
      <w:pPr>
        <w:spacing w:after="160" w:before="0"/>
      </w:pPr>
    </w:p>
    <w:p>
      <w:pPr>
        <w:pStyle w:val="Heading2"/>
      </w:pPr>
      <w:r>
        <w:t xml:space="preserve">Remuneración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Remuneración total del primer ejecutivo (2025)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Fijo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0,90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anual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0,80 M</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Variable a largo plazo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0,70 M</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a favor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88,2 %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Peor voto en contra (3 juntas)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9,6 %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Ratio sobre salario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52x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p>
        </w:tc>
      </w:tr>
    </w:tbl>
    <w:p>
      <w:pPr>
        <w:spacing w:after="160" w:before="0"/>
      </w:pPr>
    </w:p>
    <w:p>
      <w:pPr>
        <w:spacing w:after="100"/>
      </w:pPr>
      <w:r>
        <w:t xml:space="preserve">El variable a largo plazo depende al 50 % del ROIC y al 50 % del rendimiento total frente al IBEX; tiene cláusula de recuperación [10].</w:t>
      </w:r>
    </w:p>
    <w:p>
      <w:pPr>
        <w:pStyle w:val="Heading2"/>
      </w:pPr>
      <w:r>
        <w:t xml:space="preserve">Operaciones vinculadas, estructura de control y defensas</w:t>
      </w:r>
    </w:p>
    <w:p>
      <w:pPr>
        <w:spacing w:after="100"/>
      </w:pPr>
      <w:r>
        <w:t xml:space="preserve">La familia fundadora tiene el 28 % sin pacto con otros accionistas. No hay operaciones vinculadas relevantes ni límites de voto [9].</w:t>
      </w:r>
    </w:p>
    <w:p>
      <w:pPr>
        <w:pStyle w:val="Heading2"/>
      </w:pPr>
      <w:r>
        <w:t xml:space="preserve">Señales de alerta</w:t>
      </w:r>
    </w:p>
    <w:p>
      <w:pPr>
        <w:pStyle w:val="ListParagraph"/>
        <w:numPr>
          <w:ilvl w:val="0"/>
          <w:numId w:val="2"/>
        </w:numPr>
        <w:spacing w:after="60"/>
      </w:pPr>
      <w:r>
        <w:t xml:space="preserve">Ninguna relevante detectada tras revisar IAGC, IARC y hechos relevantes [12][13].</w:t>
      </w:r>
    </w:p>
    <w:p>
      <w:r>
        <w:br w:type="page"/>
      </w:r>
    </w:p>
    <w:p>
      <w:pPr>
        <w:pStyle w:val="Parte"/>
      </w:pPr>
      <w:r>
        <w:t xml:space="preserve">Parte IV — Mercado y valoración</w:t>
      </w:r>
    </w:p>
    <w:p>
      <w:pPr>
        <w:pStyle w:val="Heading1"/>
      </w:pPr>
      <w:r>
        <w:t xml:space="preserve">15. Previsiones de la compañía y consenso</w:t>
      </w:r>
    </w:p>
    <w:p>
      <w:pPr>
        <w:pStyle w:val="Confianza"/>
        <w:spacing w:after="100"/>
      </w:pPr>
      <w:r>
        <w:t xml:space="preserve">Confianza: Media</w:t>
      </w:r>
    </w:p>
    <w:p>
      <w:pPr>
        <w:spacing w:after="100"/>
      </w:pPr>
      <w:r>
        <w:t xml:space="preserve">Para 2026: crecimiento del 6-8 % y margen EBITDA ≥ 16 %, elevado en julio de 2026 [4]. Plan 2028: margen del 17 %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41"/>
        <w:gridCol w:w="1302"/>
        <w:gridCol w:w="1302"/>
        <w:gridCol w:w="1302"/>
        <w:gridCol w:w="1041"/>
        <w:gridCol w:w="1041"/>
        <w:gridCol w:w="2609"/>
      </w:tblGrid>
      <w:tr>
        <w:trPr>
          <w:cantSplit/>
          <w:tblHeader/>
        </w:trPr>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130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BPA</w:t>
            </w:r>
          </w:p>
        </w:tc>
        <w:tc>
          <w:tcPr>
            <w:tcW w:type="dxa" w:w="104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DPA</w:t>
            </w:r>
          </w:p>
        </w:tc>
        <w:tc>
          <w:tcPr>
            <w:tcW w:type="dxa" w:w="260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Fuente</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1,63</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0,72</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0,78</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Consenso, 11 analistas [16]</w:t>
            </w:r>
          </w:p>
        </w:tc>
      </w:tr>
      <w:tr>
        <w:trPr>
          <w:cantSplit/>
        </w:trPr>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30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436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1,96</w:t>
            </w:r>
          </w:p>
        </w:tc>
        <w:tc>
          <w:tcPr>
            <w:tcW w:type="dxa" w:w="104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0,85</w:t>
            </w:r>
          </w:p>
        </w:tc>
        <w:tc>
          <w:tcPr>
            <w:tcW w:type="dxa" w:w="260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9 analistas [17]</w:t>
            </w:r>
          </w:p>
        </w:tc>
      </w:tr>
    </w:tbl>
    <w:p>
      <w:pPr>
        <w:spacing w:after="160" w:before="0"/>
      </w:pPr>
    </w:p>
    <w:p>
      <w:pPr>
        <w:pStyle w:val="Heading2"/>
      </w:pPr>
      <w:r>
        <w:t xml:space="preserve">Nuestra proyección frente al consenso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4"/>
        <w:gridCol w:w="1505"/>
        <w:gridCol w:w="1505"/>
        <w:gridCol w:w="1204"/>
        <w:gridCol w:w="1505"/>
        <w:gridCol w:w="1505"/>
        <w:gridCol w:w="1210"/>
      </w:tblGrid>
      <w:tr>
        <w:trPr>
          <w:cantSplit/>
          <w:tblHeader/>
        </w:trPr>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propios</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 consenso</w:t>
            </w:r>
          </w:p>
        </w:tc>
        <w:tc>
          <w:tcPr>
            <w:tcW w:type="dxa" w:w="12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propio</w:t>
            </w:r>
          </w:p>
        </w:tc>
        <w:tc>
          <w:tcPr>
            <w:tcW w:type="dxa" w:w="15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 consenso</w:t>
            </w:r>
          </w:p>
        </w:tc>
        <w:tc>
          <w:tcPr>
            <w:tcW w:type="dxa" w:w="12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Dif.</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0,0 %</w:t>
            </w:r>
          </w:p>
        </w:tc>
      </w:tr>
      <w:tr>
        <w:trPr>
          <w:cantSplit/>
        </w:trPr>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2028e</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3.547</w:t>
            </w:r>
          </w:p>
        </w:tc>
        <w:tc>
          <w:tcPr>
            <w:tcW w:type="dxa" w:w="12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5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589</w:t>
            </w:r>
          </w:p>
        </w:tc>
        <w:tc>
          <w:tcPr>
            <w:tcW w:type="dxa" w:w="12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0,0 %</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Analistas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11</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Comprar / mantener / vender</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6 / 4 / 1</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Precio objetivo medio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34,20</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de precios objetivo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27,00 – 40,00</w:t>
            </w:r>
          </w:p>
        </w:tc>
      </w:tr>
    </w:tbl>
    <w:p>
      <w:pPr>
        <w:spacing w:after="160" w:before="0"/>
      </w:pPr>
    </w:p>
    <w:p>
      <w:pPr>
        <w:pStyle w:val="Heading2"/>
      </w:pPr>
      <w:r>
        <w:t xml:space="preserve">Revisiones de estimaciones</w:t>
      </w:r>
    </w:p>
    <w:p>
      <w:pPr>
        <w:spacing w:after="100"/>
      </w:pPr>
      <w:r>
        <w:t xml:space="preserve">El BPA de 2026 sube un 3 % en tres meses y un 7 % en doce, tras subir la guía de margen [16][17].</w:t>
      </w:r>
    </w:p>
    <w:p>
      <w:pPr>
        <w:pStyle w:val="Heading1"/>
      </w:pPr>
      <w:r>
        <w:t xml:space="preserve">16. Comportamiento en bolsa</w:t>
      </w:r>
    </w:p>
    <w:p>
      <w:pPr>
        <w:pStyle w:val="Confianza"/>
        <w:spacing w:after="100"/>
      </w:pPr>
      <w:r>
        <w:t xml:space="preserve">Confianza: Media</w:t>
      </w:r>
    </w:p>
    <w:p>
      <w:pPr>
        <w:pStyle w:val="Nota"/>
        <w:spacing w:after="100"/>
      </w:pPr>
      <w:r>
        <w:t xml:space="preserve">Rentabilidad total (con dividendos).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52"/>
        <w:gridCol w:w="2095"/>
        <w:gridCol w:w="2095"/>
        <w:gridCol w:w="2096"/>
      </w:tblGrid>
      <w:tr>
        <w:trPr>
          <w:cantSplit/>
          <w:tblHeader/>
        </w:trPr>
        <w:tc>
          <w:tcPr>
            <w:tcW w:type="dxa" w:w="335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Periodo</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Acción</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Índice</w:t>
            </w:r>
          </w:p>
        </w:tc>
        <w:tc>
          <w:tcPr>
            <w:tcW w:type="dxa" w:w="209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Sector</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En el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+16,2 %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año</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+22,0 %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+24,5 %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3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+15,5 %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+17,0 %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5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+11,1 %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+8,7 %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+12,4 %</w:t>
            </w:r>
          </w:p>
        </w:tc>
      </w:tr>
      <w:tr>
        <w:trPr>
          <w:cantSplit/>
        </w:trPr>
        <w:tc>
          <w:tcPr>
            <w:tcW w:type="dxa" w:w="335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10 años (anual.)</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+5,2 %</w:t>
            </w:r>
          </w:p>
        </w:tc>
        <w:tc>
          <w:tcPr>
            <w:tcW w:type="dxa" w:w="20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+9,1 %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0" name="Gráfico 20" descr="Rentabilidad total por año: acción frente a su índice (%)"/>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0"/>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Beta (5 años, mensual)</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1,08</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Volatilidad anualizada (1 año)</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24,5 %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Máxima caída (5 años)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-38,0 %</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Posiciones cortas</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0,6 %</w:t>
            </w:r>
          </w:p>
        </w:tc>
      </w:tr>
    </w:tbl>
    <w:p>
      <w:pPr>
        <w:spacing w:after="160" w:before="0"/>
      </w:pPr>
    </w:p>
    <w:p>
      <w:pPr>
        <w:spacing w:after="100"/>
      </w:pPr>
      <w:r>
        <w:t xml:space="preserve">Supera al índice en el último año por la mejora de márgenes, pero se queda por detrás del sector, que se ha beneficiado más del ciclo de redes [15].</w:t>
      </w:r>
    </w:p>
    <w:p>
      <w:pPr>
        <w:pStyle w:val="Heading1"/>
      </w:pPr>
      <w:r>
        <w:t xml:space="preserve">17. Múltiplos frente a su historia</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27"/>
        <w:gridCol w:w="1098"/>
        <w:gridCol w:w="1098"/>
        <w:gridCol w:w="1098"/>
        <w:gridCol w:w="1098"/>
        <w:gridCol w:w="1098"/>
        <w:gridCol w:w="1221"/>
      </w:tblGrid>
      <w:tr>
        <w:trPr>
          <w:cantSplit/>
          <w:tblHeader/>
        </w:trPr>
        <w:tc>
          <w:tcPr>
            <w:tcW w:type="dxa" w:w="2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Actual</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Media</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c>
          <w:tcPr>
            <w:tcW w:type="dxa" w:w="109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Percentil</w:t>
            </w:r>
          </w:p>
        </w:tc>
        <w:tc>
          <w:tcPr>
            <w:tcW w:type="dxa" w:w="122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 / descuento</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14,3x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últimos 12 meses (cierre de cada año)</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20,4x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28,7x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7,6x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+14 %</w:t>
            </w:r>
          </w:p>
        </w:tc>
      </w:tr>
      <w:tr>
        <w:trPr>
          <w:cantSplit/>
        </w:trPr>
        <w:tc>
          <w:tcPr>
            <w:tcW w:type="dxa" w:w="2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 próximos 12 meses</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17,9x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16,0x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13,1x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19,8x</w:t>
            </w:r>
          </w:p>
        </w:tc>
        <w:tc>
          <w:tcPr>
            <w:tcW w:type="dxa" w:w="109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80 %</w:t>
            </w:r>
          </w:p>
        </w:tc>
        <w:tc>
          <w:tcPr>
            <w:tcW w:type="dxa" w:w="122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340000"/>
            <wp:effectExtent l="0" t="0" r="0" b="0"/>
            <wp:docPr id="1021" name="Gráfico 21" descr="EV/EBITDA últimos 12 meses (cierre de cada año): historia y media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1"/>
              </a:graphicData>
            </a:graphic>
          </wp:inline>
        </w:drawing>
      </w:r>
    </w:p>
    <w:p>
      <w:pPr>
        <w:spacing w:after="100"/>
      </w:pPr>
      <w:r>
        <w:t xml:space="preserve">Cotiza por encima de su media de diez años; la prima se explica por el mayor peso de redes, más estable [18].</w:t>
      </w:r>
    </w:p>
    <w:p>
      <w:pPr>
        <w:pStyle w:val="Heading1"/>
      </w:pPr>
      <w:r>
        <w:t xml:space="preserve">18. Comparables cotizados</w:t>
      </w:r>
    </w:p>
    <w:p>
      <w:pPr>
        <w:pStyle w:val="Confianza"/>
        <w:spacing w:after="100"/>
      </w:pPr>
      <w:r>
        <w:t xml:space="preserve">Confianza: Media</w:t>
      </w:r>
    </w:p>
    <w:p>
      <w:pPr>
        <w:spacing w:after="100"/>
      </w:pPr>
      <w:r>
        <w:t xml:space="preserve">Fabricantes europeos cotizados de equipos de distribución eléctrica con más de 1.000 M de ingresos. Se excluyen los conglomerados con menos del 40 % del negocio en distribución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15"/>
        <w:gridCol w:w="504"/>
        <w:gridCol w:w="908"/>
        <w:gridCol w:w="706"/>
        <w:gridCol w:w="807"/>
        <w:gridCol w:w="807"/>
        <w:gridCol w:w="706"/>
        <w:gridCol w:w="706"/>
        <w:gridCol w:w="756"/>
        <w:gridCol w:w="655"/>
        <w:gridCol w:w="655"/>
        <w:gridCol w:w="713"/>
      </w:tblGrid>
      <w:tr>
        <w:trPr>
          <w:cantSplit/>
          <w:tblHeader/>
        </w:trPr>
        <w:tc>
          <w:tcPr>
            <w:tcW w:type="dxa" w:w="171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Empresa</w:t>
            </w:r>
          </w:p>
        </w:tc>
        <w:tc>
          <w:tcPr>
            <w:tcW w:type="dxa" w:w="50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País</w:t>
            </w:r>
          </w:p>
        </w:tc>
        <w:tc>
          <w:tcPr>
            <w:tcW w:type="dxa" w:w="9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Capitaliz.</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8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7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7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c>
          <w:tcPr>
            <w:tcW w:type="dxa" w:w="6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DN/ EBITDA</w:t>
            </w:r>
          </w:p>
        </w:tc>
        <w:tc>
          <w:tcPr>
            <w:tcW w:type="dxa" w:w="7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 yield</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Compañía Ejemplo</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5.024</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Grupo Alfa</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FR</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14,1x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0,9x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3,9 %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 Energy</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11,4x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10,6x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19,4x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14,2 %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4,6 %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Gamma Systems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CH</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26.000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0,4x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Delta Cables</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IT</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9,6x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8,9x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14,8x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11,5 %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9,7 %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6,1 %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Epsilon Grid</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7.400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20,1x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4,4 %</w:t>
            </w:r>
          </w:p>
        </w:tc>
      </w:tr>
      <w:tr>
        <w:trPr>
          <w:cantSplit/>
        </w:trPr>
        <w:tc>
          <w:tcPr>
            <w:tcW w:type="dxa" w:w="171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Zeta Power</w:t>
            </w:r>
          </w:p>
        </w:tc>
        <w:tc>
          <w:tcPr>
            <w:tcW w:type="dxa" w:w="50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NL</w:t>
            </w:r>
          </w:p>
        </w:tc>
        <w:tc>
          <w:tcPr>
            <w:tcW w:type="dxa" w:w="9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3.100</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10,2x</w:t>
            </w:r>
          </w:p>
        </w:tc>
        <w:tc>
          <w:tcPr>
            <w:tcW w:type="dxa" w:w="8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9,5x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16,3x</w:t>
            </w:r>
          </w:p>
        </w:tc>
        <w:tc>
          <w:tcPr>
            <w:tcW w:type="dxa" w:w="7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+5,0 %</w:t>
            </w:r>
          </w:p>
        </w:tc>
        <w:tc>
          <w:tcPr>
            <w:tcW w:type="dxa" w:w="7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12,4 %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10,1 %</w:t>
            </w:r>
          </w:p>
        </w:tc>
        <w:tc>
          <w:tcPr>
            <w:tcW w:type="dxa" w:w="6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1,8x</w:t>
            </w:r>
          </w:p>
        </w:tc>
        <w:tc>
          <w:tcPr>
            <w:tcW w:type="dxa" w:w="7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5,3 %</w:t>
            </w:r>
          </w:p>
        </w:tc>
      </w:tr>
    </w:tbl>
    <w:p>
      <w:pPr>
        <w:spacing w:after="160" w:before="0"/>
      </w:pPr>
    </w:p>
    <w:p>
      <w:pPr>
        <w:pStyle w:val="Nota"/>
        <w:spacing w:after="100"/>
      </w:pPr>
      <w:r>
        <w:t xml:space="preserve">La primera fila es la empresa analizada (calculada con sus propios datos). Los estadísticos excluyen a la empresa.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48"/>
        <w:gridCol w:w="1056"/>
        <w:gridCol w:w="1188"/>
        <w:gridCol w:w="1188"/>
        <w:gridCol w:w="1056"/>
        <w:gridCol w:w="1056"/>
        <w:gridCol w:w="1188"/>
        <w:gridCol w:w="1058"/>
      </w:tblGrid>
      <w:tr>
        <w:trPr>
          <w:cantSplit/>
          <w:tblHeader/>
        </w:trPr>
        <w:tc>
          <w:tcPr>
            <w:tcW w:type="dxa" w:w="184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Estadístico</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EV/Vtas</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LTM</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PER NTM</w:t>
            </w:r>
          </w:p>
        </w:tc>
        <w:tc>
          <w:tcPr>
            <w:tcW w:type="dxa" w:w="105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11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10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ROIC</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Mediana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12,0x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Media</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20,0x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15,6 %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Percentil 25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+5,3 %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12,9 %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10,3 %</w:t>
            </w:r>
          </w:p>
        </w:tc>
      </w:tr>
      <w:tr>
        <w:trPr>
          <w:cantSplit/>
        </w:trPr>
        <w:tc>
          <w:tcPr>
            <w:tcW w:type="dxa" w:w="184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Percentil 75</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13,7x</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12,5x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22,1x</w:t>
            </w:r>
          </w:p>
        </w:tc>
        <w:tc>
          <w:tcPr>
            <w:tcW w:type="dxa" w:w="105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+7,9 %</w:t>
            </w:r>
          </w:p>
        </w:tc>
        <w:tc>
          <w:tcPr>
            <w:tcW w:type="dxa" w:w="11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18,2 %</w:t>
            </w:r>
          </w:p>
        </w:tc>
        <w:tc>
          <w:tcPr>
            <w:tcW w:type="dxa" w:w="10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r>
    </w:tbl>
    <w:p>
      <w:pPr>
        <w:spacing w:after="160" w:before="0"/>
      </w:pPr>
    </w:p>
    <w:p>
      <w:pPr>
        <w:pStyle w:val="Heading2"/>
      </w:pPr>
      <w:r>
        <w:t xml:space="preserve">Valor implícito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24"/>
        <w:gridCol w:w="1147"/>
        <w:gridCol w:w="1835"/>
        <w:gridCol w:w="1032"/>
        <w:gridCol w:w="1032"/>
        <w:gridCol w:w="1032"/>
        <w:gridCol w:w="1036"/>
      </w:tblGrid>
      <w:tr>
        <w:trPr>
          <w:cantSplit/>
          <w:tblHeader/>
        </w:trPr>
        <w:tc>
          <w:tcPr>
            <w:tcW w:type="dxa" w:w="252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Múltiplo aplicado</w:t>
            </w:r>
          </w:p>
        </w:tc>
        <w:tc>
          <w:tcPr>
            <w:tcW w:type="dxa" w:w="11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Métrica de la empresa</w:t>
            </w:r>
          </w:p>
        </w:tc>
        <w:tc>
          <w:tcPr>
            <w:tcW w:type="dxa" w:w="183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 p25 / mediana / p75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p25</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mediana</w:t>
            </w:r>
          </w:p>
        </w:tc>
        <w:tc>
          <w:tcPr>
            <w:tcW w:type="dxa" w:w="10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p75</w:t>
            </w:r>
          </w:p>
        </w:tc>
        <w:tc>
          <w:tcPr>
            <w:tcW w:type="dxa" w:w="10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540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9,8x / 10,9x / 12,5x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EV/EBITDA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 / 11,9x / 13,7x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32,66</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38,02</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PER próximos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17,1x / 19,8x / 22,1x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+10,2 %</w:t>
            </w:r>
          </w:p>
        </w:tc>
      </w:tr>
      <w:tr>
        <w:trPr>
          <w:cantSplit/>
        </w:trPr>
        <w:tc>
          <w:tcPr>
            <w:tcW w:type="dxa" w:w="252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EV/Ventas últimos 12 meses</w:t>
            </w:r>
          </w:p>
        </w:tc>
        <w:tc>
          <w:tcPr>
            <w:tcW w:type="dxa" w:w="11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3.050</w:t>
            </w:r>
          </w:p>
        </w:tc>
        <w:tc>
          <w:tcPr>
            <w:tcW w:type="dxa" w:w="183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1,3x / 1,8x / 2,3x</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20,84</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29,42</w:t>
            </w:r>
          </w:p>
        </w:tc>
        <w:tc>
          <w:tcPr>
            <w:tcW w:type="dxa" w:w="10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39,43</w:t>
            </w:r>
          </w:p>
        </w:tc>
        <w:tc>
          <w:tcPr>
            <w:tcW w:type="dxa" w:w="10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-6,3 %</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700000"/>
            <wp:effectExtent l="0" t="0" r="0" b="0"/>
            <wp:docPr id="1022" name="Gráfico 22" descr="EV/EBITDA de los próximos 12 meses: empresa y comparables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2"/>
              </a:graphicData>
            </a:graphic>
          </wp:inline>
        </w:drawing>
      </w:r>
    </w:p>
    <w:p>
      <w:pPr>
        <w:keepNext w:val="false"/>
        <w:spacing w:after="160" w:before="120"/>
        <w:jc w:val="center"/>
      </w:pPr>
      <w:r>
        <w:drawing>
          <wp:inline xmlns:wp="http://schemas.openxmlformats.org/drawingml/2006/wordprocessingDrawing" distT="0" distB="0" distL="0" distR="0">
            <wp:extent cx="5760000" cy="3060000"/>
            <wp:effectExtent l="0" t="0" r="0" b="0"/>
            <wp:docPr id="1023" name="Gráfico 23" descr="Crecimiento esperado frente a múltiplo"/>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3"/>
              </a:graphicData>
            </a:graphic>
          </wp:inline>
        </w:drawing>
      </w:r>
    </w:p>
    <w:p>
      <w:pPr>
        <w:spacing w:after="100"/>
      </w:pPr>
      <w:r>
        <w:rPr>
          <w:b/>
        </w:rPr>
        <w:t xml:space="preserve">Regresión EV/EBITDA NTM sobre crecimiento</w:t>
      </w:r>
      <w:r>
        <w:t xml:space="preserve"> (6 comparables): múltiplo = 4,4 + 1,05 × crecimiento; R² = 0,97. Para el crecimiento esperado de la empresa (6,6 %), el múltiplo ajustado es 11,4x y el valor por acción, 34,55.</w:t>
      </w:r>
    </w:p>
    <w:p>
      <w:pPr>
        <w:spacing w:after="100"/>
      </w:pPr>
      <w:r>
        <w:t xml:space="preserve">Ejemplo cotiza en la mitad baja del rango, coherente con un crecimiento y un ROIC por debajo de los líderes. La regresión sobre el crecimiento explica bien el múltiplo [15].</w:t>
      </w:r>
    </w:p>
    <w:p>
      <w:pPr>
        <w:pStyle w:val="Heading1"/>
      </w:pPr>
      <w:r>
        <w:t xml:space="preserve">19. Transacciones precedentes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38"/>
        <w:gridCol w:w="1780"/>
        <w:gridCol w:w="1676"/>
        <w:gridCol w:w="838"/>
        <w:gridCol w:w="838"/>
        <w:gridCol w:w="838"/>
        <w:gridCol w:w="733"/>
        <w:gridCol w:w="2097"/>
      </w:tblGrid>
      <w:tr>
        <w:trPr>
          <w:cantSplit/>
          <w:tblHeader/>
        </w:trPr>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178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Objetivo</w:t>
            </w:r>
          </w:p>
        </w:tc>
        <w:tc>
          <w:tcPr>
            <w:tcW w:type="dxa" w:w="167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Comprador</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 (M)</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EV/Ventas</w:t>
            </w:r>
          </w:p>
        </w:tc>
        <w:tc>
          <w:tcPr>
            <w:tcW w:type="dxa" w:w="83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EV/EBITDA</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Prima</w:t>
            </w:r>
          </w:p>
        </w:tc>
        <w:tc>
          <w:tcPr>
            <w:tcW w:type="dxa" w:w="20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Comentario</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2025-11</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 nórdico de aparamenta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Grupo Alfa</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1.450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12,8x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estratégica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2025-03</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Delta Transformers</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Fondo de capital privado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31 %</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OPA con exclusión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2024-06</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Cables industriales (Portugal)</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Beta Energy</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9,2x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Compra a un fondo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2023-09</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Especialista en sensores de red</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Gamma Systems</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18,5x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Tecnología [23].</w:t>
            </w:r>
          </w:p>
        </w:tc>
      </w:tr>
      <w:tr>
        <w:trPr>
          <w:cantSplit/>
        </w:trPr>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2022-05</w:t>
            </w:r>
          </w:p>
        </w:tc>
        <w:tc>
          <w:tcPr>
            <w:tcW w:type="dxa" w:w="178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Cables especiales (Polonia)</w:t>
            </w:r>
          </w:p>
        </w:tc>
        <w:tc>
          <w:tcPr>
            <w:tcW w:type="dxa" w:w="167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120</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0,90x</w:t>
            </w:r>
          </w:p>
        </w:tc>
        <w:tc>
          <w:tcPr>
            <w:tcW w:type="dxa" w:w="83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8,0x</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w:t>
            </w:r>
          </w:p>
        </w:tc>
        <w:tc>
          <w:tcPr>
            <w:tcW w:type="dxa" w:w="20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Compra propia [1].</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23"/>
        <w:gridCol w:w="2796"/>
        <w:gridCol w:w="2023"/>
        <w:gridCol w:w="2796"/>
      </w:tblGrid>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EV/EBITDA mediano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10,5x (9,2x – 12,8x)</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Prima de control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31 %</w:t>
            </w:r>
          </w:p>
        </w:tc>
      </w:tr>
      <w:tr>
        <w:trPr>
          <w:cantSplit/>
        </w:trPr>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Valor por acción implícito (mediana)</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28,22</w:t>
            </w:r>
          </w:p>
        </w:tc>
        <w:tc>
          <w:tcPr>
            <w:tcW w:type="dxa" w:w="2023"/>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Rango p25 – p75</w:t>
            </w:r>
          </w:p>
        </w:tc>
        <w:tc>
          <w:tcPr>
            <w:tcW w:type="dxa" w:w="279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24,24 – 35,26</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520000"/>
            <wp:effectExtent l="0" t="0" r="0" b="0"/>
            <wp:docPr id="1024" name="Gráfico 24" descr="EV/EBITDA pagado en transacciones del sector (vec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4"/>
              </a:graphicData>
            </a:graphic>
          </wp:inline>
        </w:drawing>
      </w:r>
    </w:p>
    <w:p>
      <w:pPr>
        <w:spacing w:after="100"/>
      </w:pPr>
      <w:r>
        <w:t xml:space="preserve">Las compras de equipos de red se pagan a 9-13x EBITDA. Con la familia en el 28 %, una OPA hostil no es probable [9][23].</w:t>
      </w:r>
    </w:p>
    <w:p>
      <w:pPr>
        <w:pStyle w:val="Heading1"/>
      </w:pPr>
      <w:r>
        <w:t xml:space="preserve">20. Descuento de flujos de caja (DCF)</w:t>
      </w:r>
    </w:p>
    <w:p>
      <w:pPr>
        <w:pStyle w:val="Confianza"/>
        <w:spacing w:after="100"/>
      </w:pPr>
      <w:r>
        <w:t xml:space="preserve">Confianza: Media</w:t>
      </w:r>
    </w:p>
    <w:p>
      <w:pPr>
        <w:pStyle w:val="Heading2"/>
      </w:pPr>
      <w:r>
        <w:t xml:space="preserve">Supuestos y su justificación</w:t>
      </w:r>
    </w:p>
    <w:p>
      <w:pPr>
        <w:spacing w:after="100"/>
      </w:pPr>
      <w:r>
        <w:rPr>
          <w:b/>
          <w:bCs/>
        </w:rPr>
        <w:t xml:space="preserve">Crecimiento de ingresos.</w:t>
      </w:r>
    </w:p>
    <w:p>
      <w:pPr>
        <w:spacing w:after="100"/>
      </w:pPr>
      <w:r>
        <w:t xml:space="preserve">Seguimos el consenso en 2026-2028 (6-7 %) y convergemos al 3 % en 2032, por debajo del crecimiento previsto del mercado (7,3 %) [16][19].</w:t>
      </w:r>
    </w:p>
    <w:p>
      <w:pPr>
        <w:spacing w:after="100"/>
      </w:pPr>
      <w:r>
        <w:rPr>
          <w:b/>
          <w:bCs/>
        </w:rPr>
        <w:t xml:space="preserve">Márgenes.</w:t>
      </w:r>
    </w:p>
    <w:p>
      <w:pPr>
        <w:spacing w:after="100"/>
      </w:pPr>
      <w:r>
        <w:t xml:space="preserve">El margen sube hasta el 16,8 %, por debajo del objetivo del plan (17 %) [8], por la presión en transformadores [26].</w:t>
      </w:r>
    </w:p>
    <w:p>
      <w:pPr>
        <w:spacing w:after="100"/>
      </w:pPr>
      <w:r>
        <w:rPr>
          <w:b/>
          <w:bCs/>
        </w:rPr>
        <w:t xml:space="preserve">Inversión y circulante.</w:t>
      </w:r>
    </w:p>
    <w:p>
      <w:pPr>
        <w:spacing w:after="100"/>
      </w:pPr>
      <w:r>
        <w:t xml:space="preserve">Capex del 5 % por el plan de capacidad hasta 2028 y del 4,5 % después, por encima de la amortización (4,3 %) [8].</w:t>
      </w:r>
    </w:p>
    <w:p>
      <w:pPr>
        <w:spacing w:after="100"/>
      </w:pPr>
      <w:r>
        <w:rPr>
          <w:b/>
          <w:bCs/>
        </w:rPr>
        <w:t xml:space="preserve">Coste del capital.</w:t>
      </w:r>
    </w:p>
    <w:p>
      <w:pPr>
        <w:spacing w:after="100"/>
      </w:pPr>
      <w:r>
        <w:t xml:space="preserve">Bono español a 10 años del 3,2 % [15], beta ajustada de 1,05 y prima de mercado del 5,5 %, más 0,5 puntos por tamaño [15].</w:t>
      </w:r>
    </w:p>
    <w:p>
      <w:pPr>
        <w:spacing w:after="100"/>
      </w:pPr>
      <w:r>
        <w:rPr>
          <w:b/>
          <w:bCs/>
        </w:rPr>
        <w:t xml:space="preserve">Valor terminal.</w:t>
      </w:r>
    </w:p>
    <w:p>
      <w:pPr>
        <w:spacing w:after="100"/>
      </w:pPr>
      <w:r>
        <w:t xml:space="preserve">Crecimiento a perpetuidad del 2 %, en línea con la inflación a largo plazo; el múltiplo implícito se compara con los comparables [15].</w:t>
      </w:r>
    </w:p>
    <w:p>
      <w:pPr>
        <w:pStyle w:val="Heading2"/>
      </w:pPr>
      <w:r>
        <w:t xml:space="preserve">Coste medio ponderado del capital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413"/>
        <w:gridCol w:w="2225"/>
      </w:tblGrid>
      <w:tr>
        <w:trPr>
          <w:cantSplit/>
          <w:tblHeader/>
        </w:trPr>
        <w:tc>
          <w:tcPr>
            <w:tcW w:type="dxa" w:w="741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Componente</w:t>
            </w:r>
          </w:p>
        </w:tc>
        <w:tc>
          <w:tcPr>
            <w:tcW w:type="dxa" w:w="22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Tasa libre de riesgo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Beta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1,05</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de riesgo de mercado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 adicional (país, tamaño, específica)</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0,50 %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los fondos propios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9,48 %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antes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Tipo impositivo</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Coste de la deuda después de impuestos</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 la deuda (D / (D + E))</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15,00 %</w:t>
            </w:r>
          </w:p>
        </w:tc>
      </w:tr>
      <w:tr>
        <w:trPr>
          <w:cantSplit/>
        </w:trPr>
        <w:tc>
          <w:tcPr>
            <w:tcW w:type="dxa" w:w="741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WACC</w:t>
            </w:r>
          </w:p>
        </w:tc>
        <w:tc>
          <w:tcPr>
            <w:tcW w:type="dxa" w:w="22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8,46 %</w:t>
            </w:r>
          </w:p>
        </w:tc>
      </w:tr>
    </w:tbl>
    <w:p>
      <w:pPr>
        <w:spacing w:after="160" w:before="0"/>
      </w:pPr>
    </w:p>
    <w:p>
      <w:pPr>
        <w:pStyle w:val="Heading2"/>
      </w:pPr>
      <w:r>
        <w:t xml:space="preserve">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81"/>
        <w:gridCol w:w="937"/>
        <w:gridCol w:w="729"/>
        <w:gridCol w:w="885"/>
        <w:gridCol w:w="833"/>
        <w:gridCol w:w="781"/>
        <w:gridCol w:w="833"/>
        <w:gridCol w:w="781"/>
        <w:gridCol w:w="729"/>
        <w:gridCol w:w="833"/>
        <w:gridCol w:w="729"/>
        <w:gridCol w:w="787"/>
      </w:tblGrid>
      <w:tr>
        <w:trPr>
          <w:cantSplit/>
          <w:tblHeader/>
        </w:trPr>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Año</w:t>
            </w:r>
          </w:p>
        </w:tc>
        <w:tc>
          <w:tcPr>
            <w:tcW w:type="dxa" w:w="93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Ingresos</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w:t>
            </w:r>
          </w:p>
        </w:tc>
        <w:tc>
          <w:tcPr>
            <w:tcW w:type="dxa" w:w="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EBITDA</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 EBITDA</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Amort.</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Impuestos</w:t>
            </w:r>
          </w:p>
        </w:tc>
        <w:tc>
          <w:tcPr>
            <w:tcW w:type="dxa" w:w="78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Capex</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Δ Circ.</w:t>
            </w:r>
          </w:p>
        </w:tc>
        <w:tc>
          <w:tcPr>
            <w:tcW w:type="dxa" w:w="8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FCFF</w:t>
            </w:r>
          </w:p>
        </w:tc>
        <w:tc>
          <w:tcPr>
            <w:tcW w:type="dxa" w:w="72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Fracción</w:t>
            </w:r>
          </w:p>
        </w:tc>
        <w:tc>
          <w:tcPr>
            <w:tcW w:type="dxa" w:w="78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2026e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3.156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6,6 %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16,1 %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136</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91</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219</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0,24</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16,4 %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2028e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3.547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16,6 %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240</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2029e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3.724</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622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254</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2030e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3.880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4,2 %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652</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167</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119</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175</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19</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340</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251</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2031e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4.016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675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173</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123</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181</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14</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243</w:t>
            </w:r>
          </w:p>
        </w:tc>
      </w:tr>
      <w:tr>
        <w:trPr>
          <w:cantSplit/>
        </w:trPr>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2032e</w:t>
            </w:r>
          </w:p>
        </w:tc>
        <w:tc>
          <w:tcPr>
            <w:tcW w:type="dxa" w:w="93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4.137</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3,0 %</w:t>
            </w:r>
          </w:p>
        </w:tc>
        <w:tc>
          <w:tcPr>
            <w:tcW w:type="dxa" w:w="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695</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16,8 %</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127</w:t>
            </w:r>
          </w:p>
        </w:tc>
        <w:tc>
          <w:tcPr>
            <w:tcW w:type="dxa" w:w="78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186</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w:t>
            </w:r>
          </w:p>
        </w:tc>
        <w:tc>
          <w:tcPr>
            <w:tcW w:type="dxa" w:w="8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372</w:t>
            </w:r>
          </w:p>
        </w:tc>
        <w:tc>
          <w:tcPr>
            <w:tcW w:type="dxa" w:w="72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1,00</w:t>
            </w:r>
          </w:p>
        </w:tc>
        <w:tc>
          <w:tcPr>
            <w:tcW w:type="dxa" w:w="78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w:t>
            </w:r>
          </w:p>
        </w:tc>
      </w:tr>
    </w:tbl>
    <w:p>
      <w:pPr>
        <w:spacing w:after="160" w:before="0"/>
      </w:pPr>
    </w:p>
    <w:p>
      <w:pPr>
        <w:pStyle w:val="Nota"/>
        <w:spacing w:after="100"/>
      </w:pPr>
      <w:r>
        <w:t xml:space="preserve">FCFF = EBIT × (1 − t) + amortizaciones − capex − variación del circulante. «Fracción» es la parte del ejercicio que queda por delante desde la fecha de valoración; VA, el valor actual.</w:t>
      </w:r>
    </w:p>
    <w:p>
      <w:pPr>
        <w:keepNext w:val="false"/>
        <w:spacing w:after="160" w:before="120"/>
        <w:jc w:val="center"/>
      </w:pPr>
      <w:r>
        <w:drawing>
          <wp:inline xmlns:wp="http://schemas.openxmlformats.org/drawingml/2006/wordprocessingDrawing" distT="0" distB="0" distL="0" distR="0">
            <wp:extent cx="5760000" cy="2160000"/>
            <wp:effectExtent l="0" t="0" r="0" b="0"/>
            <wp:docPr id="1025" name="Gráfico 25" descr="Flujo de caja libre para la empresa proyectado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5"/>
              </a:graphicData>
            </a:graphic>
          </wp:inline>
        </w:drawing>
      </w:r>
    </w:p>
    <w:p>
      <w:pPr>
        <w:pStyle w:val="Heading2"/>
      </w:pPr>
      <w:r>
        <w:t xml:space="preserve">Valor terminal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Método principal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Crecimiento a perpetuidad</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EV/EBITDA de salida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10,0x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5.871</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terminal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6.949</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Múltiplo de salida implícito en Gordon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8,4x</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implícito en el múltiplo</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2,95 %</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Peso del valor terminal en el 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70 %</w:t>
            </w:r>
          </w:p>
        </w:tc>
      </w:tr>
    </w:tbl>
    <w:p>
      <w:pPr>
        <w:spacing w:after="160" w:before="0"/>
      </w:pPr>
    </w:p>
    <w:p>
      <w:pPr>
        <w:pStyle w:val="Heading2"/>
      </w:pPr>
      <w:r>
        <w:t xml:space="preserve">Del valor empresa al valor por acción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139"/>
        <w:gridCol w:w="2499"/>
      </w:tblGrid>
      <w:tr>
        <w:trPr>
          <w:cantSplit/>
          <w:tblHeader/>
        </w:trPr>
        <w:tc>
          <w:tcPr>
            <w:tcW w:type="dxa" w:w="713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Concepto</w:t>
            </w:r>
          </w:p>
        </w:tc>
        <w:tc>
          <w:tcPr>
            <w:tcW w:type="dxa" w:w="249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Importe</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 los flujos proyectados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1.510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actual del valor terminal</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3.538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empresa</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5.048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Deuda financiera neta (con arrendamientos)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 Minoritarios, pensiones y otros; + asociadas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Valor de los fondos propios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4.418</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Acciones diluidas (millones)</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160,0</w:t>
            </w:r>
          </w:p>
        </w:tc>
      </w:tr>
      <w:tr>
        <w:trPr>
          <w:cantSplit/>
        </w:trPr>
        <w:tc>
          <w:tcPr>
            <w:tcW w:type="dxa" w:w="713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Valor por acción</w:t>
            </w:r>
          </w:p>
        </w:tc>
        <w:tc>
          <w:tcPr>
            <w:tcW w:type="dxa" w:w="249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27,61</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6" name="Gráfico 26" descr="De dónde sale el valor empresa del DCF (EUR, millones)"/>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6"/>
              </a:graphicData>
            </a:graphic>
          </wp:inline>
        </w:drawing>
      </w:r>
    </w:p>
    <w:p>
      <w:pPr>
        <w:pStyle w:val="Heading2"/>
      </w:pPr>
      <w:r>
        <w:t xml:space="preserve">Sensibilidad: WACC × Crecimiento a perpetuidad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WACC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1,5 %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2,0 %</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2,5 %</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3,0 %</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7,5 %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33,50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36,44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40,05</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30,30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8,5 %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24,46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29,58</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31,92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9,0 %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22,63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26,96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9,5 %</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21,02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22,10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23,31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24,71</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26,32</w:t>
            </w:r>
          </w:p>
        </w:tc>
      </w:tr>
    </w:tbl>
    <w:p>
      <w:pPr>
        <w:spacing w:after="160" w:before="0"/>
      </w:pPr>
    </w:p>
    <w:p>
      <w:pPr>
        <w:pStyle w:val="Heading2"/>
      </w:pPr>
      <w:r>
        <w:t xml:space="preserve">Sensibilidad: margen EBITDA × crecimiento de ingresos (desplazamiento de toda la proyección)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6"/>
        <w:gridCol w:w="1606"/>
        <w:gridCol w:w="1606"/>
        <w:gridCol w:w="1606"/>
        <w:gridCol w:w="1606"/>
        <w:gridCol w:w="1608"/>
      </w:tblGrid>
      <w:tr>
        <w:trPr>
          <w:cantSplit/>
          <w:tblHeader/>
        </w:trPr>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Margen \ crec.</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0 pp</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+1 pp</w:t>
            </w:r>
          </w:p>
        </w:tc>
        <w:tc>
          <w:tcPr>
            <w:tcW w:type="dxa" w:w="160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+2 pp</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20,93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21,58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22,25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22,93</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23,61</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23,35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24,93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25,74</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26,57</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0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25,77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26,68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28,56</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29,52</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29,23</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30,29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31,37</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32,48</w:t>
            </w:r>
          </w:p>
        </w:tc>
      </w:tr>
      <w:tr>
        <w:trPr>
          <w:cantSplit/>
        </w:trPr>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 pp</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30,62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31,78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32,97</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34,19</w:t>
            </w:r>
          </w:p>
        </w:tc>
        <w:tc>
          <w:tcPr>
            <w:tcW w:type="dxa" w:w="160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35,44</w:t>
            </w:r>
          </w:p>
        </w:tc>
      </w:tr>
    </w:tbl>
    <w:p>
      <w:pPr>
        <w:spacing w:after="160" w:before="0"/>
      </w:pPr>
    </w:p>
    <w:p>
      <w:pPr>
        <w:pStyle w:val="Heading2"/>
      </w:pPr>
      <w:r>
        <w:t xml:space="preserve">DCF inverso: qué descuenta el precio actual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47"/>
        <w:gridCol w:w="5591"/>
      </w:tblGrid>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Crecimiento anual implícito en el precio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8,5 % (base: 4,6 %)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Margen EBITDA final implícito</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18,2 % (base: 16,8 %)</w:t>
            </w:r>
          </w:p>
        </w:tc>
      </w:tr>
      <w:tr>
        <w:trPr>
          <w:cantSplit/>
        </w:trPr>
        <w:tc>
          <w:tcPr>
            <w:tcW w:type="dxa" w:w="4047"/>
            <w:tcBorders>
              <w:top w:val="none" w:color="FFFFFF" w:sz="0"/>
              <w:left w:val="none" w:color="FFFFFF" w:sz="0"/>
              <w:bottom w:val="single" w:color="D9D8D3" w:sz="4"/>
              <w:right w:val="none" w:color="FFFFFF" w:sz="0"/>
            </w:tcBorders>
            <w:shd w:fill="F3F2EE" w:color="auto" w:val="clear"/>
            <w:tcMar>
              <w:top w:type="dxa" w:w="50"/>
              <w:left w:type="dxa" w:w="80"/>
              <w:bottom w:type="dxa" w:w="50"/>
              <w:right w:type="dxa" w:w="80"/>
            </w:tcMar>
          </w:tcPr>
          <w:p>
            <w:pPr>
              <w:spacing w:after="0" w:before="0"/>
              <w:jc w:val="left"/>
            </w:pPr>
            <w:r>
              <w:rPr>
                <w:rFonts w:ascii="Calibri" w:cs="Calibri" w:eastAsia="Calibri" w:hAnsi="Calibri"/>
                <w:b w:val="false"/>
                <w:bCs w:val="false"/>
                <w:color w:val="52514E"/>
                <w:sz w:val="16"/>
                <w:szCs w:val="16"/>
              </w:rPr>
              <w:t xml:space="preserve">Rentabilidad anual implícita (TIR al precio actual)</w:t>
            </w:r>
          </w:p>
        </w:tc>
        <w:tc>
          <w:tcPr>
            <w:tcW w:type="dxa" w:w="559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7"/>
                <w:szCs w:val="17"/>
              </w:rPr>
              <w:t xml:space="preserve">7,8 % (WACC: 8,5 %)</w:t>
            </w:r>
          </w:p>
        </w:tc>
      </w:tr>
    </w:tbl>
    <w:p>
      <w:pPr>
        <w:spacing w:after="160" w:before="0"/>
      </w:pPr>
    </w:p>
    <w:p>
      <w:pPr>
        <w:spacing w:after="100"/>
      </w:pPr>
      <w:r>
        <w:t xml:space="preserve">El DCF base da un valor cercano al precio actual; el valor terminal pesa en torno al 70 %. El DCF inverso dice que el mercado descuenta un crecimiento similar al de nuestra proyección: no hay margen de seguridad sin una mejora adicional del margen [16].</w:t>
      </w:r>
    </w:p>
    <w:p>
      <w:pPr>
        <w:pStyle w:val="Heading1"/>
      </w:pPr>
      <w:r>
        <w:t xml:space="preserve">21. Escenarios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82"/>
        <w:gridCol w:w="649"/>
        <w:gridCol w:w="866"/>
        <w:gridCol w:w="866"/>
        <w:gridCol w:w="758"/>
        <w:gridCol w:w="866"/>
        <w:gridCol w:w="866"/>
        <w:gridCol w:w="3685"/>
      </w:tblGrid>
      <w:tr>
        <w:trPr>
          <w:cantSplit/>
          <w:tblHeader/>
        </w:trPr>
        <w:tc>
          <w:tcPr>
            <w:tcW w:type="dxa" w:w="108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Escenario</w:t>
            </w:r>
          </w:p>
        </w:tc>
        <w:tc>
          <w:tcPr>
            <w:tcW w:type="dxa" w:w="64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Prob.</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Crec. medio</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Margen final</w:t>
            </w:r>
          </w:p>
        </w:tc>
        <w:tc>
          <w:tcPr>
            <w:tcW w:type="dxa" w:w="75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WACC</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w:t>
            </w:r>
          </w:p>
        </w:tc>
        <w:tc>
          <w:tcPr>
            <w:tcW w:type="dxa" w:w="8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36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tiene que ocurrir</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Bajista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15,3 %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Automoción sigue cayendo y la competencia asiática recorta el margen de transformadores, como le pasó a Delta Cables en 2023 [26].</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Base</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4,9 %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16,8 %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8,5 %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Redes crece según la cartera y automoción se estabiliza en 2027 [4].</w:t>
            </w:r>
          </w:p>
        </w:tc>
      </w:tr>
      <w:tr>
        <w:trPr>
          <w:cantSplit/>
        </w:trPr>
        <w:tc>
          <w:tcPr>
            <w:tcW w:type="dxa" w:w="108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Alcista</w:t>
            </w:r>
          </w:p>
        </w:tc>
        <w:tc>
          <w:tcPr>
            <w:tcW w:type="dxa" w:w="64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20 %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17,8 %</w:t>
            </w:r>
          </w:p>
        </w:tc>
        <w:tc>
          <w:tcPr>
            <w:tcW w:type="dxa" w:w="75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8,2 %</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34,60</w:t>
            </w:r>
          </w:p>
        </w:tc>
        <w:tc>
          <w:tcPr>
            <w:tcW w:type="dxa" w:w="8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+10,2 %</w:t>
            </w:r>
          </w:p>
        </w:tc>
        <w:tc>
          <w:tcPr>
            <w:tcW w:type="dxa" w:w="36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Contratos en Norteamérica y margen de redes al 19 % [8].</w:t>
            </w:r>
          </w:p>
        </w:tc>
      </w:tr>
    </w:tbl>
    <w:p>
      <w:pPr>
        <w:spacing w:after="160" w:before="0"/>
      </w:pPr>
    </w:p>
    <w:p>
      <w:pPr>
        <w:keepNext w:val="false"/>
        <w:spacing w:after="160" w:before="120"/>
        <w:jc w:val="center"/>
      </w:pPr>
      <w:r>
        <w:drawing>
          <wp:inline xmlns:wp="http://schemas.openxmlformats.org/drawingml/2006/wordprocessingDrawing" distT="0" distB="0" distL="0" distR="0">
            <wp:extent cx="5760000" cy="2160000"/>
            <wp:effectExtent l="0" t="0" r="0" b="0"/>
            <wp:docPr id="1027" name="Gráfico 27" descr="Valor por acción por escenari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7"/>
              </a:graphicData>
            </a:graphic>
          </wp:inline>
        </w:drawing>
      </w:r>
    </w:p>
    <w:p>
      <w:pPr>
        <w:spacing w:after="100"/>
      </w:pPr>
      <w:r>
        <w:rPr>
          <w:b/>
          <w:bCs/>
        </w:rPr>
        <w:t xml:space="preserve">Valor ponderado por probabilidad:</w:t>
      </w:r>
      <w:r>
        <w:t xml:space="preserve"> 26,80 EUR (-14,6 %).</w:t>
      </w:r>
    </w:p>
    <w:p>
      <w:pPr>
        <w:spacing w:after="100"/>
      </w:pPr>
      <w:r>
        <w:t xml:space="preserve">La asimetría es desfavorable: el bajista pierde más de lo que gana el alcista [16].</w:t>
      </w:r>
    </w:p>
    <w:p>
      <w:pPr>
        <w:pStyle w:val="Heading1"/>
      </w:pPr>
      <w:r>
        <w:t xml:space="preserve">22. Suma de partes</w:t>
      </w:r>
    </w:p>
    <w:p>
      <w:pPr>
        <w:pStyle w:val="Confianza"/>
        <w:spacing w:after="100"/>
      </w:pPr>
      <w:r>
        <w:t xml:space="preserve">Confianza: Media</w:t>
      </w:r>
    </w:p>
    <w:p>
      <w:pPr>
        <w:spacing w:after="100"/>
      </w:pPr>
      <w:r>
        <w:t xml:space="preserve">Tres negocios con perfiles muy distintos: la suma de partes muestra cuánto vale redes por separado [15].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0"/>
        <w:gridCol w:w="1640"/>
        <w:gridCol w:w="1025"/>
        <w:gridCol w:w="820"/>
        <w:gridCol w:w="1025"/>
        <w:gridCol w:w="3078"/>
      </w:tblGrid>
      <w:tr>
        <w:trPr>
          <w:cantSplit/>
          <w:tblHeader/>
        </w:trPr>
        <w:tc>
          <w:tcPr>
            <w:tcW w:type="dxa" w:w="20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Negocio</w:t>
            </w:r>
          </w:p>
        </w:tc>
        <w:tc>
          <w:tcPr>
            <w:tcW w:type="dxa" w:w="164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Métrica</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de la métrica</w:t>
            </w:r>
          </w:p>
        </w:tc>
        <w:tc>
          <w:tcPr>
            <w:tcW w:type="dxa" w:w="82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Múltiplo</w:t>
            </w:r>
          </w:p>
        </w:tc>
        <w:tc>
          <w:tcPr>
            <w:tcW w:type="dxa" w:w="102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empresa</w:t>
            </w:r>
          </w:p>
        </w:tc>
        <w:tc>
          <w:tcPr>
            <w:tcW w:type="dxa" w:w="307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Justificación del múltiplo</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Redes eléctricas</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4.125</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Mediana de comparables puros de redes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Industria</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255</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9,5x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2.423</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Fabricantes industriales diversificados [15].</w:t>
            </w:r>
          </w:p>
        </w:tc>
      </w:tr>
      <w:tr>
        <w:trPr>
          <w:cantSplit/>
        </w:trPr>
        <w:tc>
          <w:tcPr>
            <w:tcW w:type="dxa" w:w="20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Automoción</w:t>
            </w:r>
          </w:p>
        </w:tc>
        <w:tc>
          <w:tcPr>
            <w:tcW w:type="dxa" w:w="164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EBITDA 2026e</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92</w:t>
            </w:r>
          </w:p>
        </w:tc>
        <w:tc>
          <w:tcPr>
            <w:tcW w:type="dxa" w:w="82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6,0x</w:t>
            </w:r>
          </w:p>
        </w:tc>
        <w:tc>
          <w:tcPr>
            <w:tcW w:type="dxa" w:w="102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552</w:t>
            </w:r>
          </w:p>
        </w:tc>
        <w:tc>
          <w:tcPr>
            <w:tcW w:type="dxa" w:w="307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Proveedores de automoción europeos [15].</w:t>
            </w:r>
          </w:p>
        </w:tc>
      </w:tr>
    </w:tbl>
    <w:p>
      <w:pPr>
        <w:spacing w:after="160" w:before="0"/>
      </w:pPr>
    </w:p>
    <w:p>
      <w:pPr>
        <w:spacing w:after="100"/>
      </w:pPr>
      <w:r>
        <w:rPr>
          <w:b/>
          <w:bCs/>
        </w:rPr>
        <w:t xml:space="preserve">Valor por acción por suma de partes:</w:t>
      </w:r>
      <w:r>
        <w:t xml:space="preserve"> 40,44 (+28,8 %); con ±1x en los múltiplos, 36,20 – 44,67.</w:t>
      </w:r>
    </w:p>
    <w:p>
      <w:pPr>
        <w:pStyle w:val="Heading1"/>
      </w:pPr>
      <w:r>
        <w:t xml:space="preserve">23. Síntesis de valoración</w:t>
      </w:r>
    </w:p>
    <w:p>
      <w:pPr>
        <w:pStyle w:val="Confianza"/>
        <w:spacing w:after="100"/>
      </w:pPr>
      <w:r>
        <w:t xml:space="preserve">Confianza: Media</w:t>
      </w:r>
    </w:p>
    <w:p>
      <w:pPr>
        <w:keepNext w:val="false"/>
        <w:spacing w:after="160" w:before="120"/>
        <w:jc w:val="center"/>
      </w:pPr>
      <w:r>
        <w:drawing>
          <wp:inline xmlns:wp="http://schemas.openxmlformats.org/drawingml/2006/wordprocessingDrawing" distT="0" distB="0" distL="0" distR="0">
            <wp:extent cx="5760000" cy="2880000"/>
            <wp:effectExtent l="0" t="0" r="0" b="0"/>
            <wp:docPr id="1028" name="Gráfico 28" descr="Valor por acción según cada método (EUR) · precio actual 31,40"/>
            <wp:cNvGraphicFramePr/>
            <a:graphic xmlns:a="http://schemas.openxmlformats.org/drawingml/2006/main">
              <a:graphicData uri="http://schemas.openxmlformats.org/drawingml/2006/chart">
                <c:chart xmlns:c="http://schemas.openxmlformats.org/drawingml/2006/chart" xmlns:r="http://schemas.openxmlformats.org/officeDocument/2006/relationships" r:id="rIdGrafico28"/>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606"/>
        <w:gridCol w:w="1606"/>
        <w:gridCol w:w="1607"/>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Mínimo</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Central</w:t>
            </w:r>
          </w:p>
        </w:tc>
        <w:tc>
          <w:tcPr>
            <w:tcW w:type="dxa" w:w="16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Máximo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Cotización 52 semanas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24,10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33,90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objetivo de los analistas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27,00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34,20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40,00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EV/EBITDA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29,06</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33,03</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PER NTM</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29,92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38,77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24,24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35,26</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(WACC y g ± 0,5)</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23,88</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32,70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Escenarios (bajista – alcista)</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18,79</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26,80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34,60</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36,20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44,67</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Precio actual</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31,24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31,40</w:t>
            </w:r>
          </w:p>
        </w:tc>
        <w:tc>
          <w:tcPr>
            <w:tcW w:type="dxa" w:w="16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31,56</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1927"/>
        <w:gridCol w:w="1606"/>
        <w:gridCol w:w="1286"/>
      </w:tblGrid>
      <w:tr>
        <w:trPr>
          <w:cantSplit/>
          <w:tblHeader/>
        </w:trPr>
        <w:tc>
          <w:tcPr>
            <w:tcW w:type="dxa" w:w="48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Método</w:t>
            </w:r>
          </w:p>
        </w:tc>
        <w:tc>
          <w:tcPr>
            <w:tcW w:type="dxa" w:w="192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Valor por acción</w:t>
            </w:r>
          </w:p>
        </w:tc>
        <w:tc>
          <w:tcPr>
            <w:tcW w:type="dxa" w:w="160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Potencial</w:t>
            </w:r>
          </w:p>
        </w:tc>
        <w:tc>
          <w:tcPr>
            <w:tcW w:type="dxa" w:w="128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Peso</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27,61</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-12,1 %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50 %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Comparables (mediana EV/EBITDA y PER)</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33,82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+7,7 %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30 %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Transacciones precedentes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28,22</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-10,1 %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Suma de partes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40,44</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+28,8 %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10 %</w:t>
            </w:r>
          </w:p>
        </w:tc>
      </w:tr>
      <w:tr>
        <w:trPr>
          <w:cantSplit/>
        </w:trPr>
        <w:tc>
          <w:tcPr>
            <w:tcW w:type="dxa" w:w="48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Escenarios ponderados</w:t>
            </w:r>
          </w:p>
        </w:tc>
        <w:tc>
          <w:tcPr>
            <w:tcW w:type="dxa" w:w="192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26,80</w:t>
            </w:r>
          </w:p>
        </w:tc>
        <w:tc>
          <w:tcPr>
            <w:tcW w:type="dxa" w:w="160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-14,6 %</w:t>
            </w:r>
          </w:p>
        </w:tc>
        <w:tc>
          <w:tcPr>
            <w:tcW w:type="dxa" w:w="128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0 %</w:t>
            </w:r>
          </w:p>
        </w:tc>
      </w:tr>
    </w:tbl>
    <w:p>
      <w:pPr>
        <w:spacing w:after="160" w:before="0"/>
      </w:pPr>
    </w:p>
    <w:p>
      <w:pPr>
        <w:spacing w:after="100"/>
      </w:pPr>
      <w:r>
        <w:rPr>
          <w:b/>
          <w:bCs/>
        </w:rPr>
        <w:t xml:space="preserve">Valor objetivo ponderado:</w:t>
      </w:r>
      <w:r>
        <w:t xml:space="preserve"> 30,82 EUR (-1,8 % sobre 31,40).</w:t>
      </w:r>
    </w:p>
    <w:p>
      <w:pPr>
        <w:spacing w:after="100"/>
      </w:pPr>
      <w:r>
        <w:t xml:space="preserve">El DCF pesa la mitad porque el negocio es predecible y regulado en redes. Las transacciones pesan poco: con la familia en el 28 %, una operación de control no es probable [9].</w:t>
      </w:r>
    </w:p>
    <w:p>
      <w:r>
        <w:br w:type="page"/>
      </w:r>
    </w:p>
    <w:p>
      <w:pPr>
        <w:pStyle w:val="Parte"/>
      </w:pPr>
      <w:r>
        <w:t xml:space="preserve">Parte V — Tesis, riesgos y seguimiento</w:t>
      </w:r>
    </w:p>
    <w:p>
      <w:pPr>
        <w:pStyle w:val="Heading1"/>
      </w:pPr>
      <w:r>
        <w:t xml:space="preserve">24. Catalizadores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89"/>
        <w:gridCol w:w="3093"/>
        <w:gridCol w:w="3569"/>
        <w:gridCol w:w="832"/>
        <w:gridCol w:w="955"/>
      </w:tblGrid>
      <w:tr>
        <w:trPr>
          <w:cantSplit/>
          <w:tblHeader/>
        </w:trPr>
        <w:tc>
          <w:tcPr>
            <w:tcW w:type="dxa" w:w="11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309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Evento</w:t>
            </w:r>
          </w:p>
        </w:tc>
        <w:tc>
          <w:tcPr>
            <w:tcW w:type="dxa" w:w="356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Qué se sabrá</w:t>
            </w:r>
          </w:p>
        </w:tc>
        <w:tc>
          <w:tcPr>
            <w:tcW w:type="dxa" w:w="83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9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Sentido</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29 oct 2026</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Resultados del tercer trimestre</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Confirmar la cartera de redes y la guía</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1S 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Día del inversor</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Plan para automoción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2027</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regulatoria de redes</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de las distribuidoras</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w:t>
            </w:r>
          </w:p>
        </w:tc>
      </w:tr>
      <w:tr>
        <w:trPr>
          <w:cantSplit/>
        </w:trPr>
        <w:tc>
          <w:tcPr>
            <w:tcW w:type="dxa" w:w="11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2028</w:t>
            </w:r>
          </w:p>
        </w:tc>
        <w:tc>
          <w:tcPr>
            <w:tcW w:type="dxa" w:w="309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Vencimiento del bono de 300 M</w:t>
            </w:r>
          </w:p>
        </w:tc>
        <w:tc>
          <w:tcPr>
            <w:tcW w:type="dxa" w:w="356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Coste de la refinanciación</w:t>
            </w:r>
          </w:p>
        </w:tc>
        <w:tc>
          <w:tcPr>
            <w:tcW w:type="dxa" w:w="83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Alta</w:t>
            </w:r>
          </w:p>
        </w:tc>
        <w:tc>
          <w:tcPr>
            <w:tcW w:type="dxa" w:w="9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w:t>
            </w:r>
          </w:p>
        </w:tc>
      </w:tr>
    </w:tbl>
    <w:p>
      <w:pPr>
        <w:spacing w:after="160" w:before="0"/>
      </w:pPr>
    </w:p>
    <w:p>
      <w:pPr>
        <w:pStyle w:val="Heading1"/>
      </w:pPr>
      <w:r>
        <w:t xml:space="preserve">25. Riesgos y pre-mortem</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9"/>
        <w:gridCol w:w="2095"/>
        <w:gridCol w:w="942"/>
        <w:gridCol w:w="628"/>
        <w:gridCol w:w="733"/>
        <w:gridCol w:w="1047"/>
        <w:gridCol w:w="1885"/>
        <w:gridCol w:w="1889"/>
      </w:tblGrid>
      <w:tr>
        <w:trPr>
          <w:cantSplit/>
          <w:tblHeader/>
        </w:trPr>
        <w:tc>
          <w:tcPr>
            <w:tcW w:type="dxa" w:w="41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209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Riesgo</w:t>
            </w:r>
          </w:p>
        </w:tc>
        <w:tc>
          <w:tcPr>
            <w:tcW w:type="dxa" w:w="94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6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Prob.</w:t>
            </w:r>
          </w:p>
        </w:tc>
        <w:tc>
          <w:tcPr>
            <w:tcW w:type="dxa" w:w="73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Impacto</w:t>
            </w:r>
          </w:p>
        </w:tc>
        <w:tc>
          <w:tcPr>
            <w:tcW w:type="dxa" w:w="104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Efecto en valor</w:t>
            </w:r>
          </w:p>
        </w:tc>
        <w:tc>
          <w:tcPr>
            <w:tcW w:type="dxa" w:w="18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Mitigante</w:t>
            </w:r>
          </w:p>
        </w:tc>
        <w:tc>
          <w:tcPr>
            <w:tcW w:type="dxa" w:w="1889"/>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Señal de alerta</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Competencia asiática en transformadores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Competencia</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−12 %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Homologaciones y servicio local</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Concursos ganados &lt; 45 %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Caída prolongada de automoción</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Negocio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−8 %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Peso decreciente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Pedidos &lt;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Precio del cobre</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Materias primas</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−6 %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Cláusulas en el 45 % de redes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Cobre &gt; 11.000 USD/t</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Retrasos en la inversión de redes</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Regulatorio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Alto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Marco regulado hasta 2030</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Revisión de la tasa de retribución</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Ejecución del plan de capacidad</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Ejecución</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Media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Bajo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Inversión por fases</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Retrasos o sobrecostes &gt; 10 %</w:t>
            </w:r>
          </w:p>
        </w:tc>
      </w:tr>
      <w:tr>
        <w:trPr>
          <w:cantSplit/>
        </w:trPr>
        <w:tc>
          <w:tcPr>
            <w:tcW w:type="dxa" w:w="41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209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Sucesión de la consejera delegada</w:t>
            </w:r>
          </w:p>
        </w:tc>
        <w:tc>
          <w:tcPr>
            <w:tcW w:type="dxa" w:w="94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Gobierno</w:t>
            </w:r>
          </w:p>
        </w:tc>
        <w:tc>
          <w:tcPr>
            <w:tcW w:type="dxa" w:w="6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Baja</w:t>
            </w:r>
          </w:p>
        </w:tc>
        <w:tc>
          <w:tcPr>
            <w:tcW w:type="dxa" w:w="73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Medio</w:t>
            </w:r>
          </w:p>
        </w:tc>
        <w:tc>
          <w:tcPr>
            <w:tcW w:type="dxa" w:w="104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−5 %</w:t>
            </w:r>
          </w:p>
        </w:tc>
        <w:tc>
          <w:tcPr>
            <w:tcW w:type="dxa" w:w="18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Equipo directivo estable</w:t>
            </w:r>
          </w:p>
        </w:tc>
        <w:tc>
          <w:tcPr>
            <w:tcW w:type="dxa" w:w="1889"/>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Salidas en la alta dirección</w:t>
            </w:r>
          </w:p>
        </w:tc>
      </w:tr>
    </w:tbl>
    <w:p>
      <w:pPr>
        <w:spacing w:after="160" w:before="0"/>
      </w:pPr>
    </w:p>
    <w:p>
      <w:pPr>
        <w:pStyle w:val="Heading2"/>
      </w:pPr>
      <w:r>
        <w:t xml:space="preserve">Pre-mortem</w:t>
      </w:r>
    </w:p>
    <w:p>
      <w:pPr>
        <w:spacing w:after="100"/>
      </w:pPr>
      <w:r>
        <w:t xml:space="preserve">Es 2029 y la acción ha caído un 40 %. Los fabricantes asiáticos ganaron tres concursos grandes en 2027 y el margen de transformadores cayó 4 puntos. Al mismo tiempo, automoción perdió otro 15 % de volumen y la empresa tardó en cerrar capacidad. El mercado dejó de pagar la prima de redes. La señal estaba en la tasa de concursos ganados, que ya bajaba en 2026 [6][26].</w:t>
      </w:r>
    </w:p>
    <w:p>
      <w:pPr>
        <w:pStyle w:val="Heading1"/>
      </w:pPr>
      <w:r>
        <w:t xml:space="preserve">26. ESG y controversias</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855"/>
        <w:gridCol w:w="3855"/>
        <w:gridCol w:w="1928"/>
      </w:tblGrid>
      <w:tr>
        <w:trPr>
          <w:cantSplit/>
          <w:tblHeader/>
        </w:trPr>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Proveedor</w:t>
            </w:r>
          </w:p>
        </w:tc>
        <w:tc>
          <w:tcPr>
            <w:tcW w:type="dxa" w:w="385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Calificación</w:t>
            </w:r>
          </w:p>
        </w:tc>
        <w:tc>
          <w:tcPr>
            <w:tcW w:type="dxa" w:w="19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Proveedor ESG A</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A</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2026-03</w:t>
            </w:r>
          </w:p>
        </w:tc>
      </w:tr>
      <w:tr>
        <w:trPr>
          <w:cantSplit/>
        </w:trPr>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Proveedor ESG B</w:t>
            </w:r>
          </w:p>
        </w:tc>
        <w:tc>
          <w:tcPr>
            <w:tcW w:type="dxa" w:w="385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Riesgo bajo (17,2)</w:t>
            </w:r>
          </w:p>
        </w:tc>
        <w:tc>
          <w:tcPr>
            <w:tcW w:type="dxa" w:w="19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2026-05</w:t>
            </w:r>
          </w:p>
        </w:tc>
      </w:tr>
    </w:tbl>
    <w:p>
      <w:pPr>
        <w:spacing w:after="160" w:before="0"/>
      </w:pPr>
    </w:p>
    <w:p>
      <w:pPr>
        <w:pStyle w:val="Heading2"/>
      </w:pPr>
      <w:r>
        <w:t xml:space="preserve">Asuntos materiales</w:t>
      </w:r>
    </w:p>
    <w:p>
      <w:pPr>
        <w:spacing w:after="100"/>
      </w:pPr>
      <w:r>
        <w:t xml:space="preserve">El 38 % de los ingresos es elegible en la taxonomía europea por su papel en la electrificación [1]. El consumo energético de las fundiciones expone a la empresa al precio del CO₂ [24].</w:t>
      </w:r>
    </w:p>
    <w:p>
      <w:pPr>
        <w:pStyle w:val="Heading2"/>
      </w:pPr>
      <w:r>
        <w:t xml:space="preserve">Controversias</w:t>
      </w:r>
    </w:p>
    <w:p>
      <w:pPr>
        <w:spacing w:after="100"/>
      </w:pPr>
      <w:r>
        <w:t xml:space="preserve">Sin controversias relevantes en los últimos tres años [24].</w:t>
      </w:r>
    </w:p>
    <w:p>
      <w:pPr>
        <w:pStyle w:val="Heading1"/>
      </w:pPr>
      <w:r>
        <w:t xml:space="preserve">27. Preguntas abiertas para la dirección y la due diligence</w:t>
      </w:r>
    </w:p>
    <w:p>
      <w:pPr>
        <w:pStyle w:val="Confianza"/>
        <w:spacing w:after="100"/>
      </w:pPr>
      <w:r>
        <w:t xml:space="preserve">Confianza: Media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8"/>
        <w:gridCol w:w="1585"/>
        <w:gridCol w:w="4392"/>
        <w:gridCol w:w="3173"/>
      </w:tblGrid>
      <w:tr>
        <w:trPr>
          <w:cantSplit/>
          <w:tblHeader/>
        </w:trPr>
        <w:tc>
          <w:tcPr>
            <w:tcW w:type="dxa" w:w="48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w:t>
            </w:r>
          </w:p>
        </w:tc>
        <w:tc>
          <w:tcPr>
            <w:tcW w:type="dxa" w:w="158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Tema</w:t>
            </w:r>
          </w:p>
        </w:tc>
        <w:tc>
          <w:tcPr>
            <w:tcW w:type="dxa" w:w="4392"/>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Pregunta</w:t>
            </w:r>
          </w:p>
        </w:tc>
        <w:tc>
          <w:tcPr>
            <w:tcW w:type="dxa" w:w="317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Por qué importa</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1</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Automoción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capacidad se cerrará y con qué coste?</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Decide si el segmento deja de destruir valor [6].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2</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Transformadores</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¿Cuál es el diferencial de precio frente a los fabricantes asiáticos en los últimos concursos?</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Es el riesgo principal del margen [26].</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3</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¿Qué ROIC se exige al plan de capacidad?</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450 M de capex hasta 2028 [8].</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4</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Factoring</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¿Se mantendrá el factoring sin recurso?</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Son 120 M fuera de la deuda [1].</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5</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Sucesión</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¿Hay un plan de sucesión para la consejera delegada?</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No es público [9].</w:t>
            </w:r>
          </w:p>
        </w:tc>
      </w:tr>
      <w:tr>
        <w:trPr>
          <w:cantSplit/>
        </w:trPr>
        <w:tc>
          <w:tcPr>
            <w:tcW w:type="dxa" w:w="48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6</w:t>
            </w:r>
          </w:p>
        </w:tc>
        <w:tc>
          <w:tcPr>
            <w:tcW w:type="dxa" w:w="158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Norteamérica</w:t>
            </w:r>
          </w:p>
        </w:tc>
        <w:tc>
          <w:tcPr>
            <w:tcW w:type="dxa" w:w="4392"/>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¿Qué cartera tiene en Norteamérica y con qué margen?</w:t>
            </w:r>
          </w:p>
        </w:tc>
        <w:tc>
          <w:tcPr>
            <w:tcW w:type="dxa" w:w="317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 la palanca del escenario alcista [25].</w:t>
            </w:r>
          </w:p>
        </w:tc>
      </w:tr>
    </w:tbl>
    <w:p>
      <w:pPr>
        <w:spacing w:after="160" w:before="0"/>
      </w:pPr>
    </w:p>
    <w:p>
      <w:r>
        <w:br w:type="page"/>
      </w:r>
    </w:p>
    <w:p>
      <w:pPr>
        <w:pStyle w:val="Parte"/>
      </w:pPr>
      <w:r>
        <w:t xml:space="preserve">Anexos</w:t>
      </w:r>
    </w:p>
    <w:p>
      <w:pPr>
        <w:pStyle w:val="Heading1"/>
      </w:pPr>
      <w:r>
        <w:t xml:space="preserve">A. Controles de calidad del análisis</w:t>
      </w:r>
    </w:p>
    <w:p>
      <w:pPr>
        <w:spacing w:after="100"/>
      </w:pPr>
      <w:r>
        <w:t xml:space="preserve">14 de 14 controles correctos. Fuentes: 26 (15 primarias); citas distintas en el texto: 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5"/>
        <w:gridCol w:w="1126"/>
        <w:gridCol w:w="4507"/>
      </w:tblGrid>
      <w:tr>
        <w:trPr>
          <w:cantSplit/>
          <w:tblHeader/>
        </w:trPr>
        <w:tc>
          <w:tcPr>
            <w:tcW w:type="dxa" w:w="4005"/>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Control</w:t>
            </w:r>
          </w:p>
        </w:tc>
        <w:tc>
          <w:tcPr>
            <w:tcW w:type="dxa" w:w="11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Resultado</w:t>
            </w:r>
          </w:p>
        </w:tc>
        <w:tc>
          <w:tcPr>
            <w:tcW w:type="dxa" w:w="450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Detalle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Geografías suman 100 %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DCF inverso calculable</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Circulante del primer año de proyección ≈ último real</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Supuesto 20,4 % frente a 20,4 % real: genera una variación de circulante de 40 M en el primer año. Converge de forma gradual.</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 del valor terminal ≤ 80 % del valor empresa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70 %.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Crecimiento a perpetuidad ≤ 3 %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2,00 %.</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Probabilidades de los escenarios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5 comparables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6 comparables.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Pesos de la síntesis suman 100</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Recomendación coherente con la regla de decisión</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Capitalización calculada ≈ publicada</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25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fuentes (15 primarias).</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Al menos 10 fuentes primarias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15.</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Toda cita [n] existe en fuentes</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w:t>
            </w:r>
          </w:p>
        </w:tc>
      </w:tr>
      <w:tr>
        <w:trPr>
          <w:cantSplit/>
        </w:trPr>
        <w:tc>
          <w:tcPr>
            <w:tcW w:type="dxa" w:w="4005"/>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Fuentes sin citar ≤ 15 %</w:t>
            </w:r>
          </w:p>
        </w:tc>
        <w:tc>
          <w:tcPr>
            <w:tcW w:type="dxa" w:w="11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OK</w:t>
            </w:r>
          </w:p>
        </w:tc>
        <w:tc>
          <w:tcPr>
            <w:tcW w:type="dxa" w:w="450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w:t>
            </w:r>
          </w:p>
        </w:tc>
      </w:tr>
    </w:tbl>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228"/>
        <w:gridCol w:w="2410"/>
      </w:tblGrid>
      <w:tr>
        <w:trPr>
          <w:cantSplit/>
          <w:tblHeader/>
        </w:trPr>
        <w:tc>
          <w:tcPr>
            <w:tcW w:type="dxa" w:w="7228"/>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 de fuente</w:t>
            </w:r>
          </w:p>
        </w:tc>
        <w:tc>
          <w:tcPr>
            <w:tcW w:type="dxa" w:w="241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right"/>
            </w:pPr>
            <w:r>
              <w:rPr>
                <w:rFonts w:ascii="Calibri" w:cs="Calibri" w:eastAsia="Calibri" w:hAnsi="Calibri"/>
                <w:b/>
                <w:bCs/>
                <w:color w:val="FFFFFF"/>
                <w:sz w:val="16"/>
                <w:szCs w:val="16"/>
              </w:rPr>
              <w:t xml:space="preserve">Número</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Primaria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15</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Datos de mercado</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7</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Sectorial</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2</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bCs/>
                <w:color w:val="1F2A3C"/>
                <w:sz w:val="16"/>
                <w:szCs w:val="16"/>
              </w:rPr>
              <w:t xml:space="preserve">Analistas</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right"/>
            </w:pPr>
            <w:r>
              <w:rPr>
                <w:rFonts w:ascii="Calibri" w:cs="Calibri" w:eastAsia="Calibri" w:hAnsi="Calibri"/>
                <w:b w:val="false"/>
                <w:bCs w:val="false"/>
                <w:color w:val="1F2A3C"/>
                <w:sz w:val="16"/>
                <w:szCs w:val="16"/>
              </w:rPr>
              <w:t xml:space="preserve">1</w:t>
            </w:r>
          </w:p>
        </w:tc>
      </w:tr>
      <w:tr>
        <w:trPr>
          <w:cantSplit/>
        </w:trPr>
        <w:tc>
          <w:tcPr>
            <w:tcW w:type="dxa" w:w="7228"/>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Prensa</w:t>
            </w:r>
          </w:p>
        </w:tc>
        <w:tc>
          <w:tcPr>
            <w:tcW w:type="dxa" w:w="241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right"/>
            </w:pPr>
            <w:r>
              <w:rPr>
                <w:rFonts w:ascii="Calibri" w:cs="Calibri" w:eastAsia="Calibri" w:hAnsi="Calibri"/>
                <w:b w:val="false"/>
                <w:bCs w:val="false"/>
                <w:color w:val="1F2A3C"/>
                <w:sz w:val="16"/>
                <w:szCs w:val="16"/>
              </w:rPr>
              <w:t xml:space="preserve">1</w:t>
            </w:r>
          </w:p>
        </w:tc>
      </w:tr>
    </w:tbl>
    <w:p>
      <w:pPr>
        <w:spacing w:after="160" w:before="0"/>
      </w:pPr>
    </w:p>
    <w:p>
      <w:pPr>
        <w:pStyle w:val="Heading2"/>
      </w:pPr>
      <w:r>
        <w:t xml:space="preserve">B. Información no disponible</w:t>
      </w:r>
    </w:p>
    <w:p>
      <w:pPr>
        <w:spacing w:after="100"/>
      </w:pPr>
      <w:r>
        <w:t xml:space="preserve">Cuando un dato no aparece tras tres búsquedas distintas, el análisis lo deja fuera en lugar de estimarlo sin base. Las secciones de núcleo que faltan se avisan también en el resumen.</w:t>
      </w:r>
    </w:p>
    <w:p>
      <w:pPr>
        <w:spacing w:after="16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50"/>
        <w:gridCol w:w="1994"/>
        <w:gridCol w:w="997"/>
        <w:gridCol w:w="3766"/>
        <w:gridCol w:w="1331"/>
      </w:tblGrid>
      <w:tr>
        <w:trPr>
          <w:cantSplit/>
          <w:tblHeader/>
        </w:trPr>
        <w:tc>
          <w:tcPr>
            <w:tcW w:type="dxa" w:w="155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Sección</w:t>
            </w:r>
          </w:p>
        </w:tc>
        <w:tc>
          <w:tcPr>
            <w:tcW w:type="dxa" w:w="1994"/>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Dato que falta</w:t>
            </w:r>
          </w:p>
        </w:tc>
        <w:tc>
          <w:tcPr>
            <w:tcW w:type="dxa" w:w="9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Tipo</w:t>
            </w:r>
          </w:p>
        </w:tc>
        <w:tc>
          <w:tcPr>
            <w:tcW w:type="dxa" w:w="376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Las tres búsquedas</w:t>
            </w:r>
          </w:p>
        </w:tc>
        <w:tc>
          <w:tcPr>
            <w:tcW w:type="dxa" w:w="1331"/>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Decisión</w:t>
            </w:r>
          </w:p>
        </w:tc>
      </w:tr>
      <w:tr>
        <w:trPr>
          <w:cantSplit/>
        </w:trPr>
        <w:tc>
          <w:tcPr>
            <w:tcW w:type="dxa" w:w="155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bCs/>
                <w:color w:val="1F2A3C"/>
                <w:sz w:val="16"/>
                <w:szCs w:val="16"/>
              </w:rPr>
              <w:t xml:space="preserve">Gobierno</w:t>
            </w:r>
          </w:p>
        </w:tc>
        <w:tc>
          <w:tcPr>
            <w:tcW w:type="dxa" w:w="1994"/>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Ratio de la remuneración del primer ejecutivo sobre el salario medio</w:t>
            </w:r>
          </w:p>
        </w:tc>
        <w:tc>
          <w:tcPr>
            <w:tcW w:type="dxa" w:w="9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val="false"/>
                <w:bCs w:val="false"/>
                <w:color w:val="1F2A3C"/>
                <w:sz w:val="16"/>
                <w:szCs w:val="16"/>
              </w:rPr>
              <w:t xml:space="preserve">Complemento</w:t>
            </w:r>
          </w:p>
        </w:tc>
        <w:tc>
          <w:tcPr>
            <w:tcW w:type="dxa" w:w="376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Informe de remuneraciones 2025: no lo publica; 2) informe de sostenibilidad (EINF): da el salario medio pero no el ratio; 3) búsqueda en prensa económica: sin resultados. Calculado a partir de 1) y 2).</w:t>
            </w:r>
          </w:p>
        </w:tc>
        <w:tc>
          <w:tcPr>
            <w:tcW w:type="dxa" w:w="1331"/>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Calculado y marcado como estimación</w:t>
            </w:r>
          </w:p>
        </w:tc>
      </w:tr>
    </w:tbl>
    <w:p>
      <w:pPr>
        <w:spacing w:after="160" w:before="0"/>
      </w:pPr>
    </w:p>
    <w:p>
      <w:pPr>
        <w:pStyle w:val="Heading1"/>
      </w:pPr>
      <w:r>
        <w:t xml:space="preserve">Fuentes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
        <w:gridCol w:w="3336"/>
        <w:gridCol w:w="1390"/>
        <w:gridCol w:w="926"/>
        <w:gridCol w:w="926"/>
        <w:gridCol w:w="2597"/>
      </w:tblGrid>
      <w:tr>
        <w:trPr>
          <w:cantSplit/>
          <w:tblHeader/>
        </w:trPr>
        <w:tc>
          <w:tcPr>
            <w:tcW w:type="dxa" w:w="463"/>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center"/>
            </w:pPr>
            <w:r>
              <w:rPr>
                <w:rFonts w:ascii="Calibri" w:cs="Calibri" w:eastAsia="Calibri" w:hAnsi="Calibri"/>
                <w:b/>
                <w:bCs/>
                <w:color w:val="FFFFFF"/>
                <w:sz w:val="16"/>
                <w:szCs w:val="16"/>
              </w:rPr>
              <w:t xml:space="preserve">Ref.</w:t>
            </w:r>
          </w:p>
        </w:tc>
        <w:tc>
          <w:tcPr>
            <w:tcW w:type="dxa" w:w="333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Documento</w:t>
            </w:r>
          </w:p>
        </w:tc>
        <w:tc>
          <w:tcPr>
            <w:tcW w:type="dxa" w:w="1390"/>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Editor</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Tipo</w:t>
            </w:r>
          </w:p>
        </w:tc>
        <w:tc>
          <w:tcPr>
            <w:tcW w:type="dxa" w:w="926"/>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Fecha</w:t>
            </w:r>
          </w:p>
        </w:tc>
        <w:tc>
          <w:tcPr>
            <w:tcW w:type="dxa" w:w="2597"/>
            <w:tcBorders>
              <w:top w:val="none" w:color="FFFFFF" w:sz="0"/>
              <w:left w:val="none" w:color="FFFFFF" w:sz="0"/>
              <w:bottom w:val="none" w:color="FFFFFF" w:sz="0"/>
              <w:right w:val="none" w:color="FFFFFF" w:sz="0"/>
            </w:tcBorders>
            <w:shd w:fill="1F3A5F" w:color="auto" w:val="clear"/>
            <w:tcMar>
              <w:top w:type="dxa" w:w="50"/>
              <w:left w:type="dxa" w:w="80"/>
              <w:bottom w:type="dxa" w:w="50"/>
              <w:right w:type="dxa" w:w="80"/>
            </w:tcMar>
          </w:tcPr>
          <w:p>
            <w:pPr>
              <w:keepNext/>
              <w:spacing w:after="0" w:before="0"/>
              <w:jc w:val="left"/>
            </w:pPr>
            <w:r>
              <w:rPr>
                <w:rFonts w:ascii="Calibri" w:cs="Calibri" w:eastAsia="Calibri" w:hAnsi="Calibri"/>
                <w:b/>
                <w:bCs/>
                <w:color w:val="FFFFFF"/>
                <w:sz w:val="16"/>
                <w:szCs w:val="16"/>
              </w:rPr>
              <w:t xml:space="preserve">Enlace</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center"/>
            </w:pPr>
            <w:r>
              <w:rPr>
                <w:rFonts w:ascii="Calibri" w:cs="Calibri" w:eastAsia="Calibri" w:hAnsi="Calibri"/>
                <w:b/>
                <w:bCs/>
                <w:color w:val="1F2A3C"/>
                <w:sz w:val="16"/>
                <w:szCs w:val="16"/>
              </w:rPr>
              <w:t xml:space="preserve">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Informe anual 2024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27 feb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keepNext/>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2023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feb 2024</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Resultados 1S 2026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Presentación de resultados 1S 2026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1S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24 jul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Conferencia con analistas 1T 2026, transcripción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28 abr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Plan estratégico 2025-2028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12 mar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gobierno corporativo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de remuneraciones 2025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Compañía Ejemplo / 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26 feb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Participaciones significativas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Operaciones de directivos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Posiciones cortas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CNMV</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de rating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Agencia de rating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15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Cotización e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17</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Consenso de mercado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B</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18</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Múltiplos históricos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 oct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19</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Estudio del mercado europeo de distribución eléctrica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Asociación 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20</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Previsión de inversión en redes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Organismo europeo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Sectorial</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20 nov 2025</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21</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Grupo Alfa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Grupo Alfa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5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22</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Informe anual 2025 de Beta Energy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Beta Energy</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Primaria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mar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23</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Base de operaciones corporativas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de datos C</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30 sep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24</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Calificaciones ESG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Proveedor ESG</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Datos de mercado</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31 may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25</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Nota de inicio de cobertura (ficticia)</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Banco de inversión</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Analistas</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10 jun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r>
        <w:trPr>
          <w:cantSplit/>
        </w:trPr>
        <w:tc>
          <w:tcPr>
            <w:tcW w:type="dxa" w:w="463"/>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center"/>
            </w:pPr>
            <w:r>
              <w:rPr>
                <w:rFonts w:ascii="Calibri" w:cs="Calibri" w:eastAsia="Calibri" w:hAnsi="Calibri"/>
                <w:b/>
                <w:bCs/>
                <w:color w:val="1F2A3C"/>
                <w:sz w:val="16"/>
                <w:szCs w:val="16"/>
              </w:rPr>
              <w:t xml:space="preserve">26</w:t>
            </w:r>
          </w:p>
        </w:tc>
        <w:tc>
          <w:tcPr>
            <w:tcW w:type="dxa" w:w="333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Artículo sobre la entrada de fabricantes asiáticos (ficticio)</w:t>
            </w:r>
          </w:p>
        </w:tc>
        <w:tc>
          <w:tcPr>
            <w:tcW w:type="dxa" w:w="1390"/>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 económica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Prensa</w:t>
            </w:r>
          </w:p>
        </w:tc>
        <w:tc>
          <w:tcPr>
            <w:tcW w:type="dxa" w:w="926"/>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18 ago 2026</w:t>
            </w:r>
          </w:p>
        </w:tc>
        <w:tc>
          <w:tcPr>
            <w:tcW w:type="dxa" w:w="2597"/>
            <w:tcBorders>
              <w:top w:val="none" w:color="FFFFFF" w:sz="0"/>
              <w:left w:val="none" w:color="FFFFFF" w:sz="0"/>
              <w:bottom w:val="single" w:color="D9D8D3" w:sz="4"/>
              <w:right w:val="none" w:color="FFFFFF" w:sz="0"/>
            </w:tcBorders>
            <w:tcMar>
              <w:top w:type="dxa" w:w="50"/>
              <w:left w:type="dxa" w:w="80"/>
              <w:bottom w:type="dxa" w:w="50"/>
              <w:right w:type="dxa" w:w="80"/>
            </w:tcMar>
          </w:tcPr>
          <w:p>
            <w:pPr>
              <w:spacing w:after="0" w:before="0"/>
              <w:jc w:val="left"/>
            </w:pPr>
            <w:r>
              <w:rPr>
                <w:rFonts w:ascii="Calibri" w:cs="Calibri" w:eastAsia="Calibri" w:hAnsi="Calibri"/>
                <w:b w:val="false"/>
                <w:bCs w:val="false"/>
                <w:color w:val="1F2A3C"/>
                <w:sz w:val="16"/>
                <w:szCs w:val="16"/>
              </w:rPr>
              <w:t xml:space="preserve">https://example.com</w:t>
            </w:r>
          </w:p>
        </w:tc>
      </w:tr>
    </w:tbl>
    <w:p>
      <w:pPr>
        <w:spacing w:after="200" w:before="0"/>
      </w:pPr>
    </w:p>
    <w:p>
      <w:pPr>
        <w:pStyle w:val="Heading2"/>
      </w:pPr>
      <w:r>
        <w:t xml:space="preserve">Control de calidad del informe</w:t>
      </w:r>
    </w:p>
    <w:p>
      <w:pPr>
        <w:pStyle w:val="Nota"/>
        <w:spacing w:after="100"/>
      </w:pPr>
      <w:r>
        <w:t xml:space="preserve">Campos con dato: </w:t>
      </w:r>
      <w:r>
        <w:rPr>
          <w:b/>
          <w:bCs/>
        </w:rPr>
        <w:t xml:space="preserve">99,3 %</w:t>
      </w:r>
      <w:r>
        <w:t xml:space="preserve"> · Secciones con menos del 60 % de campos cubiertos: </w:t>
      </w:r>
      <w:r>
        <w:rPr>
          <w:b/>
          <w:bCs/>
        </w:rPr>
        <w:t xml:space="preserve">ninguna</w:t>
      </w:r>
      <w:r>
        <w:t xml:space="preserve"> · Generado el 6 oct 2026.</w:t>
      </w:r>
    </w:p>
    <w:p>
      <w:pPr>
        <w:pStyle w:val="Nota"/>
        <w:spacing w:after="100"/>
      </w:pPr>
      <w:r>
        <w:t xml:space="preserve">EJEMPLO FICTICIO para probar la plantilla y el motor: la empresa, las personas y todas las cifras son inventadas.</w:t>
      </w:r>
    </w:p>
    <w:p>
      <w:pPr>
        <w:pStyle w:val="Nota"/>
        <w:spacing w:after="100"/>
      </w:pPr>
      <w:r>
        <w:t xml:space="preserve">Este documento es un análisis elaborado de forma automatizada a partir de fuentes públicas. No constituye una recomendación personalizada de inversión ni una oferta de compra o venta. Las cifras marcadas como estimación y los escenarios son hipótesis de trabajo y deben verificarse antes de tomar cualquier decisión.</w:t>
      </w:r>
    </w:p>
    <w:sectPr>
      <w:headerReference w:type="default" r:id="rId6"/>
      <w:headerReference w:type="first" r:id="rId7"/>
      <w:footerReference w:type="default" r:id="rId8"/>
      <w:footerReference w:type="first" r:id="rId9"/>
      <w:pgSz w:w="11906" w:h="16838" w:orient="portrait"/>
      <w:pgMar w:top="1134" w:right="1134" w:bottom="1134" w:left="1134" w:header="567" w:footer="567"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8A8984"/>
        <w:sz w:val="15"/>
        <w:szCs w:val="15"/>
      </w:rPr>
      <w:t xml:space="preserve">Datos a 6 oct 2026 · No constituye recomendación de inversión</w:t>
    </w:r>
    <w:r>
      <w:rPr>
        <w:color w:val="8A8984"/>
        <w:sz w:val="15"/>
        <w:szCs w:val="15"/>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rPr>
        <w:color w:val="8A8984"/>
        <w:sz w:val="15"/>
        <w:szCs w:val="15"/>
      </w:rPr>
      <w:t xml:space="preserve">No constituye recomendación de inversión.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38"/>
      </w:tabs>
    </w:pPr>
    <w:r>
      <w:rPr>
        <w:color w:val="8A8984"/>
        <w:sz w:val="16"/>
        <w:szCs w:val="16"/>
      </w:rPr>
      <w:t xml:space="preserve">Compañía Ejemplo, S.A. (EJM)</w:t>
    </w:r>
    <w:r>
      <w:rPr>
        <w:color w:val="8A8984"/>
        <w:sz w:val="16"/>
        <w:szCs w:val="16"/>
      </w:rPr>
      <w:t xml:space="preserve">	Análisis de empresa cotizada</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rPr>
        <w:color w:val="2A78D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docVars>
    <w:docVar w:name="graficos" w:val="eyJzaW50ZXNpcyI6eyJ0aXBvIjoicmFuZ28iLCJ0aXR1bG8iOiJWYWxvciBwb3IgYWNjacOzbiBzZWfDum4gY2FkYSBtw6l0b2RvICh7e21ldGEuZGl2aXNhfX0pIMK3IHByZWNpbyBhY3R1YWwge3tpZGVudGlmaWNhY2lvbi5wcmVjaW98Mn19IiwiZGF0b3MiOiJjYWxjLnNpbnRlc2lzLnJhbmdvcyIsImNhdGVnb3JpYSI6ImV0aXF1ZXRhIiwiY2FtcG9fbWluIjoibWluIiwiY2FtcG9fbWF4IjoibWF4IiwiZ3JpcyI6ImdyaXMiLCJmb3JtYXRvIjoiIywjIzAuMDAiLCJhbHRvX2NtIjo4fSwic2VnbWVudG9zX2hpc3QiOnsidGlwbyI6ImNvbHVtbmFzX2FwaWxhZGFzIiwidGl0dWxvIjoiSW5ncmVzb3MgcG9yIHNlZ21lbnRvICh7e21ldGEuZGl2aXNhfX0sIG1pbGxvbmVzKSIsInBpdm90Ijp7Imxpc3RhIjoibmVnb2Npby5zZWdtZW50b3MiLCJub21icmUiOiJub21icmUiLCJoaXN0b3JpY28iOiJoaXN0b3JpY28iLCJwZXJpb2RvIjoicGVyaW9kbyIsInZhbG9yIjoiaW5ncmVzb3MifSwiZm9ybWF0byI6IiMsIyMwIiwiYWx0b19jbSI6Ny41fSwic2VnbWVudG9zX21peCI6eyJ0aXBvIjoiZG9udXQiLCJ0aXR1bG8iOiJQZXNvIGRlIGNhZGEgc2VnbWVudG8gZW4gbG9zIGluZ3Jlc29zICh7e2NhbGMuc2VnbWVudG9zX3BlcmlvZG99fSkiLCJkYXRvcyI6ImNhbGMuc2VnbWVudG9zX3VsdGltbyIsImNhdGVnb3JpYSI6Im5vbWJyZSIsInNlcmllcyI6W3siY2FtcG8iOiJwZXNvX3BjdCIsIm5vbWJyZSI6IiUgZGUgaW5ncmVzb3MifV0sImFsdG9fY20iOjYuNX0sImdlb2dyYWZpYXMiOnsidGlwbyI6ImJhcnJhcyIsInRpdHVsbyI6IkluZ3Jlc29zIHBvciBnZW9ncmFmw61hLCBzZWfDum4ge3tuZWdvY2lvLmdlb2dyYWZpYXNfY3JpdGVyaW99fSAoJSBkZWwgdG90YWwpIiwiZGF0b3MiOiJuZWdvY2lvLmdlb2dyYWZpYXMiLCJjYXRlZ29yaWEiOiJub21icmUiLCJzZXJpZXMiOlt7ImNhbXBvIjoicGVzb19wY3QiLCJub21icmUiOiIlIGRlIGluZ3Jlc29zIn1dLCJmb3JtYXRvIjoiMFwiJVwiIiwiZXRpcXVldGFzIjp0cnVlLCJhbHRvX2NtIjo2fSwic2VjdG9yX21lcmNhZG8iOnsidGlwbyI6ImNvbHVtbmFzIiwidGl0dWxvIjoiVGFtYcOxbyBkZWwgbWVyY2FkbyAoe3tzZWN0b3IudW5pZGFkX3NlcmllfX0pIMK3IMKrZcK7ID0gcHJldmlzacOzbiIsImRhdG9zIjoic2VjdG9yLnNlcmllIiwiY2F0ZWdvcmlhIjoiYW5pbyIsInNlcmllcyI6W3siY2FtcG8iOiJ0YW1hbm8iLCJub21icmUiOiJUYW1hw7FvIGRlbCBtZXJjYWRvIn1dLCJmb3JtYXRvIjoiIywjIzAiLCJldGlxdWV0YXMiOnRydWUsImFsdG9fY20iOjYuNX0sInBvcnRlciI6eyJ0aXBvIjoicmFkYXIiLCJ0aXR1bG8iOiJDaW5jbyBmdWVyemFzOiBpbnRlbnNpZGFkICgxID0gZmF2b3JhYmxlLCA1ID0gZGVzZmF2b3JhYmxlKSIsImRhdG9zIjoic2VjdG9yLnBvcnRlciIsImNhdGVnb3JpYSI6ImZ1ZXJ6YSIsInNlcmllcyI6W3siY2FtcG8iOiJpbnRlbnNpZGFkIiwibm9tYnJlIjoiSW50ZW5zaWRhZCJ9XSwibWluIjowLCJtYXgiOjUsImFsdG9fY20iOjcuNX0sImZvc28iOnsidGlwbyI6ImJhcnJhcyIsInRpdHVsbyI6IkZ1ZW50ZXMgZGUgdmVudGFqYSBjb21wZXRpdGl2YSAoMCA9IGluZXhpc3RlbnRlLCA1ID0gbXV5IGZ1ZXJ0ZSkiLCJkYXRvcyI6ImNvbXBldGVuY2lhLmZvc28uZnVlbnRlcyIsImNhdGVnb3JpYSI6ImZ1ZW50ZSIsInNlcmllcyI6W3siY2FtcG8iOiJwdW50dWFjaW9uIiwibm9tYnJlIjoiUHVudHVhY2nDs24ifV0sIm1pbiI6MCwibWF4Ijo1LCJmb3JtYXRvIjoiMCIsImV0aXF1ZXRhcyI6dHJ1ZSwiYWx0b19jbSI6NS41fSwiY29tcGV0aWRvcmVzX21hcmdlbiI6eyJ0aXBvIjoiYmFycmFzIiwidGl0dWxvIjoiTWFyZ2VuIEVCSVQ6IGxhIGVtcHJlc2EgZnJlbnRlIGEgc3VzIGNvbXBldGlkb3JlcyAoJSkiLCJkYXRvcyI6ImNhbGMuY29tcGV0aWRvcmVzX21hcmdlbiIsImNhdGVnb3JpYSI6Im5vbWJyZSIsInNlcmllcyI6W3siY2FtcG8iOiJtYXJnZW5fZWJpdF9wY3QiLCJub21icmUiOiJNYXJnZW4gRUJJVCJ9XSwiZm9ybWF0byI6IjAuMFwiJVwiIiwiZXRpcXVldGFzIjp0cnVlLCJyZXNhbHRhciI6MCwiYWx0b19jbSI6Ni41fSwiaW5ncmVzb3NfZWJpdGRhIjp7InRpcG8iOiJjb2x1bW5hcyIsInRpdHVsbyI6IkluZ3Jlc29zIHkgRUJJVERBICh7e21ldGEuZGl2aXNhfX0sIG1pbGxvbmVzKSDCtyDCq2XCuyA9IHByb3llY2Npw7NuIHByb3BpYSBkZWwgRENGIiwiZGF0b3MiOiJjYWxjLmN1ZW50YV95X3ByZXZpc2lvbiIsImNhdGVnb3JpYSI6InBlcmlvZG8iLCJzZXJpZXMiOlt7ImNhbXBvIjoiaW5ncmVzb3MiLCJub21icmUiOiJJbmdyZXNvcyJ9LHsiY2FtcG8iOiJlYml0ZGEiLCJub21icmUiOiJFQklUREEifV0sImZvcm1hdG8iOiIjLCMjMCJ9LCJtYXJnZW5lcyI6eyJ0aXBvIjoibGluZWFzIiwidGl0dWxvIjoiTcOhcmdlbmVzICglIGRlIGluZ3Jlc29zKSIsImRhdG9zIjoiY2FsYy5jdWVudGEiLCJjYXRlZ29yaWEiOiJwZXJpb2RvIiwic2VyaWVzIjpbeyJjYW1wbyI6Im1hcmdlbl9icnV0b19wY3QiLCJub21icmUiOiJCcnV0byJ9LHsiY2FtcG8iOiJtYXJnZW5fZWJpdGRhX3BjdCIsIm5vbWJyZSI6IkVCSVREQSJ9LHsiY2FtcG8iOiJtYXJnZW5fZWJpdF9wY3QiLCJub21icmUiOiJFQklUIn0seyJjYW1wbyI6Im1hcmdlbl9uZXRvX3BjdCIsIm5vbWJyZSI6Ik5ldG8ifV0sImZvcm1hdG8iOiIwXCIlXCIifSwidHJpbWVzdHJlcyI6eyJ0aXBvIjoiY29sdW1uYXMiLCJ0aXR1bG8iOiJDcmVjaW1pZW50byBpbnRlcmFudWFsIHBvciB0cmltZXN0cmUgKCUpIiwiZGF0b3MiOiJ0cmltZXN0cmVzLml0ZW1zIiwiY2F0ZWdvcmlhIjoicGVyaW9kbyIsInNlcmllcyI6W3siY2FtcG8iOiJjcmVjaW1pZW50b19wY3QiLCJub21icmUiOiJSZXBvcnRhZG8ifSx7ImNhbXBvIjoiY3JlY2ltaWVudG9fb3JnYW5pY29fcGN0Iiwibm9tYnJlIjoiT3Jnw6FuaWNvIn1dLCJmb3JtYXRvIjoiMC4wXCIlXCIiLCJhbHRvX2NtIjo2LjV9LCJkaWFzX2NpcmN1bGFudGUiOnsidGlwbyI6ImxpbmVhcyIsInRpdHVsbyI6IkNhcGl0YWwgY2lyY3VsYW50ZSBlbiBkw61hcyIsImRhdG9zIjoiY2FsYy5iYWxhbmNlIiwiY2F0ZWdvcmlhIjoicGVyaW9kbyIsInNlcmllcyI6W3siY2FtcG8iOiJkc28iLCJub21icmUiOiJEw61hcyBkZSBjb2JybyJ9LHsiY2FtcG8iOiJkaW8iLCJub21icmUiOiJEw61hcyBkZSBpbnZlbnRhcmlvIn0seyJjYW1wbyI6ImRwbyIsIm5vbWJyZSI6IkTDrWFzIGRlIHBhZ28ifV0sImZvcm1hdG8iOiIwIiwiYWx0b19jbSI6Ni41fSwiZmNmIjp7InRpcG8iOiJjb2x1bW5hcyIsInRpdHVsbyI6IkZsdWpvIGRlIGNhamEgbGlicmUgZnJlbnRlIGEgYmVuZWZpY2lvIG5ldG8gKHt7bWV0YS5kaXZpc2F9fSwgbWlsbG9uZXMpIiwiZGF0b3MiOiJjYWxjLmZsdWpvcyIsImNhdGVnb3JpYSI6InBlcmlvZG8iLCJzZXJpZXMiOlt7ImNhbXBvIjoiZmNmIiwibm9tYnJlIjoiRmx1am8gZGUgY2FqYSBsaWJyZSJ9LHsiY2FtcG8iOiJiZW5lZmljaW9fbmV0byIsIm5vbWJyZSI6IkJlbmVmaWNpbyBuZXRvIn1dLCJmb3JtYXRvIjoiIywjIzAifSwicm9pYyI6eyJ0aXBvIjoibGluZWFzIiwidGl0dWxvIjoiUk9JQyB5IFJPRSBmcmVudGUgYWwgY29zdGUgZGVsIGNhcGl0YWwgKCUpIiwiZGF0b3MiOiJjYWxjLnJvaWNfZnJlbnRlX3dhY2MiLCJjYXRlZ29yaWEiOiJwZXJpb2RvIiwic2VyaWVzIjpbeyJjYW1wbyI6InJvaWNfcGN0Iiwibm9tYnJlIjoiUk9JQyJ9LHsiY2FtcG8iOiJ3YWNjX3BjdCIsIm5vbWJyZSI6IldBQ0MgYWN0dWFsIn0seyJjYW1wbyI6InJvZV9wY3QiLCJub21icmUiOiJST0UifV0sImZvcm1hdG8iOiIwXCIlXCIifSwiYXBhbGFuY2FtaWVudG8iOnsidGlwbyI6ImNvbHVtbmFzIiwidGl0dWxvIjoiRGV1ZGEgbmV0YSAvIEVCSVREQSBhbCBjaWVycmUgZGUgY2FkYSBlamVyY2ljaW8gKHZlY2VzKSIsImRhdG9zIjoiY2FsYy5iYWxhbmNlIiwiY2F0ZWdvcmlhIjoicGVyaW9kbyIsInNlcmllcyI6W3siY2FtcG8iOiJkbl9lYml0ZGEiLCJub21icmUiOiJEZXVkYSBuZXRhIC8gRUJJVERBIn1dLCJmb3JtYXRvIjoiMC4wXCJ4XCIiLCJldGlxdWV0YXMiOnRydWUsImFsdG9fY20iOjZ9LCJ2ZW5jaW1pZW50b3MiOnsidGlwbyI6ImNvbHVtbmFzIiwidGl0dWxvIjoiVmVuY2ltaWVudG9zIGRlIGxhIGRldWRhIGJydXRhICh7e21ldGEuZGl2aXNhfX0sIG1pbGxvbmVzKSIsImRhdG9zIjoiYmFsYW5jZS52ZW5jaW1pZW50b3MiLCJjYXRlZ29yaWEiOiJhbmlvIiwic2VyaWVzIjpbeyJjYW1wbyI6ImltcG9ydGUiLCJub21icmUiOiJWZW5jaW1pZW50b3MifV0sImZvcm1hdG8iOiIjLCMjMCIsImV0aXF1ZXRhcyI6dHJ1ZSwiYWx0b19jbSI6Nn0sInVzb3NfY2FqYSI6eyJ0aXBvIjoiY29sdW1uYXNfYXBpbGFkYXMiLCJ0aXR1bG8iOiJVc29zIGRlIGxhIGNhamEgKHt7bWV0YS5kaXZpc2F9fSwgbWlsbG9uZXMpIiwiZGF0b3MiOiJjYWxjLmZsdWpvcyIsImNhdGVnb3JpYSI6InBlcmlvZG8iLCJzZXJpZXMiOlt7ImNhbXBvIjoiYWRxdWlzaWNpb25lcyIsIm5vbWJyZSI6IkFkcXVpc2ljaW9uZXMifSx7ImNhbXBvIjoiZGl2aWRlbmRvcyIsIm5vbWJyZSI6IkRpdmlkZW5kb3MifSx7ImNhbXBvIjoicmVjb21wcmFzIiwibm9tYnJlIjoiUmVjb21wcmFzIn1dLCJmb3JtYXRvIjoiIywjIzAifSwiY29uc2VqbyI6eyJ0aXBvIjoiZG9udXQiLCJ0aXR1bG8iOiJDb21wb3NpY2nDs24gZGVsIGNvbnNlam8gKG7Dum1lcm8gZGUgY29uc2VqZXJvcykiLCJkYXRvcyI6ImNhbGMuZ29iaWVybm8uY29tcG9zaWNpb24iLCJjYXRlZ29yaWEiOiJ0aXBvIiwic2VyaWVzIjpbeyJjYW1wbyI6Im51bSIsIm5vbWJyZSI6IkNvbnNlamVyb3MifV0sImZvcm1hdG8iOiIwIiwic3VtYTEwMCI6ZmFsc2UsImFsdG9fY20iOjZ9LCJhY2Npb25pc3RhcyI6eyJ0aXBvIjoiYmFycmFzIiwidGl0dWxvIjoiQWNjaW9uaXN0YXMgc2lnbmlmaWNhdGl2b3MgKCUgZGVsIGNhcGl0YWwpIiwiZGF0b3MiOiJnb2JpZXJuby5hY2Npb25pc3RhcyIsImNhdGVnb3JpYSI6Im5vbWJyZSIsInNlcmllcyI6W3siY2FtcG8iOiJwY3QiLCJub21icmUiOiIlIGRlbCBjYXBpdGFsIn1dLCJmb3JtYXRvIjoiMC4wXCIlXCIiLCJldGlxdWV0YXMiOnRydWUsImFsdG9fY20iOjYuNX0sImJvbHNhX2FudWFsIjp7InRpcG8iOiJjb2x1bW5hcyIsInRpdHVsbyI6IlJlbnRhYmlsaWRhZCB0b3RhbCBwb3IgYcOxbzogYWNjacOzbiBmcmVudGUgYSBzdSDDrW5kaWNlICglKSIsImRhdG9zIjoiYm9sc2EuYW51YWwiLCJjYXRlZ29yaWEiOiJhbmlvIiwic2VyaWVzIjpbeyJjYW1wbyI6ImFjY2lvbl9wY3QiLCJub21icmUiOiJBY2Npw7NuIn0seyJjYW1wbyI6ImluZGljZV9wY3QiLCJub21icmUiOiLDjW5kaWNlIn1dLCJmb3JtYXRvIjoiMFwiJVwiIiwiYWx0b19jbSI6N30sIm11bHRpcGxvc19oaXN0Ijp7InRpcG8iOiJsaW5lYXMiLCJ0aXR1bG8iOiJ7e2NhbGMubXVsdGlwbG9zX3RpdHVsb319OiBoaXN0b3JpYSB5IG1lZGlhICh2ZWNlcykiLCJkYXRvcyI6ImNhbGMubXVsdGlwbG9zX3NlcmllIiwiY2F0ZWdvcmlhIjoiYW5pbyIsInNlcmllcyI6W3siY2FtcG8iOiJtdWx0aXBsbyIsIm5vbWJyZSI6Ik3Dumx0aXBsbyJ9LHsiY2FtcG8iOiJtZWRpYSIsIm5vbWJyZSI6Ik1lZGlhIGRlbCBwZXJpb2RvIn1dLCJmb3JtYXRvIjoiMC4wXCJ4XCIiLCJhbHRvX2NtIjo2LjV9LCJjb21wc19ldiI6eyJ0aXBvIjoiYmFycmFzIiwidGl0dWxvIjoiRVYvRUJJVERBIGRlIGxvcyBwcsOzeGltb3MgMTIgbWVzZXM6IGVtcHJlc2EgeSBjb21wYXJhYmxlcyAodmVjZXMpIiwiZGF0b3MiOiJjYWxjLmNvbXBhcmFibGVzLnRhYmxhIiwiY2F0ZWdvcmlhIjoibm9tYnJlIiwic2VyaWVzIjpbeyJjYW1wbyI6ImV2X2ViaXRkYV9udG0iLCJub21icmUiOiJFVi9FQklUREEgTlRNIn1dLCJmb3JtYXRvIjoiMC4wXCJ4XCIiLCJldGlxdWV0YXMiOnRydWUsInJlc2FsdGFyIjowLCJhbHRvX2NtIjo3LjV9LCJjb21wc19tYXBhIjp7InRpcG8iOiJkaXNwZXJzaW9uIiwidGl0dWxvIjoiQ3JlY2ltaWVudG8gZXNwZXJhZG8gZnJlbnRlIGEgbcO6bHRpcGxvIiwiZGF0b3MiOiJjYWxjLmNvbXBhcmFibGVzLnRhYmxhIiwiZXRpcXVldGEiOiJub21icmUiLCJ4Ijp7ImNhbXBvIjoiY3JlY2ltaWVudG9fcGN0Iiwibm9tYnJlIjoiQ3JlY2ltaWVudG8gZGUgaW5ncmVzb3MgcHLDs3hpbW9zIDEyIG1lc2VzICglKSIsImZvcm1hdG8iOiIwXCIlXCIifSwieSI6eyJjYW1wbyI6ImV2X2ViaXRkYV9udG0iLCJub21icmUiOiJFVi9FQklUREEgTlRNICh4KSIsImZvcm1hdG8iOiIwLjBcInhcIiJ9LCJhbHRvX2NtIjo4LjV9LCJ0cmFuc2FjY2lvbmVzIjp7InRpcG8iOiJiYXJyYXMiLCJ0aXR1bG8iOiJFVi9FQklUREEgcGFnYWRvIGVuIHRyYW5zYWNjaW9uZXMgZGVsIHNlY3RvciAodmVjZXMpIiwiZGF0b3MiOiJ0cmFuc2FjY2lvbmVzLm9wZXJhY2lvbmVzIiwiY2F0ZWdvcmlhIjoib2JqZXRpdm8iLCJzZXJpZXMiOlt7ImNhbXBvIjoiZXZfZWJpdGRhIiwibm9tYnJlIjoiRVYvRUJJVERBIn1dLCJmb3JtYXRvIjoiMC4wXCJ4XCIiLCJldGlxdWV0YXMiOnRydWUsImFsdG9fY20iOjd9LCJkY2ZfZmNmZiI6eyJ0aXBvIjoiY29sdW1uYXMiLCJ0aXR1bG8iOiJGbHVqbyBkZSBjYWphIGxpYnJlIHBhcmEgbGEgZW1wcmVzYSBwcm95ZWN0YWRvICh7e21ldGEuZGl2aXNhfX0sIG1pbGxvbmVzKSIsImRhdG9zIjoiY2FsYy5kY2YucHJveWVjY2lvbiIsImNhdGVnb3JpYSI6InBlcmlvZG8iLCJzZXJpZXMiOlt7ImNhbXBvIjoiZmNmZiIsIm5vbWJyZSI6IkZDRkYifV0sImZvcm1hdG8iOiIjLCMjMCIsImV0aXF1ZXRhcyI6dHJ1ZSwiYWx0b19jbSI6Nn0sImRjZl9jb21wb3NpY2lvbiI6eyJ0aXBvIjoiZG9udXQiLCJ0aXR1bG8iOiJEZSBkw7NuZGUgc2FsZSBlbCB2YWxvciBlbXByZXNhIGRlbCBEQ0YgKHt7bWV0YS5kaXZpc2F9fSwgbWlsbG9uZXMpIiwiZGF0b3MiOiJjYWxjLmRjZi5jb21wb3NpY2lvbiIsImNhdGVnb3JpYSI6InBhcnRlIiwic2VyaWVzIjpbeyJjYW1wbyI6InZhbG9yIiwibm9tYnJlIjoiVmFsb3IgYWN0dWFsIn1dLCJmb3JtYXRvIjoiIywjIzAiLCJzdW1hMTAwIjpmYWxzZSwiYWx0b19jbSI6Nn0sImVzY2VuYXJpb3MiOnsidGlwbyI6ImNvbHVtbmFzIiwidGl0dWxvIjoiVmFsb3IgcG9yIGFjY2nDs24gcG9yIGVzY2VuYXJpbyAoe3ttZXRhLmRpdmlzYX19KSDCtyBwcmVjaW8gYWN0dWFsIHt7aWRlbnRpZmljYWNpb24ucHJlY2lvfDJ9fSIsImRhdG9zIjoiY2FsYy5lc2NlbmFyaW9zIiwiY2F0ZWdvcmlhIjoiZXNjZW5hcmlvIiwic2VyaWVzIjpbeyJjYW1wbyI6InZhbG9yIiwibm9tYnJlIjoiVmFsb3IgcG9yIGFjY2nDs24ifV0sImZvcm1hdG8iOiIjLCMjMC4wMCIsImV0aXF1ZXRhcyI6dHJ1ZSwiYWx0b19jbSI6Nn19"/>
  </w:docVa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C"/>
        <w:sz w:val="20"/>
        <w:szCs w:val="20"/>
      </w:rPr>
    </w:rPrDefault>
    <w:pPrDefault>
      <w:pPr>
        <w:spacing w:line="264"/>
      </w:pPr>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80"/>
    </w:pPr>
    <w:rPr>
      <w:rFonts w:ascii="Calibri" w:cs="Calibri" w:eastAsia="Calibri" w:hAnsi="Calibri"/>
      <w:b/>
      <w:bCs/>
      <w:color w:val="1F3A5F"/>
      <w:sz w:val="52"/>
      <w:szCs w:val="52"/>
    </w:rPr>
  </w:style>
  <w:style w:type="paragraph" w:styleId="Heading1">
    <w:name w:val="Heading 1"/>
    <w:basedOn w:val="Normal"/>
    <w:next w:val="Normal"/>
    <w:qFormat/>
    <w:pPr>
      <w:keepNext/>
      <w:pBdr>
        <w:bottom w:val="single" w:color="2A78D6" w:sz="6" w:space="4"/>
      </w:pBdr>
      <w:spacing w:after="60" w:before="360"/>
      <w:outlineLvl w:val="0"/>
    </w:pPr>
    <w:rPr>
      <w:rFonts w:ascii="Calibri" w:cs="Calibri" w:eastAsia="Calibri" w:hAnsi="Calibri"/>
      <w:b/>
      <w:bCs/>
      <w:color w:val="1F3A5F"/>
      <w:sz w:val="30"/>
      <w:szCs w:val="30"/>
    </w:rPr>
  </w:style>
  <w:style w:type="paragraph" w:styleId="Heading2">
    <w:name w:val="Heading 2"/>
    <w:basedOn w:val="Normal"/>
    <w:next w:val="Normal"/>
    <w:qFormat/>
    <w:pPr>
      <w:keepNext/>
      <w:spacing w:after="80" w:before="220"/>
      <w:outlineLvl w:val="1"/>
    </w:pPr>
    <w:rPr>
      <w:rFonts w:ascii="Calibri" w:cs="Calibri" w:eastAsia="Calibri" w:hAnsi="Calibri"/>
      <w:b/>
      <w:bCs/>
      <w:color w:val="1F3A5F"/>
      <w:sz w:val="23"/>
      <w:szCs w:val="23"/>
    </w:rPr>
  </w:style>
  <w:style w:type="paragraph" w:styleId="Parte">
    <w:name w:val="Parte"/>
    <w:basedOn w:val="Normal"/>
    <w:next w:val="Normal"/>
    <w:pPr>
      <w:keepNext/>
      <w:pBdr>
        <w:bottom w:val="single" w:color="2A78D6" w:sz="12" w:space="6"/>
      </w:pBdr>
      <w:spacing w:after="400" w:before="2400"/>
      <w:outlineLvl w:val="0"/>
    </w:pPr>
    <w:rPr>
      <w:rFonts w:ascii="Calibri" w:cs="Calibri" w:eastAsia="Calibri" w:hAnsi="Calibri"/>
      <w:b/>
      <w:bCs/>
      <w:color w:val="2A78D6"/>
      <w:sz w:val="40"/>
      <w:szCs w:val="40"/>
    </w:rPr>
  </w:style>
  <w:style w:type="paragraph" w:styleId="Aviso">
    <w:name w:val="Aviso"/>
    <w:basedOn w:val="Normal"/>
    <w:next w:val="Normal"/>
    <w:pPr>
      <w:pBdr>
        <w:left w:val="single" w:color="D9772E" w:sz="24" w:space="8"/>
      </w:pBdr>
      <w:spacing w:after="200" w:before="120"/>
      <w:ind w:left="200"/>
    </w:pPr>
    <w:rPr>
      <w:b/>
      <w:bCs/>
      <w:color w:val="A3470F"/>
      <w:sz w:val="19"/>
      <w:szCs w:val="19"/>
    </w:rPr>
  </w:style>
  <w:style w:type="paragraph" w:styleId="Confianza">
    <w:name w:val="Confianza"/>
    <w:basedOn w:val="Normal"/>
    <w:next w:val="Normal"/>
    <w:pPr>
      <w:keepNext/>
      <w:spacing w:after="160" w:before="0"/>
    </w:pPr>
    <w:rPr>
      <w:i/>
      <w:iCs/>
      <w:color w:val="8A8984"/>
      <w:sz w:val="16"/>
      <w:szCs w:val="16"/>
    </w:rPr>
  </w:style>
  <w:style w:type="paragraph" w:styleId="Nota">
    <w:name w:val="Nota"/>
    <w:basedOn w:val="Normal"/>
    <w:next w:val="Normal"/>
    <w:pPr>
      <w:spacing w:after="80"/>
    </w:pPr>
    <w:rPr>
      <w:color w:val="52514E"/>
      <w:sz w:val="16"/>
      <w:szCs w:val="1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theme" Target="theme/theme1.xml"/><Relationship Id="rId11" Type="http://schemas.openxmlformats.org/officeDocument/2006/relationships/fontTable" Target="fontTable.xml"/><Relationship Id="rIdGrafico1" Type="http://schemas.openxmlformats.org/officeDocument/2006/relationships/chart" Target="charts/chart1.xml"/><Relationship Id="rIdGrafico2" Type="http://schemas.openxmlformats.org/officeDocument/2006/relationships/chart" Target="charts/chart2.xml"/><Relationship Id="rIdGrafico3" Type="http://schemas.openxmlformats.org/officeDocument/2006/relationships/chart" Target="charts/chart3.xml"/><Relationship Id="rIdGrafico4" Type="http://schemas.openxmlformats.org/officeDocument/2006/relationships/chart" Target="charts/chart4.xml"/><Relationship Id="rIdGrafico5" Type="http://schemas.openxmlformats.org/officeDocument/2006/relationships/chart" Target="charts/chart5.xml"/><Relationship Id="rIdGrafico6" Type="http://schemas.openxmlformats.org/officeDocument/2006/relationships/chart" Target="charts/chart6.xml"/><Relationship Id="rIdGrafico7" Type="http://schemas.openxmlformats.org/officeDocument/2006/relationships/chart" Target="charts/chart7.xml"/><Relationship Id="rIdGrafico8" Type="http://schemas.openxmlformats.org/officeDocument/2006/relationships/chart" Target="charts/chart8.xml"/><Relationship Id="rIdGrafico9" Type="http://schemas.openxmlformats.org/officeDocument/2006/relationships/chart" Target="charts/chart9.xml"/><Relationship Id="rIdGrafico10" Type="http://schemas.openxmlformats.org/officeDocument/2006/relationships/chart" Target="charts/chart10.xml"/><Relationship Id="rIdGrafico11" Type="http://schemas.openxmlformats.org/officeDocument/2006/relationships/chart" Target="charts/chart11.xml"/><Relationship Id="rIdGrafico12" Type="http://schemas.openxmlformats.org/officeDocument/2006/relationships/chart" Target="charts/chart12.xml"/><Relationship Id="rIdGrafico13" Type="http://schemas.openxmlformats.org/officeDocument/2006/relationships/chart" Target="charts/chart13.xml"/><Relationship Id="rIdGrafico14" Type="http://schemas.openxmlformats.org/officeDocument/2006/relationships/chart" Target="charts/chart14.xml"/><Relationship Id="rIdGrafico15" Type="http://schemas.openxmlformats.org/officeDocument/2006/relationships/chart" Target="charts/chart15.xml"/><Relationship Id="rIdGrafico16" Type="http://schemas.openxmlformats.org/officeDocument/2006/relationships/chart" Target="charts/chart16.xml"/><Relationship Id="rIdGrafico17" Type="http://schemas.openxmlformats.org/officeDocument/2006/relationships/chart" Target="charts/chart17.xml"/><Relationship Id="rIdGrafico18" Type="http://schemas.openxmlformats.org/officeDocument/2006/relationships/chart" Target="charts/chart18.xml"/><Relationship Id="rIdGrafico19" Type="http://schemas.openxmlformats.org/officeDocument/2006/relationships/chart" Target="charts/chart19.xml"/><Relationship Id="rIdGrafico20" Type="http://schemas.openxmlformats.org/officeDocument/2006/relationships/chart" Target="charts/chart20.xml"/><Relationship Id="rIdGrafico21" Type="http://schemas.openxmlformats.org/officeDocument/2006/relationships/chart" Target="charts/chart21.xml"/><Relationship Id="rIdGrafico22" Type="http://schemas.openxmlformats.org/officeDocument/2006/relationships/chart" Target="charts/chart22.xml"/><Relationship Id="rIdGrafico23" Type="http://schemas.openxmlformats.org/officeDocument/2006/relationships/chart" Target="charts/chart23.xml"/><Relationship Id="rIdGrafico24" Type="http://schemas.openxmlformats.org/officeDocument/2006/relationships/chart" Target="charts/chart24.xml"/><Relationship Id="rIdGrafico25" Type="http://schemas.openxmlformats.org/officeDocument/2006/relationships/chart" Target="charts/chart25.xml"/><Relationship Id="rIdGrafico26" Type="http://schemas.openxmlformats.org/officeDocument/2006/relationships/chart" Target="charts/chart26.xml"/><Relationship Id="rIdGrafico27" Type="http://schemas.openxmlformats.org/officeDocument/2006/relationships/chart" Target="charts/chart27.xml"/><Relationship Id="rIdGrafico28" Type="http://schemas.openxmlformats.org/officeDocument/2006/relationships/chart" Target="charts/chart28.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charts/_rels/chart1.xml.rels><?xml version="1.0" encoding="UTF-8" standalone="yes"?><Relationships xmlns="http://schemas.openxmlformats.org/package/2006/relationships"><Relationship Id="rId1" Type="http://schemas.openxmlformats.org/officeDocument/2006/relationships/package" Target="../embeddings/Hoja_grafico1.xlsx"/></Relationships>
</file>

<file path=word/charts/_rels/chart2.xml.rels><?xml version="1.0" encoding="UTF-8" standalone="yes"?><Relationships xmlns="http://schemas.openxmlformats.org/package/2006/relationships"><Relationship Id="rId1" Type="http://schemas.openxmlformats.org/officeDocument/2006/relationships/package" Target="../embeddings/Hoja_grafico2.xlsx"/></Relationships>
</file>

<file path=word/charts/_rels/chart3.xml.rels><?xml version="1.0" encoding="UTF-8" standalone="yes"?><Relationships xmlns="http://schemas.openxmlformats.org/package/2006/relationships"><Relationship Id="rId1" Type="http://schemas.openxmlformats.org/officeDocument/2006/relationships/package" Target="../embeddings/Hoja_grafico3.xlsx"/></Relationships>
</file>

<file path=word/charts/_rels/chart4.xml.rels><?xml version="1.0" encoding="UTF-8" standalone="yes"?><Relationships xmlns="http://schemas.openxmlformats.org/package/2006/relationships"><Relationship Id="rId1" Type="http://schemas.openxmlformats.org/officeDocument/2006/relationships/package" Target="../embeddings/Hoja_grafico4.xlsx"/></Relationships>
</file>

<file path=word/charts/_rels/chart5.xml.rels><?xml version="1.0" encoding="UTF-8" standalone="yes"?><Relationships xmlns="http://schemas.openxmlformats.org/package/2006/relationships"><Relationship Id="rId1" Type="http://schemas.openxmlformats.org/officeDocument/2006/relationships/package" Target="../embeddings/Hoja_grafico5.xlsx"/></Relationships>
</file>

<file path=word/charts/_rels/chart6.xml.rels><?xml version="1.0" encoding="UTF-8" standalone="yes"?><Relationships xmlns="http://schemas.openxmlformats.org/package/2006/relationships"><Relationship Id="rId1" Type="http://schemas.openxmlformats.org/officeDocument/2006/relationships/package" Target="../embeddings/Hoja_grafico6.xlsx"/></Relationships>
</file>

<file path=word/charts/_rels/chart7.xml.rels><?xml version="1.0" encoding="UTF-8" standalone="yes"?><Relationships xmlns="http://schemas.openxmlformats.org/package/2006/relationships"><Relationship Id="rId1" Type="http://schemas.openxmlformats.org/officeDocument/2006/relationships/package" Target="../embeddings/Hoja_grafico7.xlsx"/></Relationships>
</file>

<file path=word/charts/_rels/chart8.xml.rels><?xml version="1.0" encoding="UTF-8" standalone="yes"?><Relationships xmlns="http://schemas.openxmlformats.org/package/2006/relationships"><Relationship Id="rId1" Type="http://schemas.openxmlformats.org/officeDocument/2006/relationships/package" Target="../embeddings/Hoja_grafico8.xlsx"/></Relationships>
</file>

<file path=word/charts/_rels/chart9.xml.rels><?xml version="1.0" encoding="UTF-8" standalone="yes"?><Relationships xmlns="http://schemas.openxmlformats.org/package/2006/relationships"><Relationship Id="rId1" Type="http://schemas.openxmlformats.org/officeDocument/2006/relationships/package" Target="../embeddings/Hoja_grafico9.xlsx"/></Relationships>
</file>

<file path=word/charts/_rels/chart10.xml.rels><?xml version="1.0" encoding="UTF-8" standalone="yes"?><Relationships xmlns="http://schemas.openxmlformats.org/package/2006/relationships"><Relationship Id="rId1" Type="http://schemas.openxmlformats.org/officeDocument/2006/relationships/package" Target="../embeddings/Hoja_grafico10.xlsx"/></Relationships>
</file>

<file path=word/charts/_rels/chart11.xml.rels><?xml version="1.0" encoding="UTF-8" standalone="yes"?><Relationships xmlns="http://schemas.openxmlformats.org/package/2006/relationships"><Relationship Id="rId1" Type="http://schemas.openxmlformats.org/officeDocument/2006/relationships/package" Target="../embeddings/Hoja_grafico11.xlsx"/></Relationships>
</file>

<file path=word/charts/_rels/chart12.xml.rels><?xml version="1.0" encoding="UTF-8" standalone="yes"?><Relationships xmlns="http://schemas.openxmlformats.org/package/2006/relationships"><Relationship Id="rId1" Type="http://schemas.openxmlformats.org/officeDocument/2006/relationships/package" Target="../embeddings/Hoja_grafico12.xlsx"/></Relationships>
</file>

<file path=word/charts/_rels/chart13.xml.rels><?xml version="1.0" encoding="UTF-8" standalone="yes"?><Relationships xmlns="http://schemas.openxmlformats.org/package/2006/relationships"><Relationship Id="rId1" Type="http://schemas.openxmlformats.org/officeDocument/2006/relationships/package" Target="../embeddings/Hoja_grafico13.xlsx"/></Relationships>
</file>

<file path=word/charts/_rels/chart14.xml.rels><?xml version="1.0" encoding="UTF-8" standalone="yes"?><Relationships xmlns="http://schemas.openxmlformats.org/package/2006/relationships"><Relationship Id="rId1" Type="http://schemas.openxmlformats.org/officeDocument/2006/relationships/package" Target="../embeddings/Hoja_grafico14.xlsx"/></Relationships>
</file>

<file path=word/charts/_rels/chart15.xml.rels><?xml version="1.0" encoding="UTF-8" standalone="yes"?><Relationships xmlns="http://schemas.openxmlformats.org/package/2006/relationships"><Relationship Id="rId1" Type="http://schemas.openxmlformats.org/officeDocument/2006/relationships/package" Target="../embeddings/Hoja_grafico15.xlsx"/></Relationships>
</file>

<file path=word/charts/_rels/chart16.xml.rels><?xml version="1.0" encoding="UTF-8" standalone="yes"?><Relationships xmlns="http://schemas.openxmlformats.org/package/2006/relationships"><Relationship Id="rId1" Type="http://schemas.openxmlformats.org/officeDocument/2006/relationships/package" Target="../embeddings/Hoja_grafico16.xlsx"/></Relationships>
</file>

<file path=word/charts/_rels/chart17.xml.rels><?xml version="1.0" encoding="UTF-8" standalone="yes"?><Relationships xmlns="http://schemas.openxmlformats.org/package/2006/relationships"><Relationship Id="rId1" Type="http://schemas.openxmlformats.org/officeDocument/2006/relationships/package" Target="../embeddings/Hoja_grafico17.xlsx"/></Relationships>
</file>

<file path=word/charts/_rels/chart18.xml.rels><?xml version="1.0" encoding="UTF-8" standalone="yes"?><Relationships xmlns="http://schemas.openxmlformats.org/package/2006/relationships"><Relationship Id="rId1" Type="http://schemas.openxmlformats.org/officeDocument/2006/relationships/package" Target="../embeddings/Hoja_grafico18.xlsx"/></Relationships>
</file>

<file path=word/charts/_rels/chart19.xml.rels><?xml version="1.0" encoding="UTF-8" standalone="yes"?><Relationships xmlns="http://schemas.openxmlformats.org/package/2006/relationships"><Relationship Id="rId1" Type="http://schemas.openxmlformats.org/officeDocument/2006/relationships/package" Target="../embeddings/Hoja_grafico19.xlsx"/></Relationships>
</file>

<file path=word/charts/_rels/chart20.xml.rels><?xml version="1.0" encoding="UTF-8" standalone="yes"?><Relationships xmlns="http://schemas.openxmlformats.org/package/2006/relationships"><Relationship Id="rId1" Type="http://schemas.openxmlformats.org/officeDocument/2006/relationships/package" Target="../embeddings/Hoja_grafico20.xlsx"/></Relationships>
</file>

<file path=word/charts/_rels/chart21.xml.rels><?xml version="1.0" encoding="UTF-8" standalone="yes"?><Relationships xmlns="http://schemas.openxmlformats.org/package/2006/relationships"><Relationship Id="rId1" Type="http://schemas.openxmlformats.org/officeDocument/2006/relationships/package" Target="../embeddings/Hoja_grafico21.xlsx"/></Relationships>
</file>

<file path=word/charts/_rels/chart22.xml.rels><?xml version="1.0" encoding="UTF-8" standalone="yes"?><Relationships xmlns="http://schemas.openxmlformats.org/package/2006/relationships"><Relationship Id="rId1" Type="http://schemas.openxmlformats.org/officeDocument/2006/relationships/package" Target="../embeddings/Hoja_grafico22.xlsx"/></Relationships>
</file>

<file path=word/charts/_rels/chart23.xml.rels><?xml version="1.0" encoding="UTF-8" standalone="yes"?><Relationships xmlns="http://schemas.openxmlformats.org/package/2006/relationships"><Relationship Id="rId1" Type="http://schemas.openxmlformats.org/officeDocument/2006/relationships/package" Target="../embeddings/Hoja_grafico23.xlsx"/></Relationships>
</file>

<file path=word/charts/_rels/chart24.xml.rels><?xml version="1.0" encoding="UTF-8" standalone="yes"?><Relationships xmlns="http://schemas.openxmlformats.org/package/2006/relationships"><Relationship Id="rId1" Type="http://schemas.openxmlformats.org/officeDocument/2006/relationships/package" Target="../embeddings/Hoja_grafico24.xlsx"/></Relationships>
</file>

<file path=word/charts/_rels/chart25.xml.rels><?xml version="1.0" encoding="UTF-8" standalone="yes"?><Relationships xmlns="http://schemas.openxmlformats.org/package/2006/relationships"><Relationship Id="rId1" Type="http://schemas.openxmlformats.org/officeDocument/2006/relationships/package" Target="../embeddings/Hoja_grafico25.xlsx"/></Relationships>
</file>

<file path=word/charts/_rels/chart26.xml.rels><?xml version="1.0" encoding="UTF-8" standalone="yes"?><Relationships xmlns="http://schemas.openxmlformats.org/package/2006/relationships"><Relationship Id="rId1" Type="http://schemas.openxmlformats.org/officeDocument/2006/relationships/package" Target="../embeddings/Hoja_grafico26.xlsx"/></Relationships>
</file>

<file path=word/charts/_rels/chart27.xml.rels><?xml version="1.0" encoding="UTF-8" standalone="yes"?><Relationships xmlns="http://schemas.openxmlformats.org/package/2006/relationships"><Relationship Id="rId1" Type="http://schemas.openxmlformats.org/officeDocument/2006/relationships/package" Target="../embeddings/Hoja_grafico27.xlsx"/></Relationships>
</file>

<file path=word/charts/_rels/chart28.xml.rels><?xml version="1.0" encoding="UTF-8" standalone="yes"?><Relationships xmlns="http://schemas.openxmlformats.org/package/2006/relationships"><Relationship Id="rId1" Type="http://schemas.openxmlformats.org/officeDocument/2006/relationships/package" Target="../embeddings/Hoja_grafico2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segmento (EUR, millones)</a:t>
            </a:r>
          </a:p>
        </c:rich>
      </c:tx>
      <c:overlay val="0"/>
    </c:title>
    <c:autoTitleDeleted val="0"/>
    <c:plotArea>
      <c:layout/>
      <c:barChart>
        <c:barDir val="col"/>
        <c:grouping val="stacked"/>
        <c:varyColors val="0"/>
        <c:ser>
          <c:idx val="0"/>
          <c:order val="0"/>
          <c:tx>
            <c:strRef>
              <c:f>Hoja1!$B$1</c:f>
              <c:strCache>
                <c:ptCount val="1"/>
                <c:pt idx="0">
                  <c:v>Redes eléctricas</c:v>
                </c:pt>
              </c:strCache>
            </c:strRef>
          </c:tx>
          <c:spPr>
            <a:solidFill>
              <a:srgbClr val="2A78D6"/>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Hoja1!$B$2:$B$6</c:f>
              <c:numCache>
                <c:formatCode>#,##0</c:formatCode>
                <c:ptCount val="5"/>
                <c:pt idx="0">
                  <c:v>719</c:v>
                </c:pt>
                <c:pt idx="1">
                  <c:v>835</c:v>
                </c:pt>
                <c:pt idx="2">
                  <c:v>941</c:v>
                </c:pt>
                <c:pt idx="3">
                  <c:v>1042</c:v>
                </c:pt>
                <c:pt idx="4">
                  <c:v>1155</c:v>
                </c:pt>
              </c:numCache>
            </c:numRef>
          </c:val>
        </c:ser>
        <c:ser>
          <c:idx val="1"/>
          <c:order val="1"/>
          <c:tx>
            <c:strRef>
              <c:f>Hoja1!$C$1</c:f>
              <c:strCache>
                <c:ptCount val="1"/>
                <c:pt idx="0">
                  <c:v>Industria</c:v>
                </c:pt>
              </c:strCache>
            </c:strRef>
          </c:tx>
          <c:spPr>
            <a:solidFill>
              <a:srgbClr val="EB6834"/>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Hoja1!$C$2:$C$6</c:f>
              <c:numCache>
                <c:formatCode>#,##0</c:formatCode>
                <c:ptCount val="5"/>
                <c:pt idx="0">
                  <c:v>1021</c:v>
                </c:pt>
                <c:pt idx="1">
                  <c:v>1089</c:v>
                </c:pt>
                <c:pt idx="2">
                  <c:v>1129</c:v>
                </c:pt>
                <c:pt idx="3">
                  <c:v>1155</c:v>
                </c:pt>
                <c:pt idx="4">
                  <c:v>1184</c:v>
                </c:pt>
              </c:numCache>
            </c:numRef>
          </c:val>
        </c:ser>
        <c:ser>
          <c:idx val="2"/>
          <c:order val="2"/>
          <c:tx>
            <c:strRef>
              <c:f>Hoja1!$D$1</c:f>
              <c:strCache>
                <c:ptCount val="1"/>
                <c:pt idx="0">
                  <c:v>Automoción</c:v>
                </c:pt>
              </c:strCache>
            </c:strRef>
          </c:tx>
          <c:spPr>
            <a:solidFill>
              <a:srgbClr val="1BAF7A"/>
            </a:solidFill>
            <a:ln w="12700">
              <a:solidFill>
                <a:srgbClr val="FFFFFF"/>
              </a:solidFill>
            </a:ln>
          </c:spPr>
          <c:invertIfNegative val="0"/>
          <c:cat>
            <c:strRef>
              <c:f>Hoja1!$A$2:$A$6</c:f>
              <c:strCache>
                <c:ptCount val="5"/>
                <c:pt idx="0">
                  <c:v>2021</c:v>
                </c:pt>
                <c:pt idx="1">
                  <c:v>2022</c:v>
                </c:pt>
                <c:pt idx="2">
                  <c:v>2023</c:v>
                </c:pt>
                <c:pt idx="3">
                  <c:v>2024</c:v>
                </c:pt>
                <c:pt idx="4">
                  <c:v>2025</c:v>
                </c:pt>
              </c:strCache>
            </c:strRef>
          </c:cat>
          <c:val>
            <c:numRef>
              <c:f>Hoja1!$D$2:$D$6</c:f>
              <c:numCache>
                <c:formatCode>#,##0</c:formatCode>
                <c:ptCount val="5"/>
                <c:pt idx="0">
                  <c:v>580</c:v>
                </c:pt>
                <c:pt idx="1">
                  <c:v>607</c:v>
                </c:pt>
                <c:pt idx="2">
                  <c:v>618</c:v>
                </c:pt>
                <c:pt idx="3">
                  <c:v>620</c:v>
                </c:pt>
                <c:pt idx="4">
                  <c:v>622</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Peso de cada segmento en los ingresos (2025)</a:t>
            </a:r>
          </a:p>
        </c:rich>
      </c:tx>
      <c:overlay val="0"/>
    </c:title>
    <c:autoTitleDeleted val="0"/>
    <c:plotArea>
      <c:layout/>
      <c:doughnutChart>
        <c:varyColors val="1"/>
        <c:ser>
          <c:idx val="0"/>
          <c:order val="0"/>
          <c:tx>
            <c:strRef>
              <c:f>Hoja1!$B$1</c:f>
              <c:strCache>
                <c:ptCount val="1"/>
                <c:pt idx="0">
                  <c:v>% de ingresos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0&quot;%&quot;"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Redes eléctricas</c:v>
                </c:pt>
                <c:pt idx="1">
                  <c:v>Industria</c:v>
                </c:pt>
                <c:pt idx="2">
                  <c:v>Automoción</c:v>
                </c:pt>
              </c:strCache>
            </c:strRef>
          </c:cat>
          <c:val>
            <c:numRef>
              <c:f>Hoja1!$B$2:$B$4</c:f>
              <c:numCache>
                <c:formatCode>General</c:formatCode>
                <c:ptCount val="3"/>
                <c:pt idx="0">
                  <c:v>39</c:v>
                </c:pt>
                <c:pt idx="1">
                  <c:v>40</c:v>
                </c:pt>
                <c:pt idx="2">
                  <c:v>21</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por geografía, según destino (% del total)</a:t>
            </a:r>
          </a:p>
        </c:rich>
      </c:tx>
      <c:overlay val="0"/>
    </c:title>
    <c:autoTitleDeleted val="0"/>
    <c:plotArea>
      <c:layout/>
      <c:barChart>
        <c:barDir val="bar"/>
        <c:grouping val="clustered"/>
        <c:varyColors val="0"/>
        <c:ser>
          <c:idx val="0"/>
          <c:order val="0"/>
          <c:tx>
            <c:strRef>
              <c:f>Hoja1!$B$1</c:f>
              <c:strCache>
                <c:ptCount val="1"/>
                <c:pt idx="0">
                  <c:v>% de ingresos</c:v>
                </c:pt>
              </c:strCache>
            </c:strRef>
          </c:tx>
          <c:spPr>
            <a:solidFill>
              <a:srgbClr val="2A78D6"/>
            </a:solidFill>
            <a:ln w="9525">
              <a:noFill/>
            </a:ln>
          </c:spPr>
          <c:invertIfNegative val="0"/>
          <c:dLbls>
            <c:numFmt formatCode="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España</c:v>
                </c:pt>
                <c:pt idx="1">
                  <c:v>Resto de Europa</c:v>
                </c:pt>
                <c:pt idx="2">
                  <c:v>Norteamérica</c:v>
                </c:pt>
                <c:pt idx="3">
                  <c:v>Latinoamérica</c:v>
                </c:pt>
                <c:pt idx="4">
                  <c:v>Resto</c:v>
                </c:pt>
              </c:strCache>
            </c:strRef>
          </c:cat>
          <c:val>
            <c:numRef>
              <c:f>Hoja1!$B$2:$B$6</c:f>
              <c:numCache>
                <c:formatCode>0"%"</c:formatCode>
                <c:ptCount val="5"/>
                <c:pt idx="0">
                  <c:v>34</c:v>
                </c:pt>
                <c:pt idx="1">
                  <c:v>38</c:v>
                </c:pt>
                <c:pt idx="2">
                  <c:v>17</c:v>
                </c:pt>
                <c:pt idx="3">
                  <c:v>8</c:v>
                </c:pt>
                <c:pt idx="4">
                  <c:v>3</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Tamaño del mercado (miles de millones de EUR) · «e» = previsión</a:t>
            </a:r>
          </a:p>
        </c:rich>
      </c:tx>
      <c:overlay val="0"/>
    </c:title>
    <c:autoTitleDeleted val="0"/>
    <c:plotArea>
      <c:layout/>
      <c:barChart>
        <c:barDir val="col"/>
        <c:grouping val="clustered"/>
        <c:varyColors val="0"/>
        <c:ser>
          <c:idx val="0"/>
          <c:order val="0"/>
          <c:tx>
            <c:strRef>
              <c:f>Hoja1!$B$1</c:f>
              <c:strCache>
                <c:ptCount val="1"/>
                <c:pt idx="0">
                  <c:v>Tamaño del mercado</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2021</c:v>
                </c:pt>
                <c:pt idx="1">
                  <c:v>2022</c:v>
                </c:pt>
                <c:pt idx="2">
                  <c:v>2023</c:v>
                </c:pt>
                <c:pt idx="3">
                  <c:v>2024</c:v>
                </c:pt>
                <c:pt idx="4">
                  <c:v>2025</c:v>
                </c:pt>
                <c:pt idx="5">
                  <c:v>2027e</c:v>
                </c:pt>
                <c:pt idx="6">
                  <c:v>2030e</c:v>
                </c:pt>
              </c:strCache>
            </c:strRef>
          </c:cat>
          <c:val>
            <c:numRef>
              <c:f>Hoja1!$B$2:$B$8</c:f>
              <c:numCache>
                <c:formatCode>#,##0</c:formatCode>
                <c:ptCount val="7"/>
                <c:pt idx="0">
                  <c:v>33.1</c:v>
                </c:pt>
                <c:pt idx="1">
                  <c:v>35.4</c:v>
                </c:pt>
                <c:pt idx="2">
                  <c:v>38.2</c:v>
                </c:pt>
                <c:pt idx="3">
                  <c:v>40</c:v>
                </c:pt>
                <c:pt idx="4">
                  <c:v>42</c:v>
                </c:pt>
                <c:pt idx="5">
                  <c:v>48.3</c:v>
                </c:pt>
                <c:pt idx="6">
                  <c:v>59.6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Cinco fuerzas: intensidad (1 = favorable, 5 = desfavorable)</a:t>
            </a:r>
          </a:p>
        </c:rich>
      </c:tx>
      <c:overlay val="0"/>
    </c:title>
    <c:autoTitleDeleted val="0"/>
    <c:plotArea>
      <c:layout/>
      <c:radarChart>
        <c:radarStyle val="marker"/>
        <c:varyColors val="0"/>
        <c:ser>
          <c:idx val="0"/>
          <c:order val="0"/>
          <c:tx>
            <c:strRef>
              <c:f>Hoja1!$B$1</c:f>
              <c:strCache>
                <c:ptCount val="1"/>
                <c:pt idx="0">
                  <c:v>Intensidad</c:v>
                </c:pt>
              </c:strCache>
            </c:strRef>
          </c:tx>
          <c:spPr>
            <a:ln w="25400">
              <a:solidFill>
                <a:srgbClr val="2A78D6"/>
              </a:solidFill>
            </a:ln>
          </c:spPr>
          <c:marker>
            <c:symbol val="circle"/>
            <c:size val="6"/>
            <c:spPr>
              <a:solidFill>
                <a:srgbClr val="2A78D6"/>
              </a:solidFill>
            </c:spPr>
          </c:marker>
          <c:cat>
            <c:strRef>
              <c:f>Hoja1!$A$2:$A$6</c:f>
              <c:strCache>
                <c:ptCount val="5"/>
                <c:pt idx="0">
                  <c:v>Rivalidad</c:v>
                </c:pt>
                <c:pt idx="1">
                  <c:v>Poder de los clientes</c:v>
                </c:pt>
                <c:pt idx="2">
                  <c:v>Poder de los proveedores</c:v>
                </c:pt>
                <c:pt idx="3">
                  <c:v>Amenaza de entrada</c:v>
                </c:pt>
                <c:pt idx="4">
                  <c:v>Amenaza de sustitutos</c:v>
                </c:pt>
              </c:strCache>
            </c:strRef>
          </c:cat>
          <c:val>
            <c:numRef>
              <c:f>Hoja1!$B$2:$B$6</c:f>
              <c:numCache>
                <c:formatCode>General</c:formatCode>
                <c:ptCount val="5"/>
                <c:pt idx="0">
                  <c:v>3</c:v>
                </c:pt>
                <c:pt idx="1">
                  <c:v>4</c:v>
                </c:pt>
                <c:pt idx="2">
                  <c:v>3</c:v>
                </c:pt>
                <c:pt idx="3">
                  <c:v>2</c:v>
                </c:pt>
                <c:pt idx="4">
                  <c:v>1</c:v>
                </c:pt>
              </c:numCache>
            </c:numRef>
          </c:val>
        </c:ser>
        <c:axId val="10"/>
        <c:axId val="20"/>
      </c:radarChart>
      <c:catAx>
        <c:axId val="10"/>
        <c:scaling>
          <c:orientation val="minMax"/>
        </c:scaling>
        <c:delete val="0"/>
        <c:axPos val="b"/>
        <c:majorGridlines>
          <c:spPr>
            <a:ln w="6350">
              <a:solidFill>
                <a:srgbClr val="E4E3DF"/>
              </a:solidFill>
            </a:ln>
          </c:spPr>
        </c:majorGridlines>
        <c:numFmt formatCode="General" sourceLinked="0"/>
        <c:majorTickMark val="none"/>
        <c:minorTickMark val="none"/>
        <c:tickLblPos val="nextTo"/>
        <c:spPr>
          <a:ln w="6350">
            <a:solidFill>
              <a:srgbClr val="E4E3DF"/>
            </a:solidFill>
          </a:ln>
        </c:spPr>
        <c:txPr>
          <a:bodyPr/>
          <a:lstStyle/>
          <a:p>
            <a:pPr>
              <a:defRPr sz="850">
                <a:solidFill>
                  <a:srgbClr val="1F2A3C"/>
                </a:solidFill>
              </a:defRPr>
            </a:pPr>
            <a:endParaRPr lang="es-ES"/>
          </a:p>
        </c:txPr>
        <c:crossAx val="20"/>
        <c:crosses val="autoZero"/>
        <c:auto val="1"/>
        <c:lblAlgn val="ctr"/>
        <c:lblOffset val="100"/>
        <c:noMultiLvlLbl val="0"/>
      </c:catAx>
      <c:valAx>
        <c:axId val="20"/>
        <c:scaling>
          <c:orientation val="minMax"/>
          <c:max val="5"/>
          <c:min val="0"/>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750">
                <a:solidFill>
                  <a:srgbClr val="52514E"/>
                </a:solidFill>
              </a:defRPr>
            </a:pPr>
            <a:endParaRPr lang="es-ES"/>
          </a:p>
        </c:txPr>
        <c:crossAx val="10"/>
        <c:crosses val="autoZero"/>
        <c:crossBetween val="between"/>
        <c:majorUnit val="1"/>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Margen EBIT: la empresa frente a sus competidores (%)</a:t>
            </a:r>
          </a:p>
        </c:rich>
      </c:tx>
      <c:overlay val="0"/>
    </c:title>
    <c:autoTitleDeleted val="0"/>
    <c:plotArea>
      <c:layout/>
      <c:barChart>
        <c:barDir val="bar"/>
        <c:grouping val="clustered"/>
        <c:varyColors val="0"/>
        <c:ser>
          <c:idx val="0"/>
          <c:order val="0"/>
          <c:tx>
            <c:strRef>
              <c:f>Hoja1!$B$1</c:f>
              <c:strCache>
                <c:ptCount val="1"/>
                <c:pt idx="0">
                  <c:v>Margen EBIT</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Compañía Ejemplo</c:v>
                </c:pt>
                <c:pt idx="1">
                  <c:v>Grupo Alfa</c:v>
                </c:pt>
                <c:pt idx="2">
                  <c:v>Beta Energy</c:v>
                </c:pt>
                <c:pt idx="3">
                  <c:v>Gamma Systems</c:v>
                </c:pt>
                <c:pt idx="4">
                  <c:v>Delta Cables</c:v>
                </c:pt>
              </c:strCache>
            </c:strRef>
          </c:cat>
          <c:val>
            <c:numRef>
              <c:f>Hoja1!$B$2:$B$6</c:f>
              <c:numCache>
                <c:formatCode>0.0"%"</c:formatCode>
                <c:ptCount val="5"/>
                <c:pt idx="0">
                  <c:v>11.6</c:v>
                </c:pt>
                <c:pt idx="1">
                  <c:v>15.2</c:v>
                </c:pt>
                <c:pt idx="2">
                  <c:v>10.8</c:v>
                </c:pt>
                <c:pt idx="3">
                  <c:v>17.4</c:v>
                </c:pt>
                <c:pt idx="4">
                  <c:v>8.1</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Fuentes de ventaja competitiva (0 = inexistente, 5 = muy fuerte)</a:t>
            </a:r>
          </a:p>
        </c:rich>
      </c:tx>
      <c:overlay val="0"/>
    </c:title>
    <c:autoTitleDeleted val="0"/>
    <c:plotArea>
      <c:layout/>
      <c:barChart>
        <c:barDir val="bar"/>
        <c:grouping val="clustered"/>
        <c:varyColors val="0"/>
        <c:ser>
          <c:idx val="0"/>
          <c:order val="0"/>
          <c:tx>
            <c:strRef>
              <c:f>Hoja1!$B$1</c:f>
              <c:strCache>
                <c:ptCount val="1"/>
                <c:pt idx="0">
                  <c:v>Puntuación</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Efectos de red</c:v>
                </c:pt>
                <c:pt idx="1">
                  <c:v>Costes de cambio</c:v>
                </c:pt>
                <c:pt idx="2">
                  <c:v>Intangibles (marca, patentes, licencias)</c:v>
                </c:pt>
                <c:pt idx="3">
                  <c:v>Ventaja en costes</c:v>
                </c:pt>
                <c:pt idx="4">
                  <c:v>Escala eficiente</c:v>
                </c:pt>
              </c:strCache>
            </c:strRef>
          </c:cat>
          <c:val>
            <c:numRef>
              <c:f>Hoja1!$B$2:$B$6</c:f>
              <c:numCache>
                <c:formatCode>0</c:formatCode>
                <c:ptCount val="5"/>
                <c:pt idx="0">
                  <c:v>0</c:v>
                </c:pt>
                <c:pt idx="1">
                  <c:v>3</c:v>
                </c:pt>
                <c:pt idx="2">
                  <c:v>2</c:v>
                </c:pt>
                <c:pt idx="3">
                  <c:v>1</c:v>
                </c:pt>
                <c:pt idx="4">
                  <c:v>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ax val="5"/>
          <c:min val="0"/>
        </c:scaling>
        <c:delete val="0"/>
        <c:axPos val="b"/>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Ingresos y EBITDA (EUR, millones) · «e» = proyección propia del DCF</a:t>
            </a:r>
          </a:p>
        </c:rich>
      </c:tx>
      <c:overlay val="0"/>
    </c:title>
    <c:autoTitleDeleted val="0"/>
    <c:plotArea>
      <c:layout/>
      <c:barChart>
        <c:barDir val="col"/>
        <c:grouping val="clustered"/>
        <c:varyColors val="0"/>
        <c:ser>
          <c:idx val="0"/>
          <c:order val="0"/>
          <c:tx>
            <c:strRef>
              <c:f>Hoja1!$B$1</c:f>
              <c:strCache>
                <c:ptCount val="1"/>
                <c:pt idx="0">
                  <c:v>Ingresos</c:v>
                </c:pt>
              </c:strCache>
            </c:strRef>
          </c:tx>
          <c:spPr>
            <a:solidFill>
              <a:srgbClr val="2A78D6"/>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Hoja1!$B$2:$B$18</c:f>
              <c:numCache>
                <c:formatCode>#,##0</c:formatCode>
                <c:ptCount val="17"/>
                <c:pt idx="0">
                  <c:v>1900</c:v>
                </c:pt>
                <c:pt idx="1">
                  <c:v>2010</c:v>
                </c:pt>
                <c:pt idx="2">
                  <c:v>2139</c:v>
                </c:pt>
                <c:pt idx="3">
                  <c:v>2244</c:v>
                </c:pt>
                <c:pt idx="4">
                  <c:v>2075</c:v>
                </c:pt>
                <c:pt idx="5">
                  <c:v>2320</c:v>
                </c:pt>
                <c:pt idx="6">
                  <c:v>2531</c:v>
                </c:pt>
                <c:pt idx="7">
                  <c:v>2688</c:v>
                </c:pt>
                <c:pt idx="8">
                  <c:v>2817</c:v>
                </c:pt>
                <c:pt idx="9">
                  <c:v>2961</c:v>
                </c:pt>
                <c:pt idx="10">
                  <c:v>3156</c:v>
                </c:pt>
                <c:pt idx="11">
                  <c:v>3352</c:v>
                </c:pt>
                <c:pt idx="12">
                  <c:v>3547</c:v>
                </c:pt>
                <c:pt idx="13">
                  <c:v>3724</c:v>
                </c:pt>
                <c:pt idx="14">
                  <c:v>3880</c:v>
                </c:pt>
                <c:pt idx="15">
                  <c:v>4016</c:v>
                </c:pt>
                <c:pt idx="16">
                  <c:v>4137</c:v>
                </c:pt>
              </c:numCache>
            </c:numRef>
          </c:val>
        </c:ser>
        <c:ser>
          <c:idx val="1"/>
          <c:order val="1"/>
          <c:tx>
            <c:strRef>
              <c:f>Hoja1!$C$1</c:f>
              <c:strCache>
                <c:ptCount val="1"/>
                <c:pt idx="0">
                  <c:v>EBITDA</c:v>
                </c:pt>
              </c:strCache>
            </c:strRef>
          </c:tx>
          <c:spPr>
            <a:solidFill>
              <a:srgbClr val="EB6834"/>
            </a:solidFill>
            <a:ln w="9525">
              <a:noFill/>
            </a:ln>
          </c:spPr>
          <c:invertIfNegative val="0"/>
          <c:cat>
            <c:strRef>
              <c:f>Hoja1!$A$2:$A$18</c:f>
              <c:strCache>
                <c:ptCount val="17"/>
                <c:pt idx="0">
                  <c:v>2016</c:v>
                </c:pt>
                <c:pt idx="1">
                  <c:v>2017</c:v>
                </c:pt>
                <c:pt idx="2">
                  <c:v>2018</c:v>
                </c:pt>
                <c:pt idx="3">
                  <c:v>2019</c:v>
                </c:pt>
                <c:pt idx="4">
                  <c:v>2020</c:v>
                </c:pt>
                <c:pt idx="5">
                  <c:v>2021</c:v>
                </c:pt>
                <c:pt idx="6">
                  <c:v>2022</c:v>
                </c:pt>
                <c:pt idx="7">
                  <c:v>2023</c:v>
                </c:pt>
                <c:pt idx="8">
                  <c:v>2024</c:v>
                </c:pt>
                <c:pt idx="9">
                  <c:v>2025</c:v>
                </c:pt>
                <c:pt idx="10">
                  <c:v>2026e</c:v>
                </c:pt>
                <c:pt idx="11">
                  <c:v>2027e</c:v>
                </c:pt>
                <c:pt idx="12">
                  <c:v>2028e</c:v>
                </c:pt>
                <c:pt idx="13">
                  <c:v>2029e</c:v>
                </c:pt>
                <c:pt idx="14">
                  <c:v>2030e</c:v>
                </c:pt>
                <c:pt idx="15">
                  <c:v>2031e</c:v>
                </c:pt>
                <c:pt idx="16">
                  <c:v>2032e</c:v>
                </c:pt>
              </c:strCache>
            </c:strRef>
          </c:cat>
          <c:val>
            <c:numRef>
              <c:f>Hoja1!$C$2:$C$18</c:f>
              <c:numCache>
                <c:formatCode>#,##0</c:formatCode>
                <c:ptCount val="17"/>
                <c:pt idx="0">
                  <c:v>268</c:v>
                </c:pt>
                <c:pt idx="1">
                  <c:v>289</c:v>
                </c:pt>
                <c:pt idx="2">
                  <c:v>304</c:v>
                </c:pt>
                <c:pt idx="3">
                  <c:v>328</c:v>
                </c:pt>
                <c:pt idx="4">
                  <c:v>268</c:v>
                </c:pt>
                <c:pt idx="5">
                  <c:v>332</c:v>
                </c:pt>
                <c:pt idx="6">
                  <c:v>344</c:v>
                </c:pt>
                <c:pt idx="7">
                  <c:v>401</c:v>
                </c:pt>
                <c:pt idx="8">
                  <c:v>434</c:v>
                </c:pt>
                <c:pt idx="9">
                  <c:v>471</c:v>
                </c:pt>
                <c:pt idx="10">
                  <c:v>508</c:v>
                </c:pt>
                <c:pt idx="11">
                  <c:v>550</c:v>
                </c:pt>
                <c:pt idx="12">
                  <c:v>589</c:v>
                </c:pt>
                <c:pt idx="13">
                  <c:v>622</c:v>
                </c:pt>
                <c:pt idx="14">
                  <c:v>652</c:v>
                </c:pt>
                <c:pt idx="15">
                  <c:v>675</c:v>
                </c:pt>
                <c:pt idx="16">
                  <c:v>695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Márgenes (% de ingresos)</a:t>
            </a:r>
          </a:p>
        </c:rich>
      </c:tx>
      <c:overlay val="0"/>
    </c:title>
    <c:autoTitleDeleted val="0"/>
    <c:plotArea>
      <c:layout/>
      <c:lineChart>
        <c:grouping val="standard"/>
        <c:varyColors val="0"/>
        <c:ser>
          <c:idx val="0"/>
          <c:order val="0"/>
          <c:tx>
            <c:strRef>
              <c:f>Hoja1!$B$1</c:f>
              <c:strCache>
                <c:ptCount val="1"/>
                <c:pt idx="0">
                  <c:v>Bruto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0">
                  <c:v>31.1</c:v>
                </c:pt>
                <c:pt idx="1">
                  <c:v>31.2</c:v>
                </c:pt>
                <c:pt idx="2">
                  <c:v>31.1</c:v>
                </c:pt>
                <c:pt idx="3">
                  <c:v>31.3</c:v>
                </c:pt>
                <c:pt idx="4">
                  <c:v>30.5</c:v>
                </c:pt>
                <c:pt idx="5">
                  <c:v>31.2</c:v>
                </c:pt>
                <c:pt idx="6">
                  <c:v>30.8</c:v>
                </c:pt>
                <c:pt idx="7">
                  <c:v>31.4</c:v>
                </c:pt>
                <c:pt idx="8">
                  <c:v>31.7</c:v>
                </c:pt>
                <c:pt idx="9">
                  <c:v>31.9</c:v>
                </c:pt>
              </c:numCache>
            </c:numRef>
          </c:val>
          <c:smooth val="0"/>
        </c:ser>
        <c:ser>
          <c:idx val="1"/>
          <c:order val="1"/>
          <c:tx>
            <c:strRef>
              <c:f>Hoja1!$C$1</c:f>
              <c:strCache>
                <c:ptCount val="1"/>
                <c:pt idx="0">
                  <c:v>EBITDA</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14.1</c:v>
                </c:pt>
                <c:pt idx="1">
                  <c:v>14.4</c:v>
                </c:pt>
                <c:pt idx="2">
                  <c:v>14.2</c:v>
                </c:pt>
                <c:pt idx="3">
                  <c:v>14.6</c:v>
                </c:pt>
                <c:pt idx="4">
                  <c:v>12.9</c:v>
                </c:pt>
                <c:pt idx="5">
                  <c:v>14.3</c:v>
                </c:pt>
                <c:pt idx="6">
                  <c:v>13.6</c:v>
                </c:pt>
                <c:pt idx="7">
                  <c:v>14.9</c:v>
                </c:pt>
                <c:pt idx="8">
                  <c:v>15.4</c:v>
                </c:pt>
                <c:pt idx="9">
                  <c:v>15.9</c:v>
                </c:pt>
              </c:numCache>
            </c:numRef>
          </c:val>
          <c:smooth val="0"/>
        </c:ser>
        <c:ser>
          <c:idx val="2"/>
          <c:order val="2"/>
          <c:tx>
            <c:strRef>
              <c:f>Hoja1!$D$1</c:f>
              <c:strCache>
                <c:ptCount val="1"/>
                <c:pt idx="0">
                  <c:v>EBIT</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0">
                  <c:v>9.8</c:v>
                </c:pt>
                <c:pt idx="1">
                  <c:v>10.1</c:v>
                </c:pt>
                <c:pt idx="2">
                  <c:v>9.9</c:v>
                </c:pt>
                <c:pt idx="3">
                  <c:v>10.3</c:v>
                </c:pt>
                <c:pt idx="4">
                  <c:v>8.6</c:v>
                </c:pt>
                <c:pt idx="5">
                  <c:v>10</c:v>
                </c:pt>
                <c:pt idx="6">
                  <c:v>9.3</c:v>
                </c:pt>
                <c:pt idx="7">
                  <c:v>10.6</c:v>
                </c:pt>
                <c:pt idx="8">
                  <c:v>11.1</c:v>
                </c:pt>
                <c:pt idx="9">
                  <c:v>11.6</c:v>
                </c:pt>
              </c:numCache>
            </c:numRef>
          </c:val>
          <c:smooth val="0"/>
        </c:ser>
        <c:ser>
          <c:idx val="3"/>
          <c:order val="3"/>
          <c:tx>
            <c:strRef>
              <c:f>Hoja1!$E$1</c:f>
              <c:strCache>
                <c:ptCount val="1"/>
                <c:pt idx="0">
                  <c:v>Neto</c:v>
                </c:pt>
              </c:strCache>
            </c:strRef>
          </c:tx>
          <c:spPr>
            <a:ln w="25400" cap="rnd">
              <a:solidFill>
                <a:srgbClr val="EDA100"/>
              </a:solidFill>
              <a:round/>
            </a:ln>
          </c:spPr>
          <c:marker>
            <c:symbol val="circle"/>
            <c:size val="6"/>
            <c:spPr>
              <a:solidFill>
                <a:srgbClr val="EDA100"/>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Hoja1!$E$2:$E$11</c:f>
              <c:numCache>
                <c:formatCode>0"%"</c:formatCode>
                <c:ptCount val="10"/>
                <c:pt idx="0">
                  <c:v>6.6</c:v>
                </c:pt>
                <c:pt idx="1">
                  <c:v>6.9</c:v>
                </c:pt>
                <c:pt idx="2">
                  <c:v>6.7</c:v>
                </c:pt>
                <c:pt idx="3">
                  <c:v>7</c:v>
                </c:pt>
                <c:pt idx="4">
                  <c:v>5.7</c:v>
                </c:pt>
                <c:pt idx="5">
                  <c:v>6.7</c:v>
                </c:pt>
                <c:pt idx="6">
                  <c:v>6.2</c:v>
                </c:pt>
                <c:pt idx="7">
                  <c:v>7.2</c:v>
                </c:pt>
                <c:pt idx="8">
                  <c:v>7.6</c:v>
                </c:pt>
                <c:pt idx="9">
                  <c:v>7.9</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interanual por trimestre (%)</a:t>
            </a:r>
          </a:p>
        </c:rich>
      </c:tx>
      <c:overlay val="0"/>
    </c:title>
    <c:autoTitleDeleted val="0"/>
    <c:plotArea>
      <c:layout/>
      <c:barChart>
        <c:barDir val="col"/>
        <c:grouping val="clustered"/>
        <c:varyColors val="0"/>
        <c:ser>
          <c:idx val="0"/>
          <c:order val="0"/>
          <c:tx>
            <c:strRef>
              <c:f>Hoja1!$B$1</c:f>
              <c:strCache>
                <c:ptCount val="1"/>
                <c:pt idx="0">
                  <c:v>Reportado</c:v>
                </c:pt>
              </c:strCache>
            </c:strRef>
          </c:tx>
          <c:spPr>
            <a:solidFill>
              <a:srgbClr val="2A78D6"/>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Hoja1!$B$2:$B$9</c:f>
              <c:numCache>
                <c:formatCode>0.0"%"</c:formatCode>
                <c:ptCount val="8"/>
                <c:pt idx="0">
                  <c:v>6.2</c:v>
                </c:pt>
                <c:pt idx="1">
                  <c:v>4.4</c:v>
                </c:pt>
                <c:pt idx="2">
                  <c:v>4.9</c:v>
                </c:pt>
                <c:pt idx="3">
                  <c:v>5.6</c:v>
                </c:pt>
                <c:pt idx="4">
                  <c:v>4.8</c:v>
                </c:pt>
                <c:pt idx="5">
                  <c:v>5.2</c:v>
                </c:pt>
                <c:pt idx="6">
                  <c:v>6.6</c:v>
                </c:pt>
                <c:pt idx="7">
                  <c:v>7.1</c:v>
                </c:pt>
              </c:numCache>
            </c:numRef>
          </c:val>
        </c:ser>
        <c:ser>
          <c:idx val="1"/>
          <c:order val="1"/>
          <c:tx>
            <c:strRef>
              <c:f>Hoja1!$C$1</c:f>
              <c:strCache>
                <c:ptCount val="1"/>
                <c:pt idx="0">
                  <c:v>Orgánico</c:v>
                </c:pt>
              </c:strCache>
            </c:strRef>
          </c:tx>
          <c:spPr>
            <a:solidFill>
              <a:srgbClr val="EB6834"/>
            </a:solidFill>
            <a:ln w="9525">
              <a:noFill/>
            </a:ln>
          </c:spPr>
          <c:invertIfNegative val="0"/>
          <c:cat>
            <c:strRef>
              <c:f>Hoja1!$A$2:$A$9</c:f>
              <c:strCache>
                <c:ptCount val="8"/>
                <c:pt idx="0">
                  <c:v>3T24</c:v>
                </c:pt>
                <c:pt idx="1">
                  <c:v>4T24</c:v>
                </c:pt>
                <c:pt idx="2">
                  <c:v>1T25</c:v>
                </c:pt>
                <c:pt idx="3">
                  <c:v>2T25</c:v>
                </c:pt>
                <c:pt idx="4">
                  <c:v>3T25</c:v>
                </c:pt>
                <c:pt idx="5">
                  <c:v>4T25</c:v>
                </c:pt>
                <c:pt idx="6">
                  <c:v>1T26</c:v>
                </c:pt>
                <c:pt idx="7">
                  <c:v>2T26</c:v>
                </c:pt>
              </c:strCache>
            </c:strRef>
          </c:cat>
          <c:val>
            <c:numRef>
              <c:f>Hoja1!$C$2:$C$9</c:f>
              <c:numCache>
                <c:formatCode>0.0"%"</c:formatCode>
                <c:ptCount val="8"/>
                <c:pt idx="0">
                  <c:v>4.1</c:v>
                </c:pt>
                <c:pt idx="1">
                  <c:v>3</c:v>
                </c:pt>
                <c:pt idx="2">
                  <c:v>4.2</c:v>
                </c:pt>
                <c:pt idx="3">
                  <c:v>5</c:v>
                </c:pt>
                <c:pt idx="4">
                  <c:v>4.6</c:v>
                </c:pt>
                <c:pt idx="5">
                  <c:v>5.1</c:v>
                </c:pt>
                <c:pt idx="6">
                  <c:v>6</c:v>
                </c:pt>
                <c:pt idx="7">
                  <c:v>6.8</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Capital circulante en días</a:t>
            </a:r>
          </a:p>
        </c:rich>
      </c:tx>
      <c:overlay val="0"/>
    </c:title>
    <c:autoTitleDeleted val="0"/>
    <c:plotArea>
      <c:layout/>
      <c:lineChart>
        <c:grouping val="standard"/>
        <c:varyColors val="0"/>
        <c:ser>
          <c:idx val="0"/>
          <c:order val="0"/>
          <c:tx>
            <c:strRef>
              <c:f>Hoja1!$B$1</c:f>
              <c:strCache>
                <c:ptCount val="1"/>
                <c:pt idx="0">
                  <c:v>Días de cobro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62</c:v>
                </c:pt>
                <c:pt idx="1">
                  <c:v>62</c:v>
                </c:pt>
                <c:pt idx="2">
                  <c:v>62</c:v>
                </c:pt>
                <c:pt idx="3">
                  <c:v>62</c:v>
                </c:pt>
                <c:pt idx="4">
                  <c:v>62</c:v>
                </c:pt>
                <c:pt idx="5">
                  <c:v>62</c:v>
                </c:pt>
                <c:pt idx="6">
                  <c:v>62</c:v>
                </c:pt>
              </c:numCache>
            </c:numRef>
          </c:val>
          <c:smooth val="0"/>
        </c:ser>
        <c:ser>
          <c:idx val="1"/>
          <c:order val="1"/>
          <c:tx>
            <c:strRef>
              <c:f>Hoja1!$C$1</c:f>
              <c:strCache>
                <c:ptCount val="1"/>
                <c:pt idx="0">
                  <c:v>Días de inventario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77</c:v>
                </c:pt>
                <c:pt idx="1">
                  <c:v>77</c:v>
                </c:pt>
                <c:pt idx="2">
                  <c:v>77</c:v>
                </c:pt>
                <c:pt idx="3">
                  <c:v>77</c:v>
                </c:pt>
                <c:pt idx="4">
                  <c:v>77</c:v>
                </c:pt>
                <c:pt idx="5">
                  <c:v>77</c:v>
                </c:pt>
                <c:pt idx="6">
                  <c:v>77</c:v>
                </c:pt>
              </c:numCache>
            </c:numRef>
          </c:val>
          <c:smooth val="0"/>
        </c:ser>
        <c:ser>
          <c:idx val="2"/>
          <c:order val="2"/>
          <c:tx>
            <c:strRef>
              <c:f>Hoja1!$D$1</c:f>
              <c:strCache>
                <c:ptCount val="1"/>
                <c:pt idx="0">
                  <c:v>Días de pago</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58</c:v>
                </c:pt>
                <c:pt idx="1">
                  <c:v>58</c:v>
                </c:pt>
                <c:pt idx="2">
                  <c:v>59</c:v>
                </c:pt>
                <c:pt idx="3">
                  <c:v>58</c:v>
                </c:pt>
                <c:pt idx="4">
                  <c:v>58</c:v>
                </c:pt>
                <c:pt idx="5">
                  <c:v>58</c:v>
                </c:pt>
                <c:pt idx="6">
                  <c:v>58</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frente a beneficio neto (EUR, millones)</a:t>
            </a:r>
          </a:p>
        </c:rich>
      </c:tx>
      <c:overlay val="0"/>
    </c:title>
    <c:autoTitleDeleted val="0"/>
    <c:plotArea>
      <c:layout/>
      <c:barChart>
        <c:barDir val="col"/>
        <c:grouping val="clustered"/>
        <c:varyColors val="0"/>
        <c:ser>
          <c:idx val="0"/>
          <c:order val="0"/>
          <c:tx>
            <c:strRef>
              <c:f>Hoja1!$B$1</c:f>
              <c:strCache>
                <c:ptCount val="1"/>
                <c:pt idx="0">
                  <c:v>Flujo de caja libre</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127</c:v>
                </c:pt>
                <c:pt idx="1">
                  <c:v>90</c:v>
                </c:pt>
                <c:pt idx="2">
                  <c:v>98</c:v>
                </c:pt>
                <c:pt idx="3">
                  <c:v>42</c:v>
                </c:pt>
                <c:pt idx="4">
                  <c:v>139</c:v>
                </c:pt>
                <c:pt idx="5">
                  <c:v>157</c:v>
                </c:pt>
                <c:pt idx="6">
                  <c:v>176</c:v>
                </c:pt>
              </c:numCache>
            </c:numRef>
          </c:val>
        </c:ser>
        <c:ser>
          <c:idx val="1"/>
          <c:order val="1"/>
          <c:tx>
            <c:strRef>
              <c:f>Hoja1!$C$1</c:f>
              <c:strCache>
                <c:ptCount val="1"/>
                <c:pt idx="0">
                  <c:v>Beneficio neto</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157</c:v>
                </c:pt>
                <c:pt idx="1">
                  <c:v>119</c:v>
                </c:pt>
                <c:pt idx="2">
                  <c:v>156</c:v>
                </c:pt>
                <c:pt idx="3">
                  <c:v>157</c:v>
                </c:pt>
                <c:pt idx="4">
                  <c:v>194</c:v>
                </c:pt>
                <c:pt idx="5">
                  <c:v>214</c:v>
                </c:pt>
                <c:pt idx="6">
                  <c:v>235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ROIC y ROE frente al coste del capital (%)</a:t>
            </a:r>
          </a:p>
        </c:rich>
      </c:tx>
      <c:overlay val="0"/>
    </c:title>
    <c:autoTitleDeleted val="0"/>
    <c:plotArea>
      <c:layout/>
      <c:lineChart>
        <c:grouping val="standard"/>
        <c:varyColors val="0"/>
        <c:ser>
          <c:idx val="0"/>
          <c:order val="0"/>
          <c:tx>
            <c:strRef>
              <c:f>Hoja1!$B$1</c:f>
              <c:strCache>
                <c:ptCount val="1"/>
                <c:pt idx="0">
                  <c:v>ROIC</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c:formatCode>
                <c:ptCount val="10"/>
                <c:pt idx="3">
                  <c:v>9.9</c:v>
                </c:pt>
                <c:pt idx="4">
                  <c:v>7.6</c:v>
                </c:pt>
                <c:pt idx="5">
                  <c:v>9.2</c:v>
                </c:pt>
                <c:pt idx="6">
                  <c:v>8.6</c:v>
                </c:pt>
                <c:pt idx="7">
                  <c:v>10.1</c:v>
                </c:pt>
                <c:pt idx="8">
                  <c:v>10.9</c:v>
                </c:pt>
                <c:pt idx="9">
                  <c:v>11.8</c:v>
                </c:pt>
              </c:numCache>
            </c:numRef>
          </c:val>
          <c:smooth val="0"/>
        </c:ser>
        <c:ser>
          <c:idx val="1"/>
          <c:order val="1"/>
          <c:tx>
            <c:strRef>
              <c:f>Hoja1!$C$1</c:f>
              <c:strCache>
                <c:ptCount val="1"/>
                <c:pt idx="0">
                  <c:v>WACC actual</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c:formatCode>
                <c:ptCount val="10"/>
                <c:pt idx="0">
                  <c:v>8.5</c:v>
                </c:pt>
                <c:pt idx="1">
                  <c:v>8.5</c:v>
                </c:pt>
                <c:pt idx="2">
                  <c:v>8.5</c:v>
                </c:pt>
                <c:pt idx="3">
                  <c:v>8.5</c:v>
                </c:pt>
                <c:pt idx="4">
                  <c:v>8.5</c:v>
                </c:pt>
                <c:pt idx="5">
                  <c:v>8.5</c:v>
                </c:pt>
                <c:pt idx="6">
                  <c:v>8.5</c:v>
                </c:pt>
                <c:pt idx="7">
                  <c:v>8.5</c:v>
                </c:pt>
                <c:pt idx="8">
                  <c:v>8.5</c:v>
                </c:pt>
                <c:pt idx="9">
                  <c:v>8.5</c:v>
                </c:pt>
              </c:numCache>
            </c:numRef>
          </c:val>
          <c:smooth val="0"/>
        </c:ser>
        <c:ser>
          <c:idx val="2"/>
          <c:order val="2"/>
          <c:tx>
            <c:strRef>
              <c:f>Hoja1!$D$1</c:f>
              <c:strCache>
                <c:ptCount val="1"/>
                <c:pt idx="0">
                  <c:v>ROE</c:v>
                </c:pt>
              </c:strCache>
            </c:strRef>
          </c:tx>
          <c:spPr>
            <a:ln w="25400" cap="rnd">
              <a:solidFill>
                <a:srgbClr val="1BAF7A"/>
              </a:solidFill>
              <a:round/>
            </a:ln>
          </c:spPr>
          <c:marker>
            <c:symbol val="circle"/>
            <c:size val="6"/>
            <c:spPr>
              <a:solidFill>
                <a:srgbClr val="1BAF7A"/>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Hoja1!$D$2:$D$11</c:f>
              <c:numCache>
                <c:formatCode>0"%"</c:formatCode>
                <c:ptCount val="10"/>
                <c:pt idx="3">
                  <c:v>13.3</c:v>
                </c:pt>
                <c:pt idx="4">
                  <c:v>9.8</c:v>
                </c:pt>
                <c:pt idx="5">
                  <c:v>12.1</c:v>
                </c:pt>
                <c:pt idx="6">
                  <c:v>11.4</c:v>
                </c:pt>
                <c:pt idx="7">
                  <c:v>13.3</c:v>
                </c:pt>
                <c:pt idx="8">
                  <c:v>13.8</c:v>
                </c:pt>
                <c:pt idx="9">
                  <c:v>14.3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Deuda neta / EBITDA al cierre de cada ejercicio (veces)</a:t>
            </a:r>
          </a:p>
        </c:rich>
      </c:tx>
      <c:overlay val="0"/>
    </c:title>
    <c:autoTitleDeleted val="0"/>
    <c:plotArea>
      <c:layout/>
      <c:barChart>
        <c:barDir val="col"/>
        <c:grouping val="clustered"/>
        <c:varyColors val="0"/>
        <c:ser>
          <c:idx val="0"/>
          <c:order val="0"/>
          <c:tx>
            <c:strRef>
              <c:f>Hoja1!$B$1</c:f>
              <c:strCache>
                <c:ptCount val="1"/>
                <c:pt idx="0">
                  <c:v>Deuda neta / 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2019</c:v>
                </c:pt>
                <c:pt idx="1">
                  <c:v>2020</c:v>
                </c:pt>
                <c:pt idx="2">
                  <c:v>2021</c:v>
                </c:pt>
                <c:pt idx="3">
                  <c:v>2022</c:v>
                </c:pt>
                <c:pt idx="4">
                  <c:v>2023</c:v>
                </c:pt>
                <c:pt idx="5">
                  <c:v>2024</c:v>
                </c:pt>
                <c:pt idx="6">
                  <c:v>2025</c:v>
                </c:pt>
              </c:strCache>
            </c:strRef>
          </c:cat>
          <c:val>
            <c:numRef>
              <c:f>Hoja1!$B$2:$B$8</c:f>
              <c:numCache>
                <c:formatCode>0.0"x"</c:formatCode>
                <c:ptCount val="7"/>
                <c:pt idx="0">
                  <c:v>1.7</c:v>
                </c:pt>
                <c:pt idx="1">
                  <c:v>1.96</c:v>
                </c:pt>
                <c:pt idx="2">
                  <c:v>1.92</c:v>
                </c:pt>
                <c:pt idx="3">
                  <c:v>1.94</c:v>
                </c:pt>
                <c:pt idx="4">
                  <c:v>1.5</c:v>
                </c:pt>
                <c:pt idx="5">
                  <c:v>1.24</c:v>
                </c:pt>
                <c:pt idx="6">
                  <c:v>1.05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Vencimientos de la deuda bruta (EUR, millones)</a:t>
            </a:r>
          </a:p>
        </c:rich>
      </c:tx>
      <c:overlay val="0"/>
    </c:title>
    <c:autoTitleDeleted val="0"/>
    <c:plotArea>
      <c:layout/>
      <c:barChart>
        <c:barDir val="col"/>
        <c:grouping val="clustered"/>
        <c:varyColors val="0"/>
        <c:ser>
          <c:idx val="0"/>
          <c:order val="0"/>
          <c:tx>
            <c:strRef>
              <c:f>Hoja1!$B$1</c:f>
              <c:strCache>
                <c:ptCount val="1"/>
                <c:pt idx="0">
                  <c:v>Vencimientos</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2026</c:v>
                </c:pt>
                <c:pt idx="1">
                  <c:v>2027</c:v>
                </c:pt>
                <c:pt idx="2">
                  <c:v>2028</c:v>
                </c:pt>
                <c:pt idx="3">
                  <c:v>2029</c:v>
                </c:pt>
                <c:pt idx="4">
                  <c:v>2030+</c:v>
                </c:pt>
              </c:strCache>
            </c:strRef>
          </c:cat>
          <c:val>
            <c:numRef>
              <c:f>Hoja1!$B$2:$B$6</c:f>
              <c:numCache>
                <c:formatCode>#,##0</c:formatCode>
                <c:ptCount val="5"/>
                <c:pt idx="0">
                  <c:v>40</c:v>
                </c:pt>
                <c:pt idx="1">
                  <c:v>65</c:v>
                </c:pt>
                <c:pt idx="2">
                  <c:v>300</c:v>
                </c:pt>
                <c:pt idx="3">
                  <c:v>120</c:v>
                </c:pt>
                <c:pt idx="4">
                  <c:v>75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Usos de la caja (EUR, millones)</a:t>
            </a:r>
          </a:p>
        </c:rich>
      </c:tx>
      <c:overlay val="0"/>
    </c:title>
    <c:autoTitleDeleted val="0"/>
    <c:plotArea>
      <c:layout/>
      <c:barChart>
        <c:barDir val="col"/>
        <c:grouping val="stacked"/>
        <c:varyColors val="0"/>
        <c:ser>
          <c:idx val="0"/>
          <c:order val="0"/>
          <c:tx>
            <c:strRef>
              <c:f>Hoja1!$B$1</c:f>
              <c:strCache>
                <c:ptCount val="1"/>
                <c:pt idx="0">
                  <c:v>Adquisiciones</c:v>
                </c:pt>
              </c:strCache>
            </c:strRef>
          </c:tx>
          <c:spPr>
            <a:solidFill>
              <a:srgbClr val="2A78D6"/>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35</c:v>
                </c:pt>
                <c:pt idx="1">
                  <c:v>0</c:v>
                </c:pt>
                <c:pt idx="2">
                  <c:v>40</c:v>
                </c:pt>
                <c:pt idx="3">
                  <c:v>120</c:v>
                </c:pt>
                <c:pt idx="4">
                  <c:v>0</c:v>
                </c:pt>
                <c:pt idx="5">
                  <c:v>25</c:v>
                </c:pt>
                <c:pt idx="6">
                  <c:v>0</c:v>
                </c:pt>
              </c:numCache>
            </c:numRef>
          </c:val>
        </c:ser>
        <c:ser>
          <c:idx val="1"/>
          <c:order val="1"/>
          <c:tx>
            <c:strRef>
              <c:f>Hoja1!$C$1</c:f>
              <c:strCache>
                <c:ptCount val="1"/>
                <c:pt idx="0">
                  <c:v>Dividendos</c:v>
                </c:pt>
              </c:strCache>
            </c:strRef>
          </c:tx>
          <c:spPr>
            <a:solidFill>
              <a:srgbClr val="EB6834"/>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68</c:v>
                </c:pt>
                <c:pt idx="1">
                  <c:v>52</c:v>
                </c:pt>
                <c:pt idx="2">
                  <c:v>68</c:v>
                </c:pt>
                <c:pt idx="3">
                  <c:v>70</c:v>
                </c:pt>
                <c:pt idx="4">
                  <c:v>85</c:v>
                </c:pt>
                <c:pt idx="5">
                  <c:v>94</c:v>
                </c:pt>
                <c:pt idx="6">
                  <c:v>104</c:v>
                </c:pt>
              </c:numCache>
            </c:numRef>
          </c:val>
        </c:ser>
        <c:ser>
          <c:idx val="2"/>
          <c:order val="2"/>
          <c:tx>
            <c:strRef>
              <c:f>Hoja1!$D$1</c:f>
              <c:strCache>
                <c:ptCount val="1"/>
                <c:pt idx="0">
                  <c:v>Recompras</c:v>
                </c:pt>
              </c:strCache>
            </c:strRef>
          </c:tx>
          <c:spPr>
            <a:solidFill>
              <a:srgbClr val="1BAF7A"/>
            </a:solidFill>
            <a:ln w="12700">
              <a:solidFill>
                <a:srgbClr val="FFFFFF"/>
              </a:solid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Hoja1!$D$2:$D$8</c:f>
              <c:numCache>
                <c:formatCode>#,##0</c:formatCode>
                <c:ptCount val="7"/>
                <c:pt idx="0">
                  <c:v>0</c:v>
                </c:pt>
                <c:pt idx="1">
                  <c:v>0</c:v>
                </c:pt>
                <c:pt idx="2">
                  <c:v>0</c:v>
                </c:pt>
                <c:pt idx="3">
                  <c:v>0</c:v>
                </c:pt>
                <c:pt idx="4">
                  <c:v>30</c:v>
                </c:pt>
                <c:pt idx="5">
                  <c:v>40</c:v>
                </c:pt>
                <c:pt idx="6">
                  <c:v>50</c:v>
                </c:pt>
              </c:numCache>
            </c:numRef>
          </c:val>
        </c:ser>
        <c:gapWidth val="60"/>
        <c:overlap val="10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Composición del consejo (número de consejeros)</a:t>
            </a:r>
          </a:p>
        </c:rich>
      </c:tx>
      <c:overlay val="0"/>
    </c:title>
    <c:autoTitleDeleted val="0"/>
    <c:plotArea>
      <c:layout/>
      <c:doughnutChart>
        <c:varyColors val="1"/>
        <c:ser>
          <c:idx val="0"/>
          <c:order val="0"/>
          <c:tx>
            <c:strRef>
              <c:f>Hoja1!$B$1</c:f>
              <c:strCache>
                <c:ptCount val="1"/>
                <c:pt idx="0">
                  <c:v>Consejeros</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Pt>
            <c:idx val="2"/>
            <c:bubble3D val="0"/>
            <c:spPr>
              <a:solidFill>
                <a:srgbClr val="1BAF7A"/>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Hoja1!$A$2:$A$4</c:f>
              <c:strCache>
                <c:ptCount val="3"/>
                <c:pt idx="0">
                  <c:v>Dominical</c:v>
                </c:pt>
                <c:pt idx="1">
                  <c:v>Ejecutivo</c:v>
                </c:pt>
                <c:pt idx="2">
                  <c:v>Independiente</c:v>
                </c:pt>
              </c:strCache>
            </c:strRef>
          </c:cat>
          <c:val>
            <c:numRef>
              <c:f>Hoja1!$B$2:$B$4</c:f>
              <c:numCache>
                <c:formatCode>0</c:formatCode>
                <c:ptCount val="3"/>
                <c:pt idx="0">
                  <c:v>2</c:v>
                </c:pt>
                <c:pt idx="1">
                  <c:v>1</c:v>
                </c:pt>
                <c:pt idx="2">
                  <c:v>4</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Accionistas significativos (% del capital)</a:t>
            </a:r>
          </a:p>
        </c:rich>
      </c:tx>
      <c:overlay val="0"/>
    </c:title>
    <c:autoTitleDeleted val="0"/>
    <c:plotArea>
      <c:layout/>
      <c:barChart>
        <c:barDir val="bar"/>
        <c:grouping val="clustered"/>
        <c:varyColors val="0"/>
        <c:ser>
          <c:idx val="0"/>
          <c:order val="0"/>
          <c:tx>
            <c:strRef>
              <c:f>Hoja1!$B$1</c:f>
              <c:strCache>
                <c:ptCount val="1"/>
                <c:pt idx="0">
                  <c:v>% del capital</c:v>
                </c:pt>
              </c:strCache>
            </c:strRef>
          </c:tx>
          <c:spPr>
            <a:solidFill>
              <a:srgbClr val="2A78D6"/>
            </a:solidFill>
            <a:ln w="9525">
              <a:noFill/>
            </a:ln>
          </c:spPr>
          <c:invertIfNegative val="0"/>
          <c:dLbls>
            <c:numFmt formatCode="0.0&quot;%&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Hoja1!$A$2:$A$5</c:f>
              <c:strCache>
                <c:ptCount val="4"/>
                <c:pt idx="0">
                  <c:v>Familia fundadora</c:v>
                </c:pt>
                <c:pt idx="1">
                  <c:v>Fondo de pensiones nórdico</c:v>
                </c:pt>
                <c:pt idx="2">
                  <c:v>Gestora estadounidense</c:v>
                </c:pt>
                <c:pt idx="3">
                  <c:v>Autocartera</c:v>
                </c:pt>
              </c:strCache>
            </c:strRef>
          </c:cat>
          <c:val>
            <c:numRef>
              <c:f>Hoja1!$B$2:$B$5</c:f>
              <c:numCache>
                <c:formatCode>0.0"%"</c:formatCode>
                <c:ptCount val="4"/>
                <c:pt idx="0">
                  <c:v>28</c:v>
                </c:pt>
                <c:pt idx="1">
                  <c:v>5.1</c:v>
                </c:pt>
                <c:pt idx="2">
                  <c:v>3.2</c:v>
                </c:pt>
                <c:pt idx="3">
                  <c:v>1.2</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Rentabilidad total por año: acción frente a su índice (%)</a:t>
            </a:r>
          </a:p>
        </c:rich>
      </c:tx>
      <c:overlay val="0"/>
    </c:title>
    <c:autoTitleDeleted val="0"/>
    <c:plotArea>
      <c:layout/>
      <c:barChart>
        <c:barDir val="col"/>
        <c:grouping val="clustered"/>
        <c:varyColors val="0"/>
        <c:ser>
          <c:idx val="0"/>
          <c:order val="0"/>
          <c:tx>
            <c:strRef>
              <c:f>Hoja1!$B$1</c:f>
              <c:strCache>
                <c:ptCount val="1"/>
                <c:pt idx="0">
                  <c:v>Acción</c:v>
                </c:pt>
              </c:strCache>
            </c:strRef>
          </c:tx>
          <c:spPr>
            <a:solidFill>
              <a:srgbClr val="2A78D6"/>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Hoja1!$B$2:$B$8</c:f>
              <c:numCache>
                <c:formatCode>0"%"</c:formatCode>
                <c:ptCount val="7"/>
                <c:pt idx="0">
                  <c:v>18</c:v>
                </c:pt>
                <c:pt idx="1">
                  <c:v>-14</c:v>
                </c:pt>
                <c:pt idx="2">
                  <c:v>24</c:v>
                </c:pt>
                <c:pt idx="3">
                  <c:v>-9</c:v>
                </c:pt>
                <c:pt idx="4">
                  <c:v>21</c:v>
                </c:pt>
                <c:pt idx="5">
                  <c:v>13</c:v>
                </c:pt>
                <c:pt idx="6">
                  <c:v>17</c:v>
                </c:pt>
              </c:numCache>
            </c:numRef>
          </c:val>
        </c:ser>
        <c:ser>
          <c:idx val="1"/>
          <c:order val="1"/>
          <c:tx>
            <c:strRef>
              <c:f>Hoja1!$C$1</c:f>
              <c:strCache>
                <c:ptCount val="1"/>
                <c:pt idx="0">
                  <c:v>Índice</c:v>
                </c:pt>
              </c:strCache>
            </c:strRef>
          </c:tx>
          <c:spPr>
            <a:solidFill>
              <a:srgbClr val="EB6834"/>
            </a:solidFill>
            <a:ln w="9525">
              <a:noFill/>
            </a:ln>
          </c:spPr>
          <c:invertIfNegative val="0"/>
          <c:cat>
            <c:strRef>
              <c:f>Hoja1!$A$2:$A$8</c:f>
              <c:strCache>
                <c:ptCount val="7"/>
                <c:pt idx="0">
                  <c:v>2019</c:v>
                </c:pt>
                <c:pt idx="1">
                  <c:v>2020</c:v>
                </c:pt>
                <c:pt idx="2">
                  <c:v>2021</c:v>
                </c:pt>
                <c:pt idx="3">
                  <c:v>2022</c:v>
                </c:pt>
                <c:pt idx="4">
                  <c:v>2023</c:v>
                </c:pt>
                <c:pt idx="5">
                  <c:v>2024</c:v>
                </c:pt>
                <c:pt idx="6">
                  <c:v>2025</c:v>
                </c:pt>
              </c:strCache>
            </c:strRef>
          </c:cat>
          <c:val>
            <c:numRef>
              <c:f>Hoja1!$C$2:$C$8</c:f>
              <c:numCache>
                <c:formatCode>0"%"</c:formatCode>
                <c:ptCount val="7"/>
                <c:pt idx="0">
                  <c:v>16.5</c:v>
                </c:pt>
                <c:pt idx="1">
                  <c:v>-12.7</c:v>
                </c:pt>
                <c:pt idx="2">
                  <c:v>10.2</c:v>
                </c:pt>
                <c:pt idx="3">
                  <c:v>-2</c:v>
                </c:pt>
                <c:pt idx="4">
                  <c:v>27</c:v>
                </c:pt>
                <c:pt idx="5">
                  <c:v>18</c:v>
                </c:pt>
                <c:pt idx="6">
                  <c:v>14.5</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quot;%&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últimos 12 meses (cierre de cada año): historia y media (veces)</a:t>
            </a:r>
          </a:p>
        </c:rich>
      </c:tx>
      <c:overlay val="0"/>
    </c:title>
    <c:autoTitleDeleted val="0"/>
    <c:plotArea>
      <c:layout/>
      <c:lineChart>
        <c:grouping val="standard"/>
        <c:varyColors val="0"/>
        <c:ser>
          <c:idx val="0"/>
          <c:order val="0"/>
          <c:tx>
            <c:strRef>
              <c:f>Hoja1!$B$1</c:f>
              <c:strCache>
                <c:ptCount val="1"/>
                <c:pt idx="0">
                  <c:v>Múltiplo</c:v>
                </c:pt>
              </c:strCache>
            </c:strRef>
          </c:tx>
          <c:spPr>
            <a:ln w="25400" cap="rnd">
              <a:solidFill>
                <a:srgbClr val="2A78D6"/>
              </a:solidFill>
              <a:round/>
            </a:ln>
          </c:spPr>
          <c:marker>
            <c:symbol val="circle"/>
            <c:size val="6"/>
            <c:spPr>
              <a:solidFill>
                <a:srgbClr val="2A78D6"/>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Hoja1!$B$2:$B$11</c:f>
              <c:numCache>
                <c:formatCode>0.0"x"</c:formatCode>
                <c:ptCount val="10"/>
                <c:pt idx="3">
                  <c:v>13.4</c:v>
                </c:pt>
                <c:pt idx="4">
                  <c:v>14.3</c:v>
                </c:pt>
                <c:pt idx="5">
                  <c:v>14.2</c:v>
                </c:pt>
                <c:pt idx="6">
                  <c:v>12.7</c:v>
                </c:pt>
                <c:pt idx="7">
                  <c:v>12.5</c:v>
                </c:pt>
                <c:pt idx="8">
                  <c:v>12.6</c:v>
                </c:pt>
                <c:pt idx="9">
                  <c:v>11</c:v>
                </c:pt>
              </c:numCache>
            </c:numRef>
          </c:val>
          <c:smooth val="0"/>
        </c:ser>
        <c:ser>
          <c:idx val="1"/>
          <c:order val="1"/>
          <c:tx>
            <c:strRef>
              <c:f>Hoja1!$C$1</c:f>
              <c:strCache>
                <c:ptCount val="1"/>
                <c:pt idx="0">
                  <c:v>Media del periodo</c:v>
                </c:pt>
              </c:strCache>
            </c:strRef>
          </c:tx>
          <c:spPr>
            <a:ln w="25400" cap="rnd">
              <a:solidFill>
                <a:srgbClr val="EB6834"/>
              </a:solidFill>
              <a:round/>
            </a:ln>
          </c:spPr>
          <c:marker>
            <c:symbol val="circle"/>
            <c:size val="6"/>
            <c:spPr>
              <a:solidFill>
                <a:srgbClr val="EB6834"/>
              </a:solidFill>
              <a:ln w="9525">
                <a:solidFill>
                  <a:srgbClr val="FFFFFF"/>
                </a:solidFill>
              </a:ln>
            </c:spPr>
          </c:marker>
          <c:cat>
            <c:strRef>
              <c:f>Hoja1!$A$2:$A$11</c:f>
              <c:strCache>
                <c:ptCount val="10"/>
                <c:pt idx="0">
                  <c:v>2016</c:v>
                </c:pt>
                <c:pt idx="1">
                  <c:v>2017</c:v>
                </c:pt>
                <c:pt idx="2">
                  <c:v>2018</c:v>
                </c:pt>
                <c:pt idx="3">
                  <c:v>2019</c:v>
                </c:pt>
                <c:pt idx="4">
                  <c:v>2020</c:v>
                </c:pt>
                <c:pt idx="5">
                  <c:v>2021</c:v>
                </c:pt>
                <c:pt idx="6">
                  <c:v>2022</c:v>
                </c:pt>
                <c:pt idx="7">
                  <c:v>2023</c:v>
                </c:pt>
                <c:pt idx="8">
                  <c:v>2024</c:v>
                </c:pt>
                <c:pt idx="9">
                  <c:v>2025</c:v>
                </c:pt>
              </c:strCache>
            </c:strRef>
          </c:cat>
          <c:val>
            <c:numRef>
              <c:f>Hoja1!$C$2:$C$11</c:f>
              <c:numCache>
                <c:formatCode>0.0"x"</c:formatCode>
                <c:ptCount val="10"/>
                <c:pt idx="0">
                  <c:v>13</c:v>
                </c:pt>
                <c:pt idx="1">
                  <c:v>13</c:v>
                </c:pt>
                <c:pt idx="2">
                  <c:v>13</c:v>
                </c:pt>
                <c:pt idx="3">
                  <c:v>13</c:v>
                </c:pt>
                <c:pt idx="4">
                  <c:v>13</c:v>
                </c:pt>
                <c:pt idx="5">
                  <c:v>13</c:v>
                </c:pt>
                <c:pt idx="6">
                  <c:v>13</c:v>
                </c:pt>
                <c:pt idx="7">
                  <c:v>13</c:v>
                </c:pt>
                <c:pt idx="8">
                  <c:v>13</c:v>
                </c:pt>
                <c:pt idx="9">
                  <c:v>13</c:v>
                </c:pt>
              </c:numCache>
            </c:numRef>
          </c:val>
          <c:smooth val="0"/>
        </c:ser>
        <c:marker val="1"/>
        <c:axId val="10"/>
        <c:axId val="20"/>
      </c:line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legend>
      <c:legendPos val="b"/>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de los próximos 12 meses: empresa y comparables (veces)</a:t>
            </a:r>
          </a:p>
        </c:rich>
      </c:tx>
      <c:overlay val="0"/>
    </c:title>
    <c:autoTitleDeleted val="0"/>
    <c:plotArea>
      <c:layout/>
      <c:barChart>
        <c:barDir val="bar"/>
        <c:grouping val="clustered"/>
        <c:varyColors val="0"/>
        <c:ser>
          <c:idx val="0"/>
          <c:order val="0"/>
          <c:tx>
            <c:strRef>
              <c:f>Hoja1!$B$1</c:f>
              <c:strCache>
                <c:ptCount val="1"/>
                <c:pt idx="0">
                  <c:v>EV/EBITDA NTM</c:v>
                </c:pt>
              </c:strCache>
            </c:strRef>
          </c:tx>
          <c:spPr>
            <a:solidFill>
              <a:srgbClr val="2A78D6"/>
            </a:solidFill>
            <a:ln w="9525">
              <a:noFill/>
            </a:ln>
          </c:spPr>
          <c:invertIfNegative val="0"/>
          <c:dPt>
            <c:idx val="1"/>
            <c:invertIfNegative val="0"/>
            <c:bubble3D val="0"/>
            <c:spPr>
              <a:solidFill>
                <a:srgbClr val="C9C8C2"/>
              </a:solidFill>
            </c:spPr>
          </c:dPt>
          <c:dPt>
            <c:idx val="2"/>
            <c:invertIfNegative val="0"/>
            <c:bubble3D val="0"/>
            <c:spPr>
              <a:solidFill>
                <a:srgbClr val="C9C8C2"/>
              </a:solidFill>
            </c:spPr>
          </c:dPt>
          <c:dPt>
            <c:idx val="3"/>
            <c:invertIfNegative val="0"/>
            <c:bubble3D val="0"/>
            <c:spPr>
              <a:solidFill>
                <a:srgbClr val="C9C8C2"/>
              </a:solidFill>
            </c:spPr>
          </c:dPt>
          <c:dPt>
            <c:idx val="4"/>
            <c:invertIfNegative val="0"/>
            <c:bubble3D val="0"/>
            <c:spPr>
              <a:solidFill>
                <a:srgbClr val="C9C8C2"/>
              </a:solidFill>
            </c:spPr>
          </c:dPt>
          <c:dPt>
            <c:idx val="5"/>
            <c:invertIfNegative val="0"/>
            <c:bubble3D val="0"/>
            <c:spPr>
              <a:solidFill>
                <a:srgbClr val="C9C8C2"/>
              </a:solidFill>
            </c:spPr>
          </c:dPt>
          <c:dPt>
            <c:idx val="6"/>
            <c:invertIfNegative val="0"/>
            <c:bubble3D val="0"/>
            <c:spPr>
              <a:solidFill>
                <a:srgbClr val="C9C8C2"/>
              </a:solidFill>
            </c:spPr>
          </c:dPt>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Compañía Ejemplo</c:v>
                </c:pt>
                <c:pt idx="1">
                  <c:v>Grupo Alfa</c:v>
                </c:pt>
                <c:pt idx="2">
                  <c:v>Beta Energy</c:v>
                </c:pt>
                <c:pt idx="3">
                  <c:v>Gamma Systems</c:v>
                </c:pt>
                <c:pt idx="4">
                  <c:v>Delta Cables</c:v>
                </c:pt>
                <c:pt idx="5">
                  <c:v>Epsilon Grid</c:v>
                </c:pt>
                <c:pt idx="6">
                  <c:v>Zeta Power</c:v>
                </c:pt>
              </c:strCache>
            </c:strRef>
          </c:cat>
          <c:val>
            <c:numRef>
              <c:f>Hoja1!$B$2:$B$8</c:f>
              <c:numCache>
                <c:formatCode>0.0"x"</c:formatCode>
                <c:ptCount val="7"/>
                <c:pt idx="0">
                  <c:v>10.5</c:v>
                </c:pt>
                <c:pt idx="1">
                  <c:v>12.9</c:v>
                </c:pt>
                <c:pt idx="2">
                  <c:v>10.6</c:v>
                </c:pt>
                <c:pt idx="3">
                  <c:v>14.8</c:v>
                </c:pt>
                <c:pt idx="4">
                  <c:v>8.9</c:v>
                </c:pt>
                <c:pt idx="5">
                  <c:v>11.3</c:v>
                </c:pt>
                <c:pt idx="6">
                  <c:v>9.5</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Crecimiento esperado frente a múltiplo</a:t>
            </a:r>
          </a:p>
        </c:rich>
      </c:tx>
      <c:overlay val="0"/>
    </c:title>
    <c:autoTitleDeleted val="0"/>
    <c:plotArea>
      <c:layout/>
      <c:scatterChart>
        <c:scatterStyle val="lineMarker"/>
        <c:varyColors val="0"/>
        <c:ser>
          <c:idx val="0"/>
          <c:order val="0"/>
          <c:tx>
            <c:strRef>
              <c:f>Hoja1!$A$2</c:f>
              <c:strCache>
                <c:ptCount val="1"/>
                <c:pt idx="0">
                  <c:v>Compañía Ejemplo</c:v>
                </c:pt>
              </c:strCache>
            </c:strRef>
          </c:tx>
          <c:spPr>
            <a:ln w="19050">
              <a:noFill/>
            </a:ln>
          </c:spPr>
          <c:marker>
            <c:symbol val="circle"/>
            <c:size val="10"/>
            <c:spPr>
              <a:solidFill>
                <a:srgbClr val="2A78D6"/>
              </a:solidFill>
              <a:ln w="9525">
                <a:solidFill>
                  <a:srgbClr val="FFFFFF"/>
                </a:solidFill>
              </a:ln>
            </c:spPr>
          </c:marker>
          <c:dLbls>
            <c:spPr>
              <a:noFill/>
              <a:ln>
                <a:noFill/>
              </a:ln>
            </c:spPr>
            <c:txPr>
              <a:bodyPr/>
              <a:lstStyle/>
              <a:p>
                <a:pPr>
                  <a:defRPr sz="800">
                    <a:solidFill>
                      <a:srgbClr val="1F2A3C"/>
                    </a:solidFill>
                  </a:defRPr>
                </a:pPr>
                <a:endParaRPr lang="es-ES"/>
              </a:p>
            </c:txPr>
            <c:dLblPos val="r"/>
            <c:showLegendKey val="0"/>
            <c:showVal val="0"/>
            <c:showCatName val="0"/>
            <c:showSerName val="1"/>
            <c:showPercent val="0"/>
            <c:showBubbleSize val="0"/>
          </c:dLbls>
          <c:xVal>
            <c:numRef>
              <c:f>Hoja1!$B$2</c:f>
              <c:numCache>
                <c:formatCode>0"%"</c:formatCode>
                <c:ptCount val="1"/>
                <c:pt idx="0">
                  <c:v>6.6</c:v>
                </c:pt>
              </c:numCache>
            </c:numRef>
          </c:xVal>
          <c:yVal>
            <c:numRef>
              <c:f>Hoja1!$C$2</c:f>
              <c:numCache>
                <c:formatCode>0.0"x"</c:formatCode>
                <c:ptCount val="1"/>
                <c:pt idx="0">
                  <c:v>10.5</c:v>
                </c:pt>
              </c:numCache>
            </c:numRef>
          </c:yVal>
          <c:smooth val="0"/>
        </c:ser>
        <c:ser>
          <c:idx val="1"/>
          <c:order val="1"/>
          <c:tx>
            <c:strRef>
              <c:f>Hoja1!$A$3</c:f>
              <c:strCache>
                <c:ptCount val="1"/>
                <c:pt idx="0">
                  <c:v>Grupo Alfa</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Hoja1!$B$3</c:f>
              <c:numCache>
                <c:formatCode>0"%"</c:formatCode>
                <c:ptCount val="1"/>
                <c:pt idx="0">
                  <c:v>8.2</c:v>
                </c:pt>
              </c:numCache>
            </c:numRef>
          </c:xVal>
          <c:yVal>
            <c:numRef>
              <c:f>Hoja1!$C$3</c:f>
              <c:numCache>
                <c:formatCode>0.0"x"</c:formatCode>
                <c:ptCount val="1"/>
                <c:pt idx="0">
                  <c:v>12.9</c:v>
                </c:pt>
              </c:numCache>
            </c:numRef>
          </c:yVal>
          <c:smooth val="0"/>
        </c:ser>
        <c:ser>
          <c:idx val="2"/>
          <c:order val="2"/>
          <c:tx>
            <c:strRef>
              <c:f>Hoja1!$A$4</c:f>
              <c:strCache>
                <c:ptCount val="1"/>
                <c:pt idx="0">
                  <c:v>Beta Energy</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Hoja1!$B$4</c:f>
              <c:numCache>
                <c:formatCode>0"%"</c:formatCode>
                <c:ptCount val="1"/>
                <c:pt idx="0">
                  <c:v>6.1</c:v>
                </c:pt>
              </c:numCache>
            </c:numRef>
          </c:xVal>
          <c:yVal>
            <c:numRef>
              <c:f>Hoja1!$C$4</c:f>
              <c:numCache>
                <c:formatCode>0.0"x"</c:formatCode>
                <c:ptCount val="1"/>
                <c:pt idx="0">
                  <c:v>10.6</c:v>
                </c:pt>
              </c:numCache>
            </c:numRef>
          </c:yVal>
          <c:smooth val="0"/>
        </c:ser>
        <c:ser>
          <c:idx val="3"/>
          <c:order val="3"/>
          <c:tx>
            <c:strRef>
              <c:f>Hoja1!$A$5</c:f>
              <c:strCache>
                <c:ptCount val="1"/>
                <c:pt idx="0">
                  <c:v>Gamma Systems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Hoja1!$B$5</c:f>
              <c:numCache>
                <c:formatCode>0"%"</c:formatCode>
                <c:ptCount val="1"/>
                <c:pt idx="0">
                  <c:v>9.4</c:v>
                </c:pt>
              </c:numCache>
            </c:numRef>
          </c:xVal>
          <c:yVal>
            <c:numRef>
              <c:f>Hoja1!$C$5</c:f>
              <c:numCache>
                <c:formatCode>0.0"x"</c:formatCode>
                <c:ptCount val="1"/>
                <c:pt idx="0">
                  <c:v>14.8</c:v>
                </c:pt>
              </c:numCache>
            </c:numRef>
          </c:yVal>
          <c:smooth val="0"/>
        </c:ser>
        <c:ser>
          <c:idx val="4"/>
          <c:order val="4"/>
          <c:tx>
            <c:strRef>
              <c:f>Hoja1!$A$6</c:f>
              <c:strCache>
                <c:ptCount val="1"/>
                <c:pt idx="0">
                  <c:v>Delta Cables</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Hoja1!$B$6</c:f>
              <c:numCache>
                <c:formatCode>0"%"</c:formatCode>
                <c:ptCount val="1"/>
                <c:pt idx="0">
                  <c:v>3.8</c:v>
                </c:pt>
              </c:numCache>
            </c:numRef>
          </c:xVal>
          <c:yVal>
            <c:numRef>
              <c:f>Hoja1!$C$6</c:f>
              <c:numCache>
                <c:formatCode>0.0"x"</c:formatCode>
                <c:ptCount val="1"/>
                <c:pt idx="0">
                  <c:v>8.9</c:v>
                </c:pt>
              </c:numCache>
            </c:numRef>
          </c:yVal>
          <c:smooth val="0"/>
        </c:ser>
        <c:ser>
          <c:idx val="5"/>
          <c:order val="5"/>
          <c:tx>
            <c:strRef>
              <c:f>Hoja1!$A$7</c:f>
              <c:strCache>
                <c:ptCount val="1"/>
                <c:pt idx="0">
                  <c:v>Epsilon Grid</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Hoja1!$B$7</c:f>
              <c:numCache>
                <c:formatCode>0"%"</c:formatCode>
                <c:ptCount val="1"/>
                <c:pt idx="0">
                  <c:v>7</c:v>
                </c:pt>
              </c:numCache>
            </c:numRef>
          </c:xVal>
          <c:yVal>
            <c:numRef>
              <c:f>Hoja1!$C$7</c:f>
              <c:numCache>
                <c:formatCode>0.0"x"</c:formatCode>
                <c:ptCount val="1"/>
                <c:pt idx="0">
                  <c:v>11.3</c:v>
                </c:pt>
              </c:numCache>
            </c:numRef>
          </c:yVal>
          <c:smooth val="0"/>
        </c:ser>
        <c:ser>
          <c:idx val="6"/>
          <c:order val="6"/>
          <c:tx>
            <c:strRef>
              <c:f>Hoja1!$A$8</c:f>
              <c:strCache>
                <c:ptCount val="1"/>
                <c:pt idx="0">
                  <c:v>Zeta Power</c:v>
                </c:pt>
              </c:strCache>
            </c:strRef>
          </c:tx>
          <c:spPr>
            <a:ln w="19050">
              <a:noFill/>
            </a:ln>
          </c:spPr>
          <c:marker>
            <c:symbol val="circle"/>
            <c:size val="8"/>
            <c:spPr>
              <a:solidFill>
                <a:srgbClr val="8A8984"/>
              </a:solidFill>
              <a:ln w="9525">
                <a:solidFill>
                  <a:srgbClr val="FFFFFF"/>
                </a:solidFill>
              </a:ln>
            </c:spPr>
          </c:marker>
          <c:dLbls>
            <c:spPr>
              <a:noFill/>
              <a:ln>
                <a:noFill/>
              </a:ln>
            </c:spPr>
            <c:txPr>
              <a:bodyPr/>
              <a:lstStyle/>
              <a:p>
                <a:pPr>
                  <a:defRPr sz="800">
                    <a:solidFill>
                      <a:srgbClr val="52514E"/>
                    </a:solidFill>
                  </a:defRPr>
                </a:pPr>
                <a:endParaRPr lang="es-ES"/>
              </a:p>
            </c:txPr>
            <c:dLblPos val="r"/>
            <c:showLegendKey val="0"/>
            <c:showVal val="0"/>
            <c:showCatName val="0"/>
            <c:showSerName val="1"/>
            <c:showPercent val="0"/>
            <c:showBubbleSize val="0"/>
          </c:dLbls>
          <c:xVal>
            <c:numRef>
              <c:f>Hoja1!$B$8</c:f>
              <c:numCache>
                <c:formatCode>0"%"</c:formatCode>
                <c:ptCount val="1"/>
                <c:pt idx="0">
                  <c:v>5</c:v>
                </c:pt>
              </c:numCache>
            </c:numRef>
          </c:xVal>
          <c:yVal>
            <c:numRef>
              <c:f>Hoja1!$C$8</c:f>
              <c:numCache>
                <c:formatCode>0.0"x"</c:formatCode>
                <c:ptCount val="1"/>
                <c:pt idx="0">
                  <c:v>9.5</c:v>
                </c:pt>
              </c:numCache>
            </c:numRef>
          </c:yVal>
          <c:smooth val="0"/>
        </c:ser>
        <c:axId val="10"/>
        <c:axId val="20"/>
      </c:scatterChart>
      <c:valAx>
        <c:axId val="10"/>
        <c:scaling>
          <c:orientation val="minMax"/>
          <c:max val="11"/>
          <c:min val="2"/>
        </c:scaling>
        <c:delete val="0"/>
        <c:axPos val="b"/>
        <c:title>
          <c:tx>
            <c:rich>
              <a:bodyPr/>
              <a:lstStyle/>
              <a:p>
                <a:pPr>
                  <a:defRPr sz="850" b="0">
                    <a:solidFill>
                      <a:srgbClr val="52514E"/>
                    </a:solidFill>
                  </a:defRPr>
                </a:pPr>
                <a:r>
                  <a:rPr lang="es-ES" sz="850" b="0">
                    <a:solidFill>
                      <a:srgbClr val="52514E"/>
                    </a:solidFill>
                  </a:rPr>
                  <a:t>Crecimiento de ingresos próximos 12 meses (%)</a:t>
                </a:r>
              </a:p>
            </c:rich>
          </c:tx>
          <c:overlay val="0"/>
        </c:title>
        <c:numFmt formatCode="0&quot;%&quot;"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crossBetween val="midCat"/>
      </c:valAx>
      <c:valAx>
        <c:axId val="20"/>
        <c:scaling>
          <c:orientation val="minMax"/>
          <c:min val="7"/>
        </c:scaling>
        <c:delete val="0"/>
        <c:axPos val="l"/>
        <c:majorGridlines>
          <c:spPr>
            <a:ln w="6350">
              <a:solidFill>
                <a:srgbClr val="E4E3DF"/>
              </a:solidFill>
            </a:ln>
          </c:spPr>
        </c:majorGridlines>
        <c:title>
          <c:tx>
            <c:rich>
              <a:bodyPr rot="-5400000" vert="horz"/>
              <a:lstStyle/>
              <a:p>
                <a:pPr>
                  <a:defRPr sz="850" b="0">
                    <a:solidFill>
                      <a:srgbClr val="52514E"/>
                    </a:solidFill>
                  </a:defRPr>
                </a:pPr>
                <a:r>
                  <a:rPr lang="es-ES" sz="850" b="0">
                    <a:solidFill>
                      <a:srgbClr val="52514E"/>
                    </a:solidFill>
                  </a:rPr>
                  <a:t>EV/EBITDA NTM (x)</a:t>
                </a:r>
              </a:p>
            </c:rich>
          </c:tx>
          <c:overlay val="0"/>
        </c:title>
        <c:numFmt formatCode="0.0&quot;x&quot;" sourceLinked="0"/>
        <c:majorTickMark val="none"/>
        <c:minorTickMark val="none"/>
        <c:tickLblPos val="low"/>
        <c:spPr>
          <a:ln>
            <a:noFill/>
          </a:ln>
        </c:spPr>
        <c:txPr>
          <a:bodyPr/>
          <a:lstStyle/>
          <a:p>
            <a:pPr>
              <a:defRPr sz="850">
                <a:solidFill>
                  <a:srgbClr val="52514E"/>
                </a:solidFill>
              </a:defRPr>
            </a:pPr>
            <a:endParaRPr lang="es-ES"/>
          </a:p>
        </c:txPr>
        <c:crossAx val="10"/>
        <c:crosses val="autoZero"/>
        <c:crossBetween val="midCat"/>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EV/EBITDA pagado en transacciones del sector (veces)</a:t>
            </a:r>
          </a:p>
        </c:rich>
      </c:tx>
      <c:overlay val="0"/>
    </c:title>
    <c:autoTitleDeleted val="0"/>
    <c:plotArea>
      <c:layout/>
      <c:barChart>
        <c:barDir val="bar"/>
        <c:grouping val="clustered"/>
        <c:varyColors val="0"/>
        <c:ser>
          <c:idx val="0"/>
          <c:order val="0"/>
          <c:tx>
            <c:strRef>
              <c:f>Hoja1!$B$1</c:f>
              <c:strCache>
                <c:ptCount val="1"/>
                <c:pt idx="0">
                  <c:v>EV/EBITDA</c:v>
                </c:pt>
              </c:strCache>
            </c:strRef>
          </c:tx>
          <c:spPr>
            <a:solidFill>
              <a:srgbClr val="2A78D6"/>
            </a:solidFill>
            <a:ln w="9525">
              <a:noFill/>
            </a:ln>
          </c:spPr>
          <c:invertIfNegative val="0"/>
          <c:dLbls>
            <c:numFmt formatCode="0.0&quot;x&quot;"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Hoja1!$A$2:$A$6</c:f>
              <c:strCache>
                <c:ptCount val="5"/>
                <c:pt idx="0">
                  <c:v>Fabricante nórdico de aparamenta</c:v>
                </c:pt>
                <c:pt idx="1">
                  <c:v>Delta Transformers</c:v>
                </c:pt>
                <c:pt idx="2">
                  <c:v>Cables industriales (Portugal)</c:v>
                </c:pt>
                <c:pt idx="3">
                  <c:v>Especialista en sensores de red</c:v>
                </c:pt>
                <c:pt idx="4">
                  <c:v>Cables especiales (Polonia)</c:v>
                </c:pt>
              </c:strCache>
            </c:strRef>
          </c:cat>
          <c:val>
            <c:numRef>
              <c:f>Hoja1!$B$2:$B$6</c:f>
              <c:numCache>
                <c:formatCode>0.0"x"</c:formatCode>
                <c:ptCount val="5"/>
                <c:pt idx="0">
                  <c:v>12.8</c:v>
                </c:pt>
                <c:pt idx="1">
                  <c:v>10.5</c:v>
                </c:pt>
                <c:pt idx="2">
                  <c:v>9.2</c:v>
                </c:pt>
                <c:pt idx="3">
                  <c:v>18.5</c:v>
                </c:pt>
                <c:pt idx="4">
                  <c:v>8</c:v>
                </c:pt>
              </c:numCache>
            </c:numRef>
          </c:val>
        </c:ser>
        <c:gapWidth val="70"/>
        <c:overlap val="-1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b"/>
        <c:majorGridlines>
          <c:spPr>
            <a:ln w="6350">
              <a:solidFill>
                <a:srgbClr val="E4E3DF"/>
              </a:solidFill>
            </a:ln>
          </c:spPr>
        </c:majorGridlines>
        <c:numFmt formatCode="0.0&quot;x&quot;"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Flujo de caja libre para la empresa proyectado (EUR, millones)</a:t>
            </a:r>
          </a:p>
        </c:rich>
      </c:tx>
      <c:overlay val="0"/>
    </c:title>
    <c:autoTitleDeleted val="0"/>
    <c:plotArea>
      <c:layout/>
      <c:barChart>
        <c:barDir val="col"/>
        <c:grouping val="clustered"/>
        <c:varyColors val="0"/>
        <c:ser>
          <c:idx val="0"/>
          <c:order val="0"/>
          <c:tx>
            <c:strRef>
              <c:f>Hoja1!$B$1</c:f>
              <c:strCache>
                <c:ptCount val="1"/>
                <c:pt idx="0">
                  <c:v>FCFF</c:v>
                </c:pt>
              </c:strCache>
            </c:strRef>
          </c:tx>
          <c:spPr>
            <a:solidFill>
              <a:srgbClr val="2A78D6"/>
            </a:solidFill>
            <a:ln w="9525">
              <a:noFill/>
            </a:ln>
          </c:spPr>
          <c:invertIfNegative val="0"/>
          <c:dLbls>
            <c:numFmt formatCode="#,##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Hoja1!$A$2:$A$8</c:f>
              <c:strCache>
                <c:ptCount val="7"/>
                <c:pt idx="0">
                  <c:v>2026e</c:v>
                </c:pt>
                <c:pt idx="1">
                  <c:v>2027e</c:v>
                </c:pt>
                <c:pt idx="2">
                  <c:v>2028e</c:v>
                </c:pt>
                <c:pt idx="3">
                  <c:v>2029e</c:v>
                </c:pt>
                <c:pt idx="4">
                  <c:v>2030e</c:v>
                </c:pt>
                <c:pt idx="5">
                  <c:v>2031e</c:v>
                </c:pt>
                <c:pt idx="6">
                  <c:v>2032e</c:v>
                </c:pt>
              </c:strCache>
            </c:strRef>
          </c:cat>
          <c:val>
            <c:numRef>
              <c:f>Hoja1!$B$2:$B$8</c:f>
              <c:numCache>
                <c:formatCode>#,##0</c:formatCode>
                <c:ptCount val="7"/>
                <c:pt idx="0">
                  <c:v>219</c:v>
                </c:pt>
                <c:pt idx="1">
                  <c:v>253</c:v>
                </c:pt>
                <c:pt idx="2">
                  <c:v>276</c:v>
                </c:pt>
                <c:pt idx="3">
                  <c:v>317</c:v>
                </c:pt>
                <c:pt idx="4">
                  <c:v>340</c:v>
                </c:pt>
                <c:pt idx="5">
                  <c:v>357</c:v>
                </c:pt>
                <c:pt idx="6">
                  <c:v>372</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De dónde sale el valor empresa del DCF (EUR, millones)</a:t>
            </a:r>
          </a:p>
        </c:rich>
      </c:tx>
      <c:overlay val="0"/>
    </c:title>
    <c:autoTitleDeleted val="0"/>
    <c:plotArea>
      <c:layout/>
      <c:doughnutChart>
        <c:varyColors val="1"/>
        <c:ser>
          <c:idx val="0"/>
          <c:order val="0"/>
          <c:tx>
            <c:strRef>
              <c:f>Hoja1!$B$1</c:f>
              <c:strCache>
                <c:ptCount val="1"/>
                <c:pt idx="0">
                  <c:v>Valor actual</c:v>
                </c:pt>
              </c:strCache>
            </c:strRef>
          </c:tx>
          <c:dPt>
            <c:idx val="0"/>
            <c:bubble3D val="0"/>
            <c:spPr>
              <a:solidFill>
                <a:srgbClr val="2A78D6"/>
              </a:solidFill>
              <a:ln w="19050">
                <a:solidFill>
                  <a:srgbClr val="FFFFFF"/>
                </a:solidFill>
              </a:ln>
            </c:spPr>
          </c:dPt>
          <c:dPt>
            <c:idx val="1"/>
            <c:bubble3D val="0"/>
            <c:spPr>
              <a:solidFill>
                <a:srgbClr val="EB6834"/>
              </a:solidFill>
              <a:ln w="19050">
                <a:solidFill>
                  <a:srgbClr val="FFFFFF"/>
                </a:solidFill>
              </a:ln>
            </c:spPr>
          </c:dPt>
          <c:dLbls>
            <c:numFmt formatCode="#,##0" sourceLinked="0"/>
            <c:spPr>
              <a:noFill/>
              <a:ln>
                <a:noFill/>
              </a:ln>
            </c:spPr>
            <c:txPr>
              <a:bodyPr/>
              <a:lstStyle/>
              <a:p>
                <a:pPr>
                  <a:defRPr sz="800">
                    <a:solidFill>
                      <a:srgbClr val="1F2A3C"/>
                    </a:solidFill>
                  </a:defRPr>
                </a:pPr>
                <a:endParaRPr lang="es-ES"/>
              </a:p>
            </c:txPr>
            <c:showLegendKey val="0"/>
            <c:showVal val="1"/>
            <c:showCatName val="0"/>
            <c:showSerName val="0"/>
            <c:showPercent val="0"/>
            <c:showBubbleSize val="0"/>
            <c:showLeaderLines val="1"/>
          </c:dLbls>
          <c:cat>
            <c:strRef>
              <c:f>Hoja1!$A$2:$A$3</c:f>
              <c:strCache>
                <c:ptCount val="2"/>
                <c:pt idx="0">
                  <c:v>Flujos proyectados</c:v>
                </c:pt>
                <c:pt idx="1">
                  <c:v>Valor terminal</c:v>
                </c:pt>
              </c:strCache>
            </c:strRef>
          </c:cat>
          <c:val>
            <c:numRef>
              <c:f>Hoja1!$B$2:$B$3</c:f>
              <c:numCache>
                <c:formatCode>#,##0</c:formatCode>
                <c:ptCount val="2"/>
                <c:pt idx="0">
                  <c:v>1510</c:v>
                </c:pt>
                <c:pt idx="1">
                  <c:v>3538</c:v>
                </c:pt>
              </c:numCache>
            </c:numRef>
          </c:val>
        </c:ser>
        <c:firstSliceAng val="0"/>
        <c:holeSize val="55"/>
      </c:doughnutChart>
    </c:plotArea>
    <c:legend>
      <c:legendPos val="r"/>
      <c:overlay val="0"/>
      <c:txPr>
        <a:bodyPr/>
        <a:lstStyle/>
        <a:p>
          <a:pPr>
            <a:defRPr sz="850">
              <a:solidFill>
                <a:srgbClr val="52514E"/>
              </a:solidFill>
            </a:defRPr>
          </a:pPr>
          <a:endParaRPr lang="es-ES"/>
        </a:p>
      </c:txPr>
    </c:legend>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por escenario (EUR) · precio actual 31,40</a:t>
            </a:r>
          </a:p>
        </c:rich>
      </c:tx>
      <c:overlay val="0"/>
    </c:title>
    <c:autoTitleDeleted val="0"/>
    <c:plotArea>
      <c:layout/>
      <c:barChart>
        <c:barDir val="col"/>
        <c:grouping val="clustered"/>
        <c:varyColors val="0"/>
        <c:ser>
          <c:idx val="0"/>
          <c:order val="0"/>
          <c:tx>
            <c:strRef>
              <c:f>Hoja1!$B$1</c:f>
              <c:strCache>
                <c:ptCount val="1"/>
                <c:pt idx="0">
                  <c:v>Valor por acción</c:v>
                </c:pt>
              </c:strCache>
            </c:strRef>
          </c:tx>
          <c:spPr>
            <a:solidFill>
              <a:srgbClr val="2A78D6"/>
            </a:solidFill>
            <a:ln w="9525">
              <a:noFill/>
            </a:ln>
          </c:spPr>
          <c:invertIfNegative val="0"/>
          <c:dLbls>
            <c:numFmt formatCode="#,##0.00" sourceLinked="0"/>
            <c:spPr>
              <a:noFill/>
              <a:ln>
                <a:noFill/>
              </a:ln>
            </c:spPr>
            <c:txPr>
              <a:bodyPr/>
              <a:lstStyle/>
              <a:p>
                <a:pPr>
                  <a:defRPr sz="800">
                    <a:solidFill>
                      <a:srgbClr val="52514E"/>
                    </a:solidFill>
                  </a:defRPr>
                </a:pPr>
                <a:endParaRPr lang="es-ES"/>
              </a:p>
            </c:txPr>
            <c:dLblPos val="outEnd"/>
            <c:showLegendKey val="0"/>
            <c:showVal val="1"/>
            <c:showCatName val="0"/>
            <c:showSerName val="0"/>
            <c:showPercent val="0"/>
            <c:showBubbleSize val="0"/>
          </c:dLbls>
          <c:cat>
            <c:strRef>
              <c:f>Hoja1!$A$2:$A$4</c:f>
              <c:strCache>
                <c:ptCount val="3"/>
                <c:pt idx="0">
                  <c:v>Bajista</c:v>
                </c:pt>
                <c:pt idx="1">
                  <c:v>Base</c:v>
                </c:pt>
                <c:pt idx="2">
                  <c:v>Alcista</c:v>
                </c:pt>
              </c:strCache>
            </c:strRef>
          </c:cat>
          <c:val>
            <c:numRef>
              <c:f>Hoja1!$B$2:$B$4</c:f>
              <c:numCache>
                <c:formatCode>#,##0.00</c:formatCode>
                <c:ptCount val="3"/>
                <c:pt idx="0">
                  <c:v>18.79</c:v>
                </c:pt>
                <c:pt idx="1">
                  <c:v>27.61</c:v>
                </c:pt>
                <c:pt idx="2">
                  <c:v>34.6</c:v>
                </c:pt>
              </c:numCache>
            </c:numRef>
          </c:val>
        </c:ser>
        <c:gapWidth val="70"/>
        <c:overlap val="-10"/>
        <c:axId val="10"/>
        <c:axId val="20"/>
      </c:barChart>
      <c:catAx>
        <c:axId val="10"/>
        <c:scaling>
          <c:orientation val="minMax"/>
        </c:scaling>
        <c:delete val="0"/>
        <c:axPos val="b"/>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scaling>
        <c:delete val="0"/>
        <c:axPos val="l"/>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autoZero"/>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es-ES"/>
  <c:roundedCorners val="0"/>
  <c:chart>
    <c:title>
      <c:tx>
        <c:rich>
          <a:bodyPr/>
          <a:lstStyle/>
          <a:p>
            <a:pPr algn="l">
              <a:defRPr sz="1050" b="1">
                <a:solidFill>
                  <a:srgbClr val="1F2A3C"/>
                </a:solidFill>
              </a:defRPr>
            </a:pPr>
            <a:r>
              <a:rPr lang="es-ES" sz="1050" b="1">
                <a:solidFill>
                  <a:srgbClr val="1F2A3C"/>
                </a:solidFill>
              </a:rPr>
              <a:t>Valor por acción según cada método (EUR) · precio actual 31,40</a:t>
            </a:r>
          </a:p>
        </c:rich>
      </c:tx>
      <c:overlay val="0"/>
    </c:title>
    <c:autoTitleDeleted val="0"/>
    <c:plotArea>
      <c:layout/>
      <c:barChart>
        <c:barDir val="bar"/>
        <c:grouping val="stacked"/>
        <c:varyColors val="0"/>
        <c:ser>
          <c:idx val="0"/>
          <c:order val="0"/>
          <c:tx>
            <c:strRef>
              <c:f>Hoja1!$B$1</c:f>
              <c:strCache>
                <c:ptCount val="1"/>
                <c:pt idx="0">
                  <c:v>Desde</c:v>
                </c:pt>
              </c:strCache>
            </c:strRef>
          </c:tx>
          <c:spPr>
            <a:noFill/>
            <a:ln>
              <a:noFill/>
            </a:ln>
          </c:spPr>
          <c:invertIfNegative val="0"/>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Hoja1!$B$2:$B$10</c:f>
              <c:numCache>
                <c:formatCode>#,##0.00</c:formatCode>
                <c:ptCount val="9"/>
                <c:pt idx="0">
                  <c:v>24.1</c:v>
                </c:pt>
                <c:pt idx="1">
                  <c:v>27</c:v>
                </c:pt>
                <c:pt idx="2">
                  <c:v>29.06</c:v>
                </c:pt>
                <c:pt idx="3">
                  <c:v>29.92</c:v>
                </c:pt>
                <c:pt idx="4">
                  <c:v>24.24</c:v>
                </c:pt>
                <c:pt idx="5">
                  <c:v>23.88</c:v>
                </c:pt>
                <c:pt idx="6">
                  <c:v>18.79</c:v>
                </c:pt>
                <c:pt idx="7">
                  <c:v>36.2</c:v>
                </c:pt>
                <c:pt idx="8">
                  <c:v>31.24</c:v>
                </c:pt>
              </c:numCache>
            </c:numRef>
          </c:val>
        </c:ser>
        <c:ser>
          <c:idx val="1"/>
          <c:order val="1"/>
          <c:tx>
            <c:strRef>
              <c:f>Hoja1!$C$1</c:f>
              <c:strCache>
                <c:ptCount val="1"/>
                <c:pt idx="0">
                  <c:v>Rango</c:v>
                </c:pt>
              </c:strCache>
            </c:strRef>
          </c:tx>
          <c:spPr>
            <a:solidFill>
              <a:srgbClr val="2A78D6"/>
            </a:solidFill>
            <a:ln w="12700">
              <a:noFill/>
            </a:ln>
          </c:spPr>
          <c:invertIfNegative val="0"/>
          <c:dPt>
            <c:idx val="0"/>
            <c:invertIfNegative val="0"/>
            <c:bubble3D val="0"/>
            <c:spPr>
              <a:solidFill>
                <a:srgbClr val="C9C8C2"/>
              </a:solidFill>
            </c:spPr>
          </c:dPt>
          <c:dPt>
            <c:idx val="1"/>
            <c:invertIfNegative val="0"/>
            <c:bubble3D val="0"/>
            <c:spPr>
              <a:solidFill>
                <a:srgbClr val="C9C8C2"/>
              </a:solidFill>
            </c:spPr>
          </c:dPt>
          <c:dPt>
            <c:idx val="8"/>
            <c:invertIfNegative val="0"/>
            <c:bubble3D val="0"/>
            <c:spPr>
              <a:solidFill>
                <a:srgbClr val="C9C8C2"/>
              </a:solidFill>
            </c:spPr>
          </c:dPt>
          <c:cat>
            <c:strRef>
              <c:f>Hoja1!$A$2:$A$10</c:f>
              <c:strCache>
                <c:ptCount val="9"/>
                <c:pt idx="0">
                  <c:v>Cotización 52 semanas (24,10 – 33,90)</c:v>
                </c:pt>
                <c:pt idx="1">
                  <c:v>Precio objetivo de los analistas (27,00 – 40,00)</c:v>
                </c:pt>
                <c:pt idx="2">
                  <c:v>Comparables: EV/EBITDA NTM (29,06 – 38,26)</c:v>
                </c:pt>
                <c:pt idx="3">
                  <c:v>Comparables: PER NTM (29,92 – 38,77)</c:v>
                </c:pt>
                <c:pt idx="4">
                  <c:v>Transacciones precedentes (24,24 – 35,26)</c:v>
                </c:pt>
                <c:pt idx="5">
                  <c:v>DCF (WACC y g ± 0,5) (23,88 – 32,70)</c:v>
                </c:pt>
                <c:pt idx="6">
                  <c:v>Escenarios (bajista – alcista) (18,79 – 34,60)</c:v>
                </c:pt>
                <c:pt idx="7">
                  <c:v>Suma de partes (36,20 – 44,67)</c:v>
                </c:pt>
                <c:pt idx="8">
                  <c:v>Precio actual (31,40)</c:v>
                </c:pt>
              </c:strCache>
            </c:strRef>
          </c:cat>
          <c:val>
            <c:numRef>
              <c:f>Hoja1!$C$2:$C$10</c:f>
              <c:numCache>
                <c:formatCode>#,##0.00</c:formatCode>
                <c:ptCount val="9"/>
                <c:pt idx="0">
                  <c:v>9.799999999999997</c:v>
                </c:pt>
                <c:pt idx="1">
                  <c:v>13</c:v>
                </c:pt>
                <c:pt idx="2">
                  <c:v>9.2</c:v>
                </c:pt>
                <c:pt idx="3">
                  <c:v>8.850000000000001</c:v>
                </c:pt>
                <c:pt idx="4">
                  <c:v>11.02</c:v>
                </c:pt>
                <c:pt idx="5">
                  <c:v>8.820000000000004</c:v>
                </c:pt>
                <c:pt idx="6">
                  <c:v>15.810000000000002</c:v>
                </c:pt>
                <c:pt idx="7">
                  <c:v>8.469999999999999</c:v>
                </c:pt>
                <c:pt idx="8">
                  <c:v>0.3200000000000003</c:v>
                </c:pt>
              </c:numCache>
            </c:numRef>
          </c:val>
        </c:ser>
        <c:gapWidth val="60"/>
        <c:overlap val="100"/>
        <c:axId val="10"/>
        <c:axId val="20"/>
      </c:barChart>
      <c:catAx>
        <c:axId val="10"/>
        <c:scaling>
          <c:orientation val="maxMin"/>
        </c:scaling>
        <c:delete val="0"/>
        <c:axPos val="l"/>
        <c:numFmt formatCode="General" sourceLinked="0"/>
        <c:majorTickMark val="none"/>
        <c:minorTickMark val="none"/>
        <c:tickLblPos val="low"/>
        <c:spPr>
          <a:ln w="9525">
            <a:solidFill>
              <a:srgbClr val="A3A29C"/>
            </a:solidFill>
          </a:ln>
        </c:spPr>
        <c:txPr>
          <a:bodyPr/>
          <a:lstStyle/>
          <a:p>
            <a:pPr>
              <a:defRPr sz="850">
                <a:solidFill>
                  <a:srgbClr val="52514E"/>
                </a:solidFill>
              </a:defRPr>
            </a:pPr>
            <a:endParaRPr lang="es-ES"/>
          </a:p>
        </c:txPr>
        <c:crossAx val="20"/>
        <c:crosses val="autoZero"/>
        <c:auto val="1"/>
        <c:lblAlgn val="ctr"/>
        <c:lblOffset val="100"/>
        <c:noMultiLvlLbl val="0"/>
      </c:catAx>
      <c:valAx>
        <c:axId val="20"/>
        <c:scaling>
          <c:orientation val="minMax"/>
          <c:min val="10"/>
        </c:scaling>
        <c:delete val="0"/>
        <c:axPos val="b"/>
        <c:majorGridlines>
          <c:spPr>
            <a:ln w="6350">
              <a:solidFill>
                <a:srgbClr val="E4E3DF"/>
              </a:solidFill>
            </a:ln>
          </c:spPr>
        </c:majorGridlines>
        <c:numFmt formatCode="#,##0.00" sourceLinked="0"/>
        <c:majorTickMark val="none"/>
        <c:minorTickMark val="none"/>
        <c:tickLblPos val="nextTo"/>
        <c:spPr>
          <a:ln>
            <a:noFill/>
          </a:ln>
        </c:spPr>
        <c:txPr>
          <a:bodyPr/>
          <a:lstStyle/>
          <a:p>
            <a:pPr>
              <a:defRPr sz="850">
                <a:solidFill>
                  <a:srgbClr val="52514E"/>
                </a:solidFill>
              </a:defRPr>
            </a:pPr>
            <a:endParaRPr lang="es-ES"/>
          </a:p>
        </c:txPr>
        <c:crossAx val="10"/>
        <c:crosses val="max"/>
        <c:crossBetween val="between"/>
      </c:valAx>
    </c:plotArea>
    <c:plotVisOnly val="1"/>
    <c:dispBlanksAs val="gap"/>
  </c:chart>
  <c:spPr>
    <a:noFill/>
    <a:ln>
      <a:noFill/>
    </a:ln>
  </c:spPr>
  <c:txPr>
    <a:bodyPr/>
    <a:lstStyle/>
    <a:p>
      <a:pPr>
        <a:defRPr sz="900">
          <a:solidFill>
            <a:srgbClr val="52514E"/>
          </a:solidFill>
        </a:defRPr>
      </a:pPr>
      <a:endParaRPr lang="es-ES"/>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empresa cotizada — plantilla</dc:title>
  <dc:creator>analisis-inversion</dc:creator>
  <cp:lastModifiedBy>Un-named</cp:lastModifiedBy>
  <cp:revision>1</cp:revision>
  <dcterms:created xsi:type="dcterms:W3CDTF">2026-10-06T16:38:37.855Z</dcterms:created>
  <dcterms:modified xsi:type="dcterms:W3CDTF">2026-10-06T16:38:37.856Z</dcterms:modified>
</cp:coreProperties>
</file>

<file path=docProps/custom.xml><?xml version="1.0" encoding="utf-8"?>
<Properties xmlns="http://schemas.openxmlformats.org/officeDocument/2006/custom-properties" xmlns:vt="http://schemas.openxmlformats.org/officeDocument/2006/docPropsVTypes"/>
</file>