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Edenred SE</w:t>
      </w:r>
    </w:p>
    <w:p>
      <w:pPr>
        <w:spacing w:after="60"/>
        <w:rPr>
          <w:color w:val="52514E"/>
          <w:sz w:val="22"/>
          <w:szCs w:val="22"/>
        </w:rPr>
      </w:pPr>
      <w:r>
        <w:rPr>
          <w:color w:val="52514E"/>
          <w:sz w:val="22"/>
          <w:szCs w:val="22"/>
        </w:rPr>
        <w:t xml:space="preserve">EDEN · Euronext Paris · ISIN FR0010908533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29,22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35,51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+26,1 % (base +27,3 %)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43,51 EUR · mercado 56,50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6.799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Edenred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EDEN / FR0010908533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Paris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 (índice de comparación; Edenred está en el CAC Next 20 y el SBF 120)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comerciales y profesionales (soluciones de pago de uso específico: beneficios a empleados y movilidad)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Issy-les-Moulineaux (Francia) · 2010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29,22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15,23 – 30,85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6.799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11.695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15,2 M EUR/día (533.447 acciones; 65 sesiones a 20-oct-2026)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mar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35,51 EUR</w:t>
      </w:r>
      <w:r>
        <w:t xml:space="preserve"> frente a 29,22 · Rentabilidad a 12 meses </w:t>
      </w:r>
      <w:r>
        <w:rPr>
          <w:b/>
          <w:bCs/>
        </w:rPr>
        <w:t xml:space="preserve">+26,1 % (base +27,3 %)</w:t>
      </w:r>
      <w:r>
        <w:t xml:space="preserve"> · Valor intrínseco 43,51 EUR · con la prima implícita del mercado: 56,50 (+93,4 %) · Alcista / bajista +114,0 % / -19,0 %</w:t>
      </w:r>
    </w:p>
    <w:p>
      <w:pPr>
        <w:spacing w:after="100"/>
      </w:pPr>
      <w:r>
        <w:rPr>
          <w:b/>
        </w:rPr>
        <w:t xml:space="preserve">La recomendación y por qué.</w:t>
      </w:r>
      <w:r>
        <w:t xml:space="preserve"> Mantener, con convicción media. Al cierre del 20-oct (29,22 EUR), el objetivo a 12 meses es de 35,51 EUR (+26,1 % con el dividendo; base +27,4 %) y el valor intrínseco, de 43,51 EUR. El 21-oct, tras las ventas, cayó a 27,72 EUR (−5,1 %): a ese precio la v3 da un 33,0 % y la v2 de control un 20,0 %. La regla daría Comprar, pero la calidad sostiene el volumen, no el precio (sostenibilidad «En parte»): no se compra ni se amplía. Para quien la tiene, todas las variantes pasan el filtro de mantener, y por eso es Mantener y no Vender. La convicción es media porque el resultado depende de reguladores con fechas abiertas: subiría si el Senado (19-nov) aprueba el texto sin tope y la guía de 2027 confirma +8 % de EBITDA; bajaría con un tope legal o con una caída de Brasil tras la interoperabilidad de noviembre.</w:t>
      </w:r>
    </w:p>
    <w:p>
      <w:pPr>
        <w:spacing w:after="100"/>
      </w:pPr>
      <w:r>
        <w:rPr>
          <w:b/>
        </w:rPr>
        <w:t xml:space="preserve">Qué ha cambiado con el 3T26 (21-oct).</w:t>
      </w:r>
      <w:r>
        <w:t xml:space="preserve"> Ventas operativas de 667 M: planas en euros, −1,2 % comparable y +6,6 % sin la reforma de Italia y Brasil (8,0 % en el 1S26) [12, 13]. Superan lo que esperaba el consenso que recopila la empresa (658 M operativos y 709 M totales) [D]. Beneficios cae un 5,9 % y Movilidad crece un 10,7 %. La guía de 2026 se mantiene en comparable (EBITDA −10/−7 %), pero en euros baja 10 M, a ≈ 1.220-1.260 M, porque Edenred Pay North America pasa a puesta en equivalencia desde el 1-ago. El other revenue sigue en al menos 210 M, con el aviso de que el 4T puede bajar. 2027-2028 se confirman (+8/+12 % de EBITDA). La caída en bolsa la explican el comparable negativo, la desaceleración del crecimiento intrínseco y la calidad de la batida (intereses del float), según Jefferies [E]. Bajamos 2026e de +1,5 % a +0,3 % en ingresos operativos: el BPA base de 2028e pasa de 2,47 a 2,44 EUR.</w:t>
      </w:r>
    </w:p>
    <w:p>
      <w:pPr>
        <w:spacing w:after="100"/>
      </w:pPr>
      <w:r>
        <w:rPr>
          <w:b/>
        </w:rPr>
        <w:t xml:space="preserve">El negocio.</w:t>
      </w:r>
      <w:r>
        <w:t xml:space="preserve"> Plataforma de pagos de uso específico con 49.000 M de volumen y 2.961 M de ingresos en 2025, un margen EBITDA del 45,9 % y casi sin capital: el circulante negativo y el float financian el crecimiento [1]. El ROIC operativo ronda el 20 % (estimación propia) frente a un WACC del 8,25 %. La sostenibilidad es «En parte»: el volumen crece un 6-8 % intrínseco, pero Italia (5 %) y Brasil (3,6 %) ya han topado las comisiones.</w:t>
      </w:r>
    </w:p>
    <w:p>
      <w:pPr>
        <w:spacing w:after="100"/>
      </w:pPr>
      <w:r>
        <w:rPr>
          <w:b/>
        </w:rPr>
        <w:t xml:space="preserve">Valoración.</w:t>
      </w:r>
      <w:r>
        <w:t xml:space="preserve"> El DCF da 46,89 EUR con un WACC del 8,25 %. El DCF inverso dice que el precio descuenta un crecimiento del 0,9 % anual frente al 4,6 % de nuestro base, o un margen del 34,2 %. Cotiza a 14,2 veces el beneficio de los últimos 12 meses. El valor depende del trato del float: aquí 2.739 M se tratan como dinero de clientes.</w:t>
      </w:r>
    </w:p>
    <w:p>
      <w:pPr>
        <w:spacing w:after="100"/>
      </w:pPr>
      <w:r>
        <w:rPr>
          <w:b/>
        </w:rPr>
        <w:t xml:space="preserve">Riesgos y catalizadores.</w:t>
      </w:r>
      <w:r>
        <w:t xml:space="preserve"> El primero es el decreto francés: el bajista del DCF da 23,67 EUR (−19,0 %). El segundo es la interoperabilidad brasileña de noviembre (iFood negocia comprar Caju) [B]. El tercero es la bajada de tipos sobre el other revenue. Catalizadores: debate del Senado el 19-nov [32], ventana de las opciones del grupo Niel (8 %) de enero a mayo de 2027 [43] y resultados de 2026 y guía de 2027 el 2-mar-2027 [D].</w:t>
      </w:r>
    </w:p>
    <w:p>
      <w:pPr>
        <w:spacing w:after="100"/>
      </w:pPr>
      <w:r>
        <w:rPr>
          <w:b/>
        </w:rPr>
        <w:t xml:space="preserve">Qué cambiaría la decisión.</w:t>
      </w:r>
      <w:r>
        <w:t xml:space="preserve"> Por debajo de 32,03 EUR la regla vigente da Comprar, pero no se compraría mientras la sostenibilidad siga «En parte»; por encima de 40,93 EUR, Vender. Pasaríamos a Vender si el Senado introduce un tope legal, si la guía de 2027 queda por debajo de +5 % de EBITDA o si los ingresos de Brasil caen más de un 10 % tras la interoperabilidad.</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35,51 EUR</w:t>
      </w:r>
      <w:r>
        <w:t xml:space="preserve"> (rentabilidad +26,1 % (base +27,3 %)) · Valor intrínseco: 43,51 EUR (+48,9 % sobre 29,22) · con la prima implícita del mercado: 56,50 (+93,4 %)</w:t>
      </w:r>
    </w:p>
    <w:p>
      <w:pPr>
        <w:spacing w:after="100"/>
      </w:pPr>
      <w:r>
        <w:t xml:space="preserve">Edenred es el mayor emisor mundial de beneficios a empleados y un actor fuerte en tarjetas de flota en Europa y Brasil: 49.000 M de volumen, más de un millón de empresas clientes y 2 millones de comercios, con un margen EBITDA del 45,9 % y un negocio que crece sin capital porque los clientes pagan antes de que el comercio cobre [1].</w:t>
      </w:r>
    </w:p>
    <w:p>
      <w:pPr>
        <w:spacing w:after="100"/>
      </w:pPr>
      <w:r>
        <w:t xml:space="preserve">El precio descuenta que la regulación congela el negocio: un crecimiento implícito del 1,0 % anual en 2027e-2035e, frente a una guía de +8/+12 % de EBITDA en 2027-2028 y un consenso que la sigue [5, 63]. A 14,6 veces el beneficio, está en el percentil 17 de su historia.</w:t>
      </w:r>
    </w:p>
    <w:p>
      <w:pPr>
        <w:spacing w:after="100"/>
      </w:pPr>
      <w:r>
        <w:t xml:space="preserve">El mercado acierta en que la regulación ha cambiado el negocio (Italia y Brasil ya topan y Francia podrá hacerlo), pero exagera su alcance: la ley francesa no fija porcentaje y lo deja para 2028 tras un dictamen [15]. Para invertir hay que creer que el volumen sigue creciendo al 6-8 % y que el tope francés, si llega, se parece al italiano.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 × 1,87 = 18,14 · 14,7x × 2,44 = 35,87 · 19,9x × 2,62 = 52,14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 / 27,3 %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31,21 (nuestro base +14,9 %)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114,0 % / -19,0 %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 frente a 8,3 %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 frente a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32,03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32,03 y 40,93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40,93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con la v3 (26,1 % ponderada, 27,4 % base, al cierre del 20-oct) y el valor intrínseco queda por encima del precio, pero el informe se queda en Mantener por dos motivos que fija el método. La sostenibilidad del crecimiento es «En parte» (el regulador fija el precio en Italia y Brasil y podrá hacerlo en Francia desde 2028), y con «En parte» no se compra ni se amplía. Además, la v2 de control da Mantener (13,8 %), así que no es una compra robusta. Para quien ya la tiene, todas las variantes pasan el filtro de mantener (ponderada ≥ 10 %, base ≥ 5 %, valor intrínseco por encima del precio).</w:t>
      </w:r>
    </w:p>
    <w:p>
      <w:pPr>
        <w:pStyle w:val="Heading2"/>
      </w:pPr>
      <w:r>
        <w:t xml:space="preserve">Qué cambiaría la recomendación</w:t>
      </w:r>
    </w:p>
    <w:p>
      <w:pPr>
        <w:pStyle w:val="ListParagraph"/>
        <w:numPr>
          <w:ilvl w:val="0"/>
          <w:numId w:val="2"/>
        </w:numPr>
        <w:spacing w:after="60"/>
      </w:pPr>
      <w:r>
        <w:t xml:space="preserve">Si el Senado introduce un tope legal de comisiones (2,5 % o similar), revisión del bajista y probable Vender.</w:t>
      </w:r>
    </w:p>
    <w:p>
      <w:pPr>
        <w:pStyle w:val="ListParagraph"/>
        <w:numPr>
          <w:ilvl w:val="0"/>
          <w:numId w:val="2"/>
        </w:numPr>
        <w:spacing w:after="60"/>
      </w:pPr>
      <w:r>
        <w:t xml:space="preserve">Si la guía de EBITDA 2027 de marzo queda por debajo de +5 % comparable, Vender.</w:t>
      </w:r>
    </w:p>
    <w:p>
      <w:pPr>
        <w:pStyle w:val="ListParagraph"/>
        <w:numPr>
          <w:ilvl w:val="0"/>
          <w:numId w:val="2"/>
        </w:numPr>
        <w:spacing w:after="60"/>
      </w:pPr>
      <w:r>
        <w:t xml:space="preserve">Si los ingresos de Brasil caen más de un 10 % interanual en el 1T27 tras la interoperabilidad, revisión.</w:t>
      </w:r>
    </w:p>
    <w:p>
      <w:pPr>
        <w:pStyle w:val="ListParagraph"/>
        <w:numPr>
          <w:ilvl w:val="0"/>
          <w:numId w:val="2"/>
        </w:numPr>
        <w:spacing w:after="60"/>
      </w:pPr>
      <w:r>
        <w:t xml:space="preserve">Por encima de 40,93 EUR, Vender; por debajo de 32,03 EUR la regla da Comprar, pero no se compra con la sostenibilidad «En parte».</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1 % anual durante nueve años: que los topes de Italia, Brasil y, después, Francia dejan el beneficio plano.</w:t>
      </w:r>
    </w:p>
    <w:p>
      <w:pPr>
        <w:keepNext/>
        <w:spacing w:after="100"/>
      </w:pPr>
      <w:r>
        <w:rPr>
          <w:b/>
          <w:bCs/>
        </w:rPr>
        <w:t xml:space="preserve">Lo que creemos nosotros.</w:t>
      </w:r>
    </w:p>
    <w:p>
      <w:pPr>
        <w:spacing w:after="100"/>
      </w:pPr>
      <w:r>
        <w:t xml:space="preserve">Un EBITDA que vuelve a crecer un 8 % en 2027-2028, igual que el consenso, con un posible tope francés solo desde 2028 y en el bajista.</w:t>
      </w:r>
    </w:p>
    <w:p>
      <w:pPr>
        <w:keepNext/>
        <w:spacing w:after="100"/>
      </w:pPr>
      <w:r>
        <w:rPr>
          <w:b/>
          <w:bCs/>
        </w:rPr>
        <w:t xml:space="preserve">Por qué podemos tener razón.</w:t>
      </w:r>
    </w:p>
    <w:p>
      <w:pPr>
        <w:spacing w:after="100"/>
      </w:pPr>
      <w:r>
        <w:t xml:space="preserve">La diferencia no está en las cifras (coinciden con la calle) sino en el múltiplo: el mercado pide un 10,2 % anual a un negocio sin capital y con un 4,4 % de dividendo. Podríamos tener razón si 2027 confirma la guía; podríamos no tenerla si el Senado endurece la ley.</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9,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Precio exigente para el mercado, no para el negocio</w:t>
      </w:r>
      <w:r>
        <w:t xml:space="preserve">: descuenta un 0,9 % de crecimiento anual frente al 4,6 % del base.</w:t>
      </w:r>
    </w:p>
    <w:p>
      <w:pPr>
        <w:pStyle w:val="ListParagraph"/>
        <w:numPr>
          <w:ilvl w:val="0"/>
          <w:numId w:val="2"/>
        </w:numPr>
        <w:spacing w:after="60"/>
      </w:pPr>
      <w:r>
        <w:rPr>
          <w:b/>
        </w:rPr>
        <w:t xml:space="preserve">Ley francesa más suave de lo temido</w:t>
      </w:r>
      <w:r>
        <w:t xml:space="preserve">: sin tope legal; decreto posible solo desde el 1-ene-2028 [15].</w:t>
      </w:r>
    </w:p>
    <w:p>
      <w:pPr>
        <w:pStyle w:val="ListParagraph"/>
        <w:numPr>
          <w:ilvl w:val="0"/>
          <w:numId w:val="2"/>
        </w:numPr>
        <w:spacing w:after="60"/>
      </w:pPr>
      <w:r>
        <w:rPr>
          <w:b/>
        </w:rPr>
        <w:t xml:space="preserve">Caja y dividendo</w:t>
      </w:r>
      <w:r>
        <w:t xml:space="preserve">: 4,4 % de dividendo, 600 M de recompras en marcha y A- de S&amp;P [4, 7].</w:t>
      </w:r>
    </w:p>
    <w:p>
      <w:pPr>
        <w:pStyle w:val="ListParagraph"/>
        <w:numPr>
          <w:ilvl w:val="0"/>
          <w:numId w:val="2"/>
        </w:numPr>
        <w:spacing w:after="60"/>
      </w:pPr>
      <w:r>
        <w:rPr>
          <w:b/>
        </w:rPr>
        <w:t xml:space="preserve">Opcionalidad de capital</w:t>
      </w:r>
      <w:r>
        <w:t xml:space="preserve">: aproximación de fondos (jun-2026) y 8 % del grupo Niel en opciones [43, 44].</w:t>
      </w:r>
    </w:p>
    <w:p>
      <w:pPr>
        <w:pStyle w:val="ListParagraph"/>
        <w:numPr>
          <w:ilvl w:val="0"/>
          <w:numId w:val="2"/>
        </w:numPr>
        <w:spacing w:after="60"/>
      </w:pPr>
      <w:r>
        <w:rPr>
          <w:b/>
        </w:rPr>
        <w:t xml:space="preserve">Guía confirmada tras el 3T26</w:t>
      </w:r>
      <w:r>
        <w:t xml:space="preserve">: 2026 en −10/−7 % comparable y 2027-2028 en +8/+12 % de EBITDA [12].</w:t>
      </w:r>
    </w:p>
    <w:p>
      <w:pPr>
        <w:pStyle w:val="Heading2"/>
      </w:pPr>
      <w:r>
        <w:t xml:space="preserve">En contra</w:t>
      </w:r>
    </w:p>
    <w:p>
      <w:pPr>
        <w:pStyle w:val="ListParagraph"/>
        <w:numPr>
          <w:ilvl w:val="0"/>
          <w:numId w:val="2"/>
        </w:numPr>
        <w:spacing w:after="60"/>
      </w:pPr>
      <w:r>
        <w:rPr>
          <w:b/>
        </w:rPr>
        <w:t xml:space="preserve">Regulación</w:t>
      </w:r>
      <w:r>
        <w:t xml:space="preserve">: tres reguladores con poder sobre el precio; la sostenibilidad es «En parte».</w:t>
      </w:r>
    </w:p>
    <w:p>
      <w:pPr>
        <w:pStyle w:val="ListParagraph"/>
        <w:numPr>
          <w:ilvl w:val="0"/>
          <w:numId w:val="2"/>
        </w:numPr>
        <w:spacing w:after="60"/>
      </w:pPr>
      <w:r>
        <w:rPr>
          <w:b/>
        </w:rPr>
        <w:t xml:space="preserve">Brasil</w:t>
      </w:r>
      <w:r>
        <w:t xml:space="preserve">: interoperabilidad plena en noviembre de 2026 (21 % de los ingresos) [22].</w:t>
      </w:r>
    </w:p>
    <w:p>
      <w:pPr>
        <w:pStyle w:val="ListParagraph"/>
        <w:numPr>
          <w:ilvl w:val="0"/>
          <w:numId w:val="2"/>
        </w:numPr>
        <w:spacing w:after="60"/>
      </w:pPr>
      <w:r>
        <w:rPr>
          <w:b/>
        </w:rPr>
        <w:t xml:space="preserve">Tipos</w:t>
      </w:r>
      <w:r>
        <w:t xml:space="preserve">: el other revenue (229 M, 17 % del EBITDA en 2025) baja con el BCE [1].</w:t>
      </w:r>
    </w:p>
    <w:p>
      <w:pPr>
        <w:pStyle w:val="ListParagraph"/>
        <w:numPr>
          <w:ilvl w:val="0"/>
          <w:numId w:val="2"/>
        </w:numPr>
        <w:spacing w:after="60"/>
      </w:pPr>
      <w:r>
        <w:rPr>
          <w:b/>
        </w:rPr>
        <w:t xml:space="preserve">Desaceleración</w:t>
      </w:r>
      <w:r>
        <w:t xml:space="preserve">: crecimiento intrínseco del 6,6 % en el 3T26 frente al 8,0 % del 1S26, y Payment Solutions en negativo [13].</w:t>
      </w:r>
    </w:p>
    <w:p>
      <w:pPr>
        <w:pStyle w:val="ListParagraph"/>
        <w:numPr>
          <w:ilvl w:val="0"/>
          <w:numId w:val="2"/>
        </w:numPr>
        <w:spacing w:after="60"/>
      </w:pPr>
      <w:r>
        <w:rPr>
          <w:b/>
        </w:rPr>
        <w:t xml:space="preserve">Gobierno mejorable</w:t>
      </w:r>
      <w:r>
        <w:t xml:space="preserve">: presidente y consejero delegado a la vez y hasta un 34 % de votos en contra de la remuneración [39].</w:t>
      </w:r>
    </w:p>
    <w:p>
      <w:pPr>
        <w:pStyle w:val="Heading2"/>
      </w:pPr>
      <w:r>
        <w:t xml:space="preserve">Qué tiene que pasar para que la tesis funcione</w:t>
      </w:r>
    </w:p>
    <w:p>
      <w:pPr>
        <w:spacing w:after="100"/>
      </w:pPr>
      <w:r>
        <w:t xml:space="preserve">La tesis depende de que el volumen siga creciendo al 6-8 % y de que Francia no tope por encima de lo que ya hizo Italia. La señal de que no se cumple: enmiendas del Senado con un porcentaje, o crecimiento comparable de los ingresos operativos por debajo del 3 % en el 4T26 o el 1T27.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ingresos operativos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(3T26); +6,6 % sin la reforma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Intrínseco &lt; 5 %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de los topes frente al volumen.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revenue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95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Rendimiento del float y efecto de los tipos.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operativos de Brasil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&gt;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Interoperabilidad de noviembre.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40 %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del BPA de 2028e.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8,8x / 8,8x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14,2x / 14,0x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 · 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Edenred nace del Ticket Restaurant, creado en 1962 por Jacques Borel en Francia, cinco años antes de que la ordenanza de 1967 diera régimen legal al título restaurante [1]. En los años setenta exportó la fórmula a Brasil, Italia, Bélgica, Alemania y España, y desde 1982 creció dentro de Accor, que diversificó la oferta (vale de alimentación en México en 1983, cheques guardería en Reino Unido en 1989) [1]. El 29 de junio de 2010 la junta de Accor aprobó la escisión de hoteles y servicios y Edenred empezó a cotizar en Euronext París [1]. Desde entonces el grupo pasó del papel al digital (más del 65 % del volumen emitido ya era digital en 2015), entró en movilidad con UTA (34 % en 2015) y en pagos a empresas, y multiplicó por 2,8 los ingresos totales y por 3,5 el EBITDA entre 2015 y 2025 (de 387 M a 1.360 M EUR) [1]. 2026 es un año de «rebase» por los topes de comisión en Italia y Brasil [5]: a nueve meses los ingresos operativos crecen un 0,6 % comparable y un 7,6 % sin ese efecto, y la empresa mantiene la guía de EBITDA (−10 % a −7 % comparable) y la vuelta a +8 %/+12 % en 2027-2028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Borel crea Crédit-Repas y lanza Ticket Restaurant, el primer título restaurante de Francia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ordenanza n.º 67-830 da régimen legal al título restaurante en Francia, base del monopolio de emisión regulada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Novotel SIEH compra Jacques Borel International, entonces primer emisor mundial de vales de comida; al año siguiente pasa a llamarse Accor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Ticket Alimentación en México: inicio de la diversificación más allá del vale de comida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Accor aprobada el 29-jun-2010: Edenred cotiza en Euronext París (SBF 120)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34 % de UTA (tarjetas de combustible en Europa): entrada en movilidad; más del 65 % del volumen emitido ya es digital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Autorité de la concurrence multa con 157,09 M EUR a Edenred (415,7 M EUR en total a los cuatro emisores y la CRT) por intercambio de información y cierre del mercado; la Cour de cassation anuló el fallo de apelación en octubre de 2025 por un vicio de procedimiento y el caso vuelve a la cour d'appel de París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prohíbe desde el 1-may-2023 las comisiones negativas a empleadores en el PAT y fija plazos de pago: primer paso de la regulación que culmina en 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 aplica desde el 1-sep-2025 el tope del 5 % a las comisiones a comercios (art. 37, ley 193/2024) y Brasil firma el decreto 12.712 (11-nov-2025) con topes del 3,6 % y 2 % y arranjo aberto [1, 5,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 de rebase: el impacto regulatorio resta 6,5 puntos al crecimiento de los ingresos operativos del 1S26 y 7,8 puntos en el 3T26 (−1,2 % comparable frente a +6,6 % intrínseco) [6, 12]; la Asamblea francesa adopta el 12-oct-2026 la ley Naegelen (papel fuera en 2028, facultad de tope por decreto), que el Senado verá en sesión el 19-nov-2026 [15, 32].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Edenred es una plataforma de pagos de uso específico: emite y procesa fondos «etiquetados» que las empresas dan a sus empleados o usan para gastos profesionales. Tiene tres líneas: </w:t>
      </w:r>
      <w:r>
        <w:rPr>
          <w:b/>
        </w:rPr>
        <w:t xml:space="preserve">Benefits &amp; Engagement</w:t>
      </w:r>
      <w:r>
        <w:t xml:space="preserve"> (65 % de los ingresos operativos del 1S26: vales de comida y alimentación, que pesan el 42 % del ingreso operativo proforma de 2025, y «Beyond Food»: regalos, movilidad al trabajo, bienestar, 24 %), </w:t>
      </w:r>
      <w:r>
        <w:rPr>
          <w:b/>
        </w:rPr>
        <w:t xml:space="preserve">Mobility</w:t>
      </w:r>
      <w:r>
        <w:t xml:space="preserve"> (28 %: tarjetas de combustible y peajes, mantenimiento, recarga eléctrica; 17 % combustible y 9 % «Beyond Fuel» en 2025) y </w:t>
      </w:r>
      <w:r>
        <w:rPr>
          <w:b/>
        </w:rPr>
        <w:t xml:space="preserve">Payment Solutions &amp; New Markets</w:t>
      </w:r>
      <w:r>
        <w:t xml:space="preserve"> (7 %: pagos a proveedores, cuentas virtuales) [6]. Da servicio a más de 1 millón de empresas clientes, más de 60 millones de usuarios y más de 2 millones de comercios afiliados, con un volumen de negocio cercano a 49.000 M EUR en 2025 [1]. Por geografía, Europa pesa el 60 %, Latinoamérica el 30 % y el resto del mundo el 10 % de los ingresos operativos del 1S26 [6]; a nueve meses de 2026 los pesos son 65 % Benefits &amp; Engagement, 28 % Mobility y 7 % Payment Solutions &amp; New Markets, y 59 % Europa, 31 % Latinoamérica y 10 % resto del mundo [12]. Desde el 1-ago-2026 Edenred Pay North America (antes CSI) consolida por puesta en equivalencia tras la entrada de Abry Partners, lo que resta 0,9 puntos al crecimiento publicado del 3T26 [12].</w:t>
      </w:r>
    </w:p>
    <w:p>
      <w:pPr>
        <w:pStyle w:val="Heading2"/>
      </w:pPr>
      <w:r>
        <w:t xml:space="preserve">Cómo gana dinero</w:t>
      </w:r>
    </w:p>
    <w:p>
      <w:pPr>
        <w:spacing w:after="100"/>
      </w:pPr>
      <w:r>
        <w:t xml:space="preserve">Cobra por los dos lados de la transacción y por el dinero en tránsito. Del lado de la empresa cliente, una comisión sobre el valor emitido (a menudo baja o nula en los grandes clientes); del lado del comercio, una comisión sobre el valor canjeado, que es la parte que regulan Italia, Brasil y, en el futuro, Francia; y en movilidad, comisiones por transacción y servicios de la tarjeta [1, 16]. Además, entre la emisión y el reembolso conserva los fondos de clientes (float) y cobra su rendimiento: «other revenue» de 171 M EUR en los nueve meses de 2026 (igual que un año antes) y un mínimo de 210 M EUR previsto en 2026, casi íntegramente margen; en el 3T26 lo sostuvieron el mayor float y tipos más altos de lo previsto, salvo en Brasil, donde el reembolso a 15 días lo reduce [12]. El modelo es muy recurrente (tasa de retención neta ~104 % en Benefits &amp; Engagement en 2025) y con apalancamiento operativo: el margen EBITDA llegó al 45,9 % en 2025 [24]. La sensibilidad clave es regulatoria: el impacto de Italia y Brasil restó 6,5 puntos al crecimiento de los ingresos operativos del 1S26 (8,0 % intrínseco frente a 1,5 % comparable) [6] y 7,8 puntos al del 3T26 (6,6 % frente a −1,2 %) [12].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Benefits &amp; Engagement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Payment Solutions &amp; New Markets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Benefits &amp; Engagement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Payment Solutions &amp; New Markets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ningún cliente supera el 10 % de los ingresos operativos (nota de segmentos) [4] y, según la empresa, el mayor cliente pesa menos del 1 % del volumen de negocio, el mayor comercio menos del 2 % del volumen canjeado y el mayor programa (país × solución) en torno al 10 % de los ingresos operativos [6]. Los programas más grandes son los vales de comida de Brasil (~10 % del ingreso operativo proforma de 2025), Italia (~10 %) y Francia (~7 %), y 24 países más suman el 15 % [6]. La tasa de retención neta de Benefits &amp; Engagement fue del ~104 % en 2025 [24]. El poder de precios del lado del comercio está ahora limitado por ley en Italia (5 %) y Brasil (3,6 %), y en Francia la Autorité de la concurrence midió en 2022 comisiones a comercios del 3,50 %-4,55 % para el título digital frente al 0,36 % de media cobrado a empleadores por los emisores históricos [16].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negocio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41.000 (2023)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 en dos años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 vales y volumen de transacciones de movilidad [1, 2]. No se publica por segmento en importe: solo crecimientos (1S26: Mobility más de +10 %, B&amp;E +7 % en comparable en Brasil e Italia)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intrínseco de ingresos operativos (sin efecto regulatorio)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(9M26); 6,6 %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pp en el trimestre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Comparable publicado: +0,6 % en 9M26 y -1,2 % en el 3T26 (+3,1 %, 0,0 % y -1,2 % en 1T, 2T y 3T). En 2025 el intrínseco fue 8,3 % [1, 5, 12]. Por línea en el 3T26: Benefits &amp; Engagement +5,8 % intrínseco (-5,9 % comparable), Mobility +10,7 %, Payment Solutions &amp; New Markets -0,5 %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Float (parte del circulante prefinanciada por clientes,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4.668 M a dic-25; fondos a reembolsar brutos 5.940 M y caja restringida 1.618 M a jun-26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revenue (rendimiento del float,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1S25 112, 2S25 117, 1S26 113; 9M26 171 M, igual que en 9M25 (3T26 58 M, -0,8 % publicado, -2,0 % comparable). Previsión de la empresa para 2026: al menos 210 M (en julio, unos 210 M) [1, 5,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41,8 % (-3,3 pp); margen EBITDA operativo 37,0 %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ARPU (EUR por usuario)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nuevo del plan Amplify25-28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operativos en Brasil e Italia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Brasil 271 / Italia 258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Brasil 279 / Italia 234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 -9,3 %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Brasil 576 e Italia 503, juntos el 39,5 % de los ingresos operativos [1, 4]. Sin cifra por país en el 3T26: Latinoamérica 221 M (-1,9 % comparable, +13,6 % intrínseco) y Europa 385 M (-2,2 % comparable, +2,9 % intrínseco), con Italia frenada por la base alta de pedidos anticipados del verano de 2025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comparable de Mobility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 +12,3 % (1T26 /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 (3T26); +11,0 %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Se mantiene en dos dígitos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operativos de Mobility: 202 M en el 3T26 (+16,3 % publicado) y 575 M en 9M26, el 28 % del grupo; combustible sostenido y Beyond Fuel (peajes, mantenimiento, carga eléctrica, fletes, IVA) a dos dígitos [12].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los </w:t>
      </w:r>
      <w:r>
        <w:rPr>
          <w:b/>
        </w:rPr>
        <w:t xml:space="preserve">pagos de uso específico para empresas</w:t>
      </w:r>
      <w:r>
        <w:t xml:space="preserve">: beneficios a empleados con ventaja fiscal (vales de comida y alimentación, regalos, movilidad), tarjetas de flota y movilidad, y pagos a proveedores. Edenred lo cifra en más de 1,7 billones de EUR de mercado total accesible, con un mercado «abordado» que crecería un 5-7 % anual entre 2025 y 2028 y una penetración inferior al 40 % en sus mercados históricos [1]; es la cifra de la empresa y no es independiente. Como contraste, usamos dos mercados nacionales medidos por terceros: Francia, con más de 10.000 M EUR de títulos restaurante emitidos en 2024 según la Commission nationale des titres-restaurant (CNTR) [16] frente a más de 8.500 M EUR en 2022 [25], y Brasil, donde el ecosistema de vales movió unos 150.000 M BRL en 2025 según la prensa [26]. El beneficio de Edenred depende sobre todo del vale de comida (42 % de su ingreso operativo proforma de 2025) [6], por lo que la cuota y la estructura se miden en ese mercado.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&gt; 10.000 M EUR de valor facial de títulos restaurante emitidos en Francia en 2024 (1.200 millones de títulos, 6 millones de asalariados, 235.000 empleadores) [16]; ≈ 150.000 M BRL movidos por los vales en Brasil en 2025 [26]; &gt; 1,7 billones de EUR de mercado total accesible según Edenred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de valor facial emitido de títulos restaurante en Franc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comisiones a comercios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Topes del 5 % en Italia (desde el 1-sep-2025) y del 3,6 % de MDR y 2 % de intercambio en Brasil (desde febrero de 2026): restaron 6,5 puntos al crecimiento de los ingresos operativos del 1S26 y 7,8 puntos en el 3T26, y llevan el EBITDA de 2026 a una caída del 7-10 % comparable (≈1.220-1.260 M EUR con el perímetro del 3T) [1, 5, 6, 12, 22]. Francia podrá topar por decreto desde 2028; el Senado la debate el 19-nov-2026 [15,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del vale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Francia el título digital pasó de menos del 20 % de las emisiones en 2018 a casi el 80 % en 2024, y la ley Naegelen suprime el papel desde el 1-ene-2028 [16]. El digital abre servicios añadidos, pero también la entrada de nuevos emisores.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facial y topes de exención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facial medio en Francia de 7,90 EUR en 2016 a 8,94 EUR en 2024 [16]; Bélgica sube el máximo de 8 a 10 EUR por día desde el 1-ene-2026 [27]; Italia exenta 10 EUR por día para el vale electrónico desde 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en pymes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Penetración inferior al 40 % de los mercados históricos según la empresa [1]; las nuevas pymes captadas crecieron más de un 10 % en el 1S26 [5]; en Francia los asalariados beneficiarios pasaron de 3,9 a 6,0 millones entre 2016 y 2024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sobre el float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rendimiento del float (other revenue) baja de 229 M EUR en 2025 a un mínimo de 210 M EUR en 2026 (guía elevada en el 3T26 por tipos más altos de lo previsto) por menores tipos en Brasil y por el plazo de reembolso de 15 días allí [5, 12,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Empleo y actividad (volumen de combustible)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depende del número de asalariados y de flotas: Pluxee cita en 2025 la debilidad de su cartera en trabajo temporal, consultoría e industria [28]; Mobility de Edenred creció un 10,7 % comparable en el 3T26, con algo de ayuda del precio del combustible, y Emiratos frena por el conflicto de Oriente Medio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emisores grandes (cuatro históricos con más del 99 % en Francia en 2022) [16], pero compiten con fuerza por las grandes cuentas: el tipo medio cobrado a empleadores por los históricos era del 0,36 % en 2022 y la mitad del valor emitido se colocaba al 0,001 % o menos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empresas y licitaciones públicas negocian comisiones nulas o negativas [16]; las pymes, que son el foco de crecimiento, tienen poco poder. Retención neta del ~104 % en Benefits &amp; Engagement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tecnología y redes de pago; Edenred procesa internamente más del 90 % de su volumen [24]. La red de aceptación francesa Conecs es de los cuatro emisores históricos a partes iguales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por regulación: el arranjo aberto obligatorio en Brasil desde el 11-may-2026 y la interoperabilidad plena hasta noviembre de 2026 [22, 26]; en Francia el fin del papel en 2028 elimina la ventaja de los históricos en licitaciones [16]. Swile entró en 2018 y compró Bimpli en 2022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vales viven de la exención fiscal: en Francia supone 2.100 M EUR para la Seguridad Social y 555 M EUR para el Estado en 2025 [16]. Un cambio fiscal o el pago en nómina los sustituiría; en movilidad, el coche eléctrico reduce el gasto en combustible.</w:t>
            </w:r>
          </w:p>
        </w:tc>
      </w:tr>
    </w:tbl>
    <w:p>
      <w:pPr>
        <w:spacing w:after="160" w:before="0"/>
      </w:pPr>
    </w:p>
    <w:p>
      <w:pPr>
        <w:pStyle w:val="Heading2"/>
      </w:pPr>
      <w:r>
        <w:t xml:space="preserve">Ciclo</w:t>
      </w:r>
    </w:p>
    <w:p>
      <w:pPr>
        <w:spacing w:after="100"/>
      </w:pPr>
      <w:r>
        <w:t xml:space="preserve">El volumen sigue al empleo y a la inflación, no al PIB: en 2022 la inflación elevó el valor facial (Francia: 8,25 EUR en 2022 y 8,94 EUR en 2024) y el uso en supermercados se amplió por ley [16]. Hoy el ciclo que importa es el regulatorio (el impacto de Italia ya está en la base desde septiembre de 2026; el de Brasil saldrá de la comparación entre marzo y mayo de 2027, estimación propia a partir de las fechas del tope y del arranjo aberto) [12]: Italia y Brasil ya han topado comisiones, Francia ha abierto la vía al tope y los emisores lo afrontan con el empleo europeo maduro (Pluxee cita macro débil en Europa continental) [28]. Las series del sector anteriores a 2016 no están en las fuentes leídas, así que no medimos el comportamiento en 2008-09; la ley francesa extendió el título a los teletrabajadores en las mismas condiciones que al personal presencial [16].</w:t>
      </w:r>
    </w:p>
    <w:p>
      <w:pPr>
        <w:pStyle w:val="Heading2"/>
      </w:pPr>
      <w:r>
        <w:t xml:space="preserve">Regulación</w:t>
      </w:r>
    </w:p>
    <w:p>
      <w:pPr>
        <w:spacing w:after="100"/>
      </w:pPr>
      <w:r>
        <w:rPr>
          <w:b/>
        </w:rPr>
        <w:t xml:space="preserve">Francia</w:t>
      </w:r>
      <w:r>
        <w:t xml:space="preserve">: la Asamblea adoptó el 12-oct-2026 en primera lectura la PPL n.º 2892 (texto adoptado n.º 352), con 87 votos a favor y ninguno en contra [15, 21]. No fija ningún tope: el nuevo art. L. 3262-1-3 permite topar por decreto en Conseil d'État, previo dictamen de la Autorité de la concurrence, la suma de comisiones a comercios, a un porcentaje que cubra costes y una «remuneración normal», con al menos seis meses para adaptar contratos [15]. Las enmiendas del 2,5 % (AS62, AS73) decayeron [19, 20]. Además: papel prohibido y uso en alimentación permanente desde el 1-ene-2028, prohibición de descuentos a empleadores por debajo del valor facial, transparencia anual de comisiones y uso en domingo [15]. Entra en vigor el 1-ene-2028 [15]; procedimiento acelerado (una lectura por cámara y, si discrepan, comisión mixta) [17, 18]. A 21-oct-2026 el texto está en la comisión de asuntos sociales del Senado: enmiendas de comisión hasta el 2-nov, informe y texto el 3-nov, enmiendas de sesión hasta el 12-nov y </w:t>
      </w:r>
      <w:r>
        <w:rPr>
          <w:b/>
        </w:rPr>
        <w:t xml:space="preserve">debate en sesión el jueves 19-nov-2026</w:t>
      </w:r>
      <w:r>
        <w:t xml:space="preserve">, «sous réserve de sa transmission» [32]. El tope sigue sin cifra: la ley solo habilita un decreto. Edenred no habló de la ley francesa en el comunicado ni en la presentación del 3T26 [12, 13]. </w:t>
      </w:r>
      <w:r>
        <w:rPr>
          <w:b/>
        </w:rPr>
        <w:t xml:space="preserve">Brasil</w:t>
      </w:r>
      <w:r>
        <w:t xml:space="preserve">: decreto 12.712 (topes 3,6 %/2 %, reembolso en 15 días, arranjo aberto con más de 500.000 trabajadores, interoperabilidad a 360 días) [22]; el STF no admitió la ADI 7.962 [23]; la interoperabilidad (cualquier tarjeta en cualquier terminal) vence en noviembre de 2026, 360 días después de la publicación del decreto el 12-nov-2025 [34], y en la conferencia del 3T26 la dirección dijo que el open loop avanza despacio y que todos los operadores siguen aplicando los detalles [33]. </w:t>
      </w:r>
      <w:r>
        <w:rPr>
          <w:b/>
        </w:rPr>
        <w:t xml:space="preserve">Italia</w:t>
      </w:r>
      <w:r>
        <w:t xml:space="preserve">: tope del 5 % desde el 1-sep-2025 [1, 5]; desde septiembre de 2026 ya no afecta a la comparación interanual [12]. Sin novedades públicas del expediente A578 de la AGCM desde marzo [4].</w:t>
      </w:r>
    </w:p>
    <w:p>
      <w:pPr>
        <w:pStyle w:val="Heading2"/>
      </w:pPr>
      <w:r>
        <w:t xml:space="preserve">Tendencias y disrupción</w:t>
      </w:r>
    </w:p>
    <w:p>
      <w:pPr>
        <w:spacing w:after="100"/>
      </w:pPr>
      <w:r>
        <w:t xml:space="preserve">Tres tendencias, dos a favor y una en contra. A favor: la digitalización total (Francia en 2028) y la ampliación del uso a toda la alimentación y a los domingos aumentan el volumen y el valor de los datos del usuario, que Edenred quiere monetizar con servicios a comercios (pilar «Activate», 10-20 % del crecimiento previsto en 2025-28) [15, 24]. A favor también: la movilidad eléctrica y los peajes, donde Edenred compró TMH Solutions y Spirii [5]. En contra: la apertura regulada de las redes (arranjo aberto e interoperabilidad en Brasil, prohibición de exclusividad) convierte el vale en un medio de pago más y facilita la entrada de bancos y fintech (iFood Benefícios, Caju, Flash en Brasil; Swile en Francia) [16, 22, 23]. Y llega la concentración: según la prensa brasileña del 13-oct-2026, iFood negocia comprar Caju (iFood Benefícios: 1,5 millones de usuarios y 65.000 empresas; Caju: 1,3 millones y más de 70.000), sin confirmación de ninguna de las dos ni precio publicado [34]; los analistas preguntaron por ello en la conferencia del 3T26 [33]. Edenred gana con lo primero y pierde margen con lo segundo.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beneficios a empleados (Benefits &amp; Engagement): la empresa estima su cuota en 1,7 veces la del n.º 2 por ingresos operativos; y en movilidad en Brasil, 2,3 veces la del n.º 2 [24]. En Francia es uno de los cuatro emisores históricos que tenían más del 99 % del mercado en 2022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Pluxee (antes Sodexo Benefits &amp; Rewards)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2 mundial en beneficios. Ejercicio cerrado en agosto de 2025: ingresos totales de 1.287 M EUR (+10,6 % orgánico), EBITDA recurrente de 471 M EUR (36,6 %) y EBIT recurrente de 361 M EUR [28]. Volumen emitido de 24.500 M EUR. Expuesto igual que Edenred a Brasil (socio de Santander), Francia y Bélgica. Publica sus resultados anuales del ejercicio 2026 (cerrado el 31-ago) el 29-oct-2026 [35]: será la primera lectura del efecto completo de la reforma brasileña en un competidor directo.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Corpay (antes Fleetcor)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tarjetas de flota y pagos a proveedores. Ingresos de 4.528 M USD en 2025 (+13,9 %) y beneficio operativo de 1.994 M USD [29]; convertido a 1,175 USD/EUR [31]. A 21-oct-2026 no ha publicado su 3T26.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Tarjetas de flota, pagos corporativos y beneficios en EE. UU. Ingresos de 2.661 M USD en 2025 (+1,2 %) y beneficio operativo de 664 M USD [30]; convertido a 1,175 USD/EUR [31]. Publica el 3T26 el 28-oct-2026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Up (Groupe Up, cooperativa)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 de los cuatro emisores históricos franceses; multado con 45 M EUR en 2019 [16]. Sociedad cooperativa sin cuentas recientes accesibles.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Swile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2018 con tarjeta digital, compró Bimpli (Natixis) en diciembre de 2022 y ya está entre los cuatro grandes de Francia [16]; también opera en Brasil. No cotiza. Sin novedades corporativas localizadas desde el 19-oct.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Alelo y VR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Ticket (Edenred) y Pluxee forman el grupo de grandes operadoras afectadas por la apertura de redes del decreto 12.712 y que recurrieron a la justicia [23, 26]. Novedad: iFood (iFood Benefícios) negocia comprar Caju, según Pipeline/Valor (13-oct-2026), sin confirmar [34]; la combinación rondaría 2,8 millones de usuarios.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dos lados: más de 2 millones de comercios y más de 60 millones de usuarios [13]. La Autorité de la concurrence señala los efectos de red como barrera de entrada [2]. Pero el arranjo aberto y la interoperabilidad en Brasil obligan a compartir la red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de ~104 % [14], pero las grandes cuentas cambian de emisor por licitación con comisiones casi nulas (0,36 % de media en Francia en 2022)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Ticket Restaurant desde 1962 y licencias reguladas de emisión por país [13]; la marca no impidió los topes regulatorios.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Procesa internamente más del 90 % del volumen e invirtió unos 520 M EUR en producto y tecnología en 2025 [14]; margen EBITDA del 45,9 % en 2025 frente al 36,6 % de Pluxee [14,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emisores en cada país (cuatro con más del 99 % en Francia) [2], pero la regulación rebaja el beneficio por unidad (topes en Italia, Brasil y potencialmente Francia) y atrae a nuevos entrantes.</w:t>
            </w:r>
          </w:p>
        </w:tc>
      </w:tr>
    </w:tbl>
    <w:p>
      <w:pPr>
        <w:spacing w:after="160" w:before="0"/>
      </w:pPr>
    </w:p>
    <w:p>
      <w:pPr>
        <w:pStyle w:val="Heading2"/>
      </w:pPr>
      <w:r>
        <w:t xml:space="preserve">Amenazas</w:t>
      </w:r>
    </w:p>
    <w:p>
      <w:pPr>
        <w:spacing w:after="100"/>
      </w:pPr>
      <w:r>
        <w:t xml:space="preserve">La principal amenaza es regulatoria y ya se ha materializado en sus dos mercados más grandes después de Francia: Italia (5 %) y Brasil (3,6 %), cada uno con ~10 % del ingreso operativo [6]. Probabilidad alta de que Francia (~7 %) imponga un tope por decreto en 2028-2029: el texto lo permite y el 2,5 % fue propuesto por varios grupos [15, 19, 20]; el Senado lo debate el 19-nov-2026 y puede endurecerlo o suavizarlo [32]. Segunda amenaza, la desintermediación: con la red abierta en Brasil desde mayo de 2026 y la interoperabilidad hasta noviembre de 2026, los vales se aceptan como cualquier tarjeta y bancos y fintech compiten por la emisión [22, 26]; la posible compra de Caju por iFood crearía un rival con escala (≈2,8 millones de usuarios) justo cuando vence la interoperabilidad [34]. Tercera, los expedientes de competencia (Italia, cierre antes de sep-2027; Francia, nuevo juicio de apelación) [4, 16].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spacing w:after="100"/>
      </w:pPr>
      <w:r>
        <w:t xml:space="preserve">Crecimiento anual compuesto 2020-2025: ingresos </w:t>
      </w:r>
      <w:r>
        <w:rPr>
          <w:b/>
          <w:bCs/>
        </w:rPr>
        <w:t xml:space="preserve">15,1 %</w:t>
      </w:r>
      <w:r>
        <w:t xml:space="preserve">, EBITDA </w:t>
      </w:r>
      <w:r>
        <w:rPr>
          <w:b/>
          <w:bCs/>
        </w:rPr>
        <w:t xml:space="preserve">18,6 %</w:t>
      </w:r>
      <w:r>
        <w:t xml:space="preserve">, BPA </w:t>
      </w:r>
      <w:r>
        <w:rPr>
          <w:b/>
          <w:bCs/>
        </w:rPr>
        <w:t xml:space="preserve">16,9 %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totales pasaron de 1.465 M en 2020 a 2.961 M en 2025 (TCAC 15 %), con dos motores que no se repiten: la subida de tipos, que multiplicó el «other revenue» por 5,5 (42 M en 2020, 247 M en 2024), y las compras (Reward Gateway 2023; RB, Spirii, IP y PagBem 2024) [1, 2, 3]. En 2025 el comparable fue +5,7 % y +6,2 % en ingresos operativos; la divisa restó 4,6 puntos y el perímetro sumó 2,6 [1]. El margen EBITDA subió de 39,6 % (2020) a 45,9 % (2025) por apalancamiento operativo (gastos operativos +1,3 % comparable en 2025, programa «Fit for Growth») y por el float [1]. 2026 es año de corrección: el EBITDA del 1S26 cayó un 6,0 % (616 M; -4,6 % comparable) por los topes de comisión en Italia y Brasil y un aumento de gastos del 7,7 % comparable por inversión en datos e IA [5]. Las ventas de nueve meses (21-oct) confirman la tendencia: ingresos totales 2.198 M (+1,0 % publicado, +0,6 % comparable) y 725 M en el 3T26 (0,0 % publicado, -1,3 % comparable); los ingresos operativos del trimestre, 667 M, caen un 1,2 % comparable pese a un +6,6 % intrínseco [12]. La guía 2026 (subida el 23-jul) sigue en -10 % a -7 % comparable y conversión FCF/EBITDA de al menos 35 %, pero su equivalente en euros baja a unos 1.220-1.260 M (antes 1.230-1.270) por el efecto perímetro de las operaciones cerradas en el 3T, sobre todo Edenred Pay North America en puesta en equivalencia desde el 1-ago-2026; para 2027 y 2028 se confirman +8 % a +12 % comparable y conversión de al menos 65 % a regulación y método constantes [5, 12]. El beneficio de 2023 (267 M) no es comparable: incluye 158 M de saneamiento del activo de la multa de la Autoridad de la Competencia francesa [2].</w:t>
      </w:r>
    </w:p>
    <w:p>
      <w:pPr>
        <w:pStyle w:val="Heading2"/>
      </w:pPr>
      <w:r>
        <w:t xml:space="preserve">Ajustes y partidas no recurrentes</w:t>
      </w:r>
    </w:p>
    <w:p>
      <w:pPr>
        <w:spacing w:after="100"/>
      </w:pPr>
      <w:r>
        <w:t xml:space="preserve">Se usan las cifras publicadas. EBITDA y EBIT son los de Edenred, que incluyen el «other revenue» (rendimiento del float: 229 M en 2025, 113 M en el 1S26) [1, 5]. Partidas no recurrentes bajo el EBIT en «otros ingresos y gastos»: 195 M en 2023 (multa francesa y costes), 28-46 M en los demás años, sobre todo reestructuraciones y costes de compras que se repiten; por eso el BPA propio los resta cada año. 2023 lleva además la entrada de Reward Gateway (consolidada desde el 16-may-2023) y 2024 las compras de IP (tarjetas de energía en Italia), RB y PagBem (Brasil) y Spirii [1,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Edenred publica ingresos trimestrales y EBITDA semestral; los segundos semestres son el ejercicio menos el primero (el BPA diluido de los 2S es diferencia y no cuadra exacto por el número de acciones) [1, 2, 4, 8, 9]. La fila del 3T26 solo tiene ingresos: no hay EBITDA ni beneficio trimestral [12]. Ingresos totales trimestrales: 724, 727, 726 y 784 M en 2025; 730, 743 y 725 M en el 1T, 2T y 3T26, con comparable de +3,1 %, 0,0 % y -1,3 % [5, 12].</w:t>
      </w:r>
    </w:p>
    <w:p>
      <w:pPr>
        <w:spacing w:after="100"/>
      </w:pPr>
      <w:r>
        <w:rPr>
          <w:b/>
        </w:rPr>
        <w:t xml:space="preserve">3T26 (21-oct-2026).</w:t>
      </w:r>
      <w:r>
        <w:t xml:space="preserve"> Ingresos operativos de 667 M, iguales que un año antes en euros (-1,2 % comparable, -0,9 puntos de perímetro, +2,2 de divisa) y +6,6 % intrínseco, por debajo del +8,0 % del 1S26 [12]. Benefits &amp; Engagement cae un 5,9 % comparable (424 M; +5,8 % intrínseco), con el tope brasileño ya en el trimestre entero y la apertura a sistemas abiertos desde el 11-may, e Italia frenada hasta finales de agosto y con una base alta por los pedidos que los clientes adelantaron en el verano de 2025 [12]. Mobility sigue a dos dígitos: 202 M, +10,7 % comparable y +16,3 % publicado [12]. Payment Solutions &amp; New Markets baja a 41 M (-0,5 % comparable, -15,8 % publicado por sacar EPNA del perímetro), con Emiratos frenado por el conflicto de Oriente Medio y la cola de la salida de Banking as a Service [12]. Por regiones, Latinoamérica +13,6 % intrínseco (-1,9 % comparable), Europa +2,9 % intrínseco (-2,2 %) y resto del mundo +6,6 % [12]. El other revenue se queda en 58 M (-2,0 % comparable): el float sube en Benefits salvo en Brasil y los tipos están más altos de lo previsto, pero baja el de PSNM [12].</w:t>
      </w:r>
    </w:p>
    <w:p>
      <w:pPr>
        <w:spacing w:after="100"/>
      </w:pPr>
      <w:r>
        <w:rPr>
          <w:b/>
        </w:rPr>
        <w:t xml:space="preserve">Guía.</w:t>
      </w:r>
      <w:r>
        <w:t xml:space="preserve"> Confirma -10 %/-7 % de EBITDA comparable en 2026 y conversión de al menos 35 %, y +8 %/+12 % y al menos 65 % en 2027 y 2028; el rango en euros baja 10 M, a unos 1.220-1.260 M, por perímetro y a tipos de cambio del 30-jun-2026; other revenue de al menos 210 M [12, 13]. La empresa no publica el consenso de ventas del trimestre ni hemos podido leer la conferencia del 21-oct: la caída de en torno al 5 % de la acción ese día no se puede atribuir con documento a ningún dato concreto. Lo más débil frente al 1S26 es la desaceleración del crecimiento intrínseco (6,6 % frente a 8,0 %), el giro a negativo de PSNM y la rebaja en euros de la guía, aunque sea contable [12].</w:t>
      </w:r>
    </w:p>
    <w:p>
      <w:pPr>
        <w:spacing w:after="100"/>
      </w:pPr>
      <w:r>
        <w:t xml:space="preserve">En la conferencia del 1S26 (23-jul-2026) el mensaje fue que 2026 es un «año de rebase» por la regulación en Italia y Brasil: subió la guía de EBITDA a -7 %/-10 % comparable (antes -8 %/-12 %) y detalló que el impacto italiano termina en julio-agosto de 2026 [5, 6]. Añadió la inversión acelerada en IA agéntica (conversión de pymes +20 puntos, coste de captación -30 %), gastos de eficiencia en 2026 para ahorrar en 2027-28 y la poda de cartera (Edenred Pay North America con Abry, África, Banking as a Service) [6, 10].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(2023: Reward Gateway, consolidada desde el 16-may-2023 (1.036 M de inversión, 1.092 M de fondo de comercio): entra entera en balance y solo 7,5 meses en la cuenta.; 2024: Negocio de tarjetas de energía de IP (Italia), comprado en diciembre de 2024: entra en balance, casi nada en la cuenta; más RB (Brasil) y Spirii (Dinamarca) en febrero y PagBem (Brasil). 504 M de compras en caja.).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patrimonio es negativo (-922 M a dic-25, -983 M a jun-26) por el registro a coste histórico de los activos aportados por Accor en la escisión de 2010, no por pérdidas [4]. La deuda neta publicada bajó a 1.241 M a dic-25 y subió a 1.764 M a jun-26 por la estacionalidad del float, el dividendo (308 M) y las recompras (98 M) [1, 4]; DN/EBITDA LTM de 1,3 veces. Pero esa deuda neta resta 3.313 M de caja y valores que en su mayoría son dinero de clientes: el float neto era 4.357 M y solo 1.618 M está en caja restringida (que no se resta). Estimación propia: si se considera que el float no cubierto por caja restringida (4.357 - 1.618 = 2.739 M) financia la caja libre, la caja propia sería unos 574 M y la deuda neta «sin float» unos 4.500 M (5.083 M de deuda y otros pasivos financieros menos 574), 3,4 veces el EBITDA LTM o 4,1 veces el EBITDA operativo LTM sin other revenue (1.092 M). Para el puente a jun-26: deuda bruta 4.773 M (bonos 3.991, OCEANE 395, bancos 118, descubiertos 269), arrendamientos 115 M, otros pasivos financieros 195 M, caja 1.609 M, otros valores 1.704 M, activos financieros corrientes 6 M, minoritarios contables 122 M, participadas 8 M [4]. En el campo caja de balance.historico va caja más otros valores negociables (definición de la empresa), por lo que la deuda neta que calcule el motor (sin los otros pasivos financieros) queda unos 190 M por debajo de la publicada. El cuadro de bonos del informe semestral sigue listando el bono de marzo de 2026 ya amortizado; la presentación muestra un bono nuevo de 500 M con vencimiento en 2033 [4, 6].</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4.496</w:t>
      </w:r>
      <w:r>
        <w:t xml:space="preserve">, conversión </w:t>
      </w:r>
      <w:r>
        <w:rPr>
          <w:b/>
          <w:bCs/>
        </w:rPr>
        <w:t xml:space="preserve">201 %</w:t>
      </w:r>
      <w:r>
        <w:t xml:space="preserve"> del beneficio neto; adquisiciones 1.832, dividendos 1.333, recompras 575.</w:t>
      </w:r>
    </w:p>
    <w:p>
      <w:pPr>
        <w:spacing w:after="100"/>
      </w:pPr>
      <w:r>
        <w:t xml:space="preserve">El flujo operativo incluye la variación del float y de la caja restringida, que lo hacen muy volátil: en 2020 el circulante aportó 1.039 M y la caja restringida restó 770 M; en 2025 aportaron 239 M y 171 M (410 M de los 1.270 M) [1, 3]. Para ver la caja que genera el negocio es mejor el FFO (fondos de las operaciones antes de otros ingresos y gastos): 475 M en 2020, 556 M en 2021, 673 M en 2022, 730 M en 2023, 870 M en 2024 y 899 M en 2025 [1, 2, 3]. Estimación propia: FFO menos capex menos arrendamientos dio unos 658 M en 2025, frente a un FCF publicado de 1.111 M (flujo operativo sin otros ingresos y gastos menos capex); la diferencia es crecimiento del float. Con la regulación brasileña (reembolso al comercio en 15 días) el float de Brasil se reduce y por eso la guía de conversión FCF/EBITDA de 2026 es solo ≥35 % [5]. El capex (198 M en 2025, 6,7 % de los ingresos en 1S26) es sobre todo desarrollo de plataformas capitalizado; la empresa prevé 6-8 % de los ingresos y no separa mantenimiento y crecimiento [1, 6]. Los intereses pagados (148 M en 2025) van en el flujo operativo [1]. Pagos de arrendamientos: estimación propia igual a la amortización de derechos de uso (la empresa no los separa).</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Associés y Ernst &amp; Young Audit (cotitulares)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audita desde 2010 (16 años seguidos) y EY desde 2016 (10 años) [1]. Las cuestiones clave de auditoría de 2025 fueron la valoración del fondo de comercio e intangibles (4.361 M, 32 % del activo; el fondo de comercio se reasignó a las líneas de negocio sin deterioro) y el registro de los fondos a reembolsar (6.125 M, 45 % del activo), que depende de conciliar sistemas operativos y contabilidad [1]. Edenred capitaliza buena parte del desarrollo de software (capex 6-8 % de los ingresos) y amortiza 138 M al año de intangibles propios y 92 M de intangibles de compras [1]. Los pagos en acciones cuestan 23 M (4 % del beneficio) [1]. Los «otros ingresos y gastos», fuera del EBITDA, se repiten todos los años (28-46 M salvo 2023). El patrimonio negativo deja sin sentido el Altman Z y el ROE; el float hace que el circulante sea negativo y oscile mucho, lo que distorsiona los indicadores de devengo (Beneish, Piotroski): hay que leerlos con cuidado. El tipo efectivo es alto (32,7 % en 2025, 34,1 % en 1S26) por retenciones sobre dividendos de filiales [1, 4]. La hiperinflación de Argentina y Turquía restó 15 M al beneficio del 1S26 [4].</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EBITDA publicado incluye el rendimiento del float («other revenue»)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229 M en 2025 (17 % del EBITDA) y 113 M en 1S26; depende de los tipos de interés y del tamaño del float, que la regulación brasileña reduce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publicada neta de caja financiada por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 3.313 M de caja y valores a jun-26 frente a un float de 4.357 M; la caja restringida (1.618 M) no se resta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ingresos y gastos recurrentes fuera del EBITDA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28 y 46 M al año salvo 2023 (195 M, multa ADLC)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sin provisión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Consip en Italia (20 M embargados), inspecciones fiscales en Brasil e Italia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Errores de forma en el informe semestral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cuadro de bonos del 1S26 repite el de dic-25 (incluye el bono amortizado en marzo de 2026 y omite el nuevo) [4,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Pérdida de valor en Edenred Pay North America (ex-CSI)</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Abry invierte 75 M USD por preferentes convertibles en el 40 %, con valor mínimo implícito de 375 M USD; pasa a puesta en equivalencia; era un 1 % del EBITDA de 2025 [10].</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3.003 M en 2025 (el 657 % del capital invertido medio); ha subido más de un 5 % en 3 de 5 años: comprador en serie.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92,4 % · </w:t>
      </w:r>
      <w:r>
        <w:rPr>
          <w:b/>
          <w:bCs/>
        </w:rPr>
        <w:t xml:space="preserve">WACC</w:t>
      </w:r>
      <w:r>
        <w:t xml:space="preserve">: 8,3 %.</w:t>
      </w:r>
    </w:p>
    <w:p>
      <w:pPr>
        <w:spacing w:after="100"/>
      </w:pPr>
      <w:r>
        <w:t xml:space="preserve">El ROIC del motor (154,4 % en 2025) no sirve para comparar: el capital invertido es casi nulo (477 M) porque el circulante es muy negativo y el patrimonio contable es negativo (−922 M) por la escisión de Accor en 2010 [1, 4]. La lectura útil es otra: el negocio crece sin capital (capex del 6-8 % de los ingresos, casi todo desarrollo de plataformas) y el FFO pasó de 475 M en 2020 a 899 M en 2025 [1]. Sobre un capital operativo sin float (fondo de comercio 3.003 M, intangibles 1.358 M, inmovilizado y derechos de uso ≈ 276 M y circulante sin float de −933 M, ≈ 3.700 M), el NOPAT de 2025 (736 M) rinde en torno al 20 % (estimación propia), más de 11 puntos por encima del WACC del 8,26 %. Pluxee, el comparable más cercano, declara un ROIC del 13,4 % [85]. Lo que se erosiona es el margen por la regulación, no la intensidad de capital.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4.578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y equivalentes 1.609 M + otros valores negociables 1.704 M (3.313 M que la empresa resta en su deuda neta) + caja restringida 1.618 M que no resta; nueva línea de crédito sindicada de 900 M sin disponer (firmada el 22-jul-2026, vence en julio de 2031, sustituye a la de 750 M) y programas Neu CP de 750 M y Neu MTN de 250 M sin usar [4, 6]. Sin vencimientos de préstamos hasta el bono de 500 M de diciembre de 2026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Global Ratings: A- (Strong Investment Grade), perspectiva estable, confirmado en julio de 2026 [5].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financieros en la deuda [4]. Otros pasivos financieros a jun-26: 310 M (arrendamientos 115, depósitos 41, opciones de venta de minoritarios y pagos aplazados de compras 45, derivados 70, otros 39), todos dentro de la deuda neta publicada [4]. El gran pasivo no financiero es el float: 5.940 M de fondos a reembolsar a comercios (45 % del activo a dic-25), de los que 1.618 M están en caja restringida por ley (Francia 736, Bélgica 284, Reino Unido 167, EE. UU. 114…) [1, 4]. Contingencias sin provisión: Italia, proceso por la licitación Consip de 2019 con unos 20 M embargados [1]; Brasil, inspecciones fiscales por la amortización del fondo de comercio de Ticket Serviços (unos 72 M EUR entre principal, intereses y recargos, con aval bancario de 60 M) [1]; Italia, reclamaciones por los cánones de marca de 2014-2019 [1]; multa de 4,1 M en la República Checa recurrida [1]. La multa de 158 M de la ADLC francesa ya se pagó y se saneó en 2023 [2]. Las provisiones son pequeñas (31 M a jun-26) [4].</w:t>
      </w:r>
    </w:p>
    <w:p>
      <w:pPr>
        <w:pStyle w:val="Heading1"/>
      </w:pPr>
      <w:r>
        <w:t xml:space="preserve">12. Asignación de capital</w:t>
      </w:r>
    </w:p>
    <w:p>
      <w:pPr>
        <w:pStyle w:val="Confianza"/>
        <w:spacing w:after="100"/>
      </w:pPr>
      <w:r>
        <w:t xml:space="preserve">Confianza: Alta</w:t>
      </w:r>
    </w:p>
    <w:p>
      <w:pPr>
        <w:spacing w:after="100"/>
      </w:pPr>
      <w:r>
        <w:t xml:space="preserve">Dividendo progresivo, que sube cada año en valor absoluto: 1,33 EUR por acción por 2025 (+10 %), pagado el 12-jun-2026 (308 M) [1, 4]. Recompras para amortizar: 300 M en 2024 y ampliación de otros 300 M hasta noviembre de 2027; a 31-jul-2026 llevaba 17,2 millones de acciones por 500 M y firmó un mandato de 50 M hasta el 31-oct-2026, con intención de extenderlo hasta el 30-nov-2027 por 100 M menos lo comprado [7]. Aparte, otro mandato de 50 M (29-may al 31-oct-2026) para cubrir acciones de incentivos [5]. Capital a 30-jun-2026: 236.974.583 acciones; en circulación 230.816.910 (autocartera 6,16 millones); 241,8 millones con todas las acciones de desempeño y la OCEANE convertidas [4]. A 30-sep-2026, mismas 236.974.583 acciones emitidas y 231.277.363 con voto ejercible: autocartera de 5,70 millones (estimación propia por diferencia), sin amortizaciones en el trimestre [14]. Prioridades: capex 6-8 % de los ingresos, compras disciplinadas manteniendo el 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Reward Gateway (plataforma de reconocimiento de empleados, Reino Unido)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de 1.200 M emitidos en junio de 2023 (700 M a 2031 y 500 M a 2026)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M de ingresos y 17 M de EBIT en 7,5 meses de 2023; 1.092 M de fondo de comercio sin deterioro hasta 2025; 21 M al año de amortización de cartera de clientes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RB (transporte de empleados, Brasil), Spirii (carga eléctrica, Dinamarca), tarjetas de energía de IP (Italia) y PagBem (fletes, Brasil)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Aportaron 2,6 puntos de crecimiento en 2025; Mobility creció un 22 % en EBITDA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Mobility House Solutions (carga eléctrica B2B, Alemania) y el 49 % restante de Greenpass (peajes, Brasil)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no publicado; TMH firmada el 15-jun-2026 y no cerrada al 30-jun [4,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Pay North America (ex-CSI, comprada en 2019): entrada de Abry Partners (venta parcial)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de 75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Preferentes convertibles en el 40 % con valor mínimo implícito de 375 M USD; pasa a puesta en equivalencia; parte de la poda de cartera [10].</w:t>
            </w:r>
          </w:p>
        </w:tc>
      </w:tr>
    </w:tbl>
    <w:p>
      <w:pPr>
        <w:spacing w:after="160" w:before="0"/>
      </w:pPr>
    </w:p>
    <w:p>
      <w:pPr>
        <w:spacing w:after="100"/>
      </w:pPr>
      <w:r>
        <w:t xml:space="preserve">Entre 2020 y 2025 Edenred generó unos 5.700 M de flujo operativo y destinó 1.832 M a compras, 974 M a capex, 1.333 M a dividendos y 575 M a recompras [1, 2, 3]. Las compras grandes se concentran en 2023-2024 (Reward Gateway y cuatro operaciones en Mobility y Brasil); no han tenido deterioros, pero tampoco se han publicado sus múltiplos. Desde 2024 la prioridad gira hacia el accionista: 500 M de recompras en dos años y medio (unos 7 % del capital) y dividendo +10 % al año, con una deuda neta publicada estable. Las acciones diluidas bajaron de 264,5 millones (2023) a 240,1 millones (1S26) [4]; el capital emitido no cambió en el 3T26 [14]. Lectura: la caja que se reparte depende en parte del crecimiento del float; con la regulación brasileña y unos tipos menores, el margen para seguir recomprando sin subir la deuda es menor que lo que sugiere el FCF publicado.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Bertrand Dumazy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Exconsultor de Bain y consejero delegado de Materis (Cromology) antes de llegar a Edenred en octubre de 2015 [1]. Entre 2015 y 2025 los ingresos totales se multiplicaron por 2,8 (3.000 M EUR) y el EBITDA por 3,4 (1.400 M EUR) [40]; cumplió todas las guías anuales de 2019 a 2025 [52, 53, 54, 55, 56, 57, 58]. Tenía 175.166 acciones a 31-dic-2025 (0,07 %) [1]; recibió 53.385 acciones gratuitas de rendimiento el 24-feb-2026 y vendió 16.000 el 23-dic-2025 [41]. La junta de 2026 lo reeligió consejero con un 88,0 % a favor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Virginie Duperat-Vergne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Finanzas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Auditora en Arthur Andersen y Ernst &amp; Young, después en Canal+ y Technip (subdirectora financiera) y CFO de Gemalto y de Arcadis [1]. Nombrada el 12-mar-2025 para suceder a Julien Tanguy, entró el 2-jun-2025 [1]. Lleva el seguimiento del programa de eficiencia; aún no tiene historial medible propio más allá de la conversión de caja del 82 % de 2025 [58].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Constance Le Bouar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Estrategia y Transformación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y Pernod Ricard (estrategia y M&amp;A en Nueva York) antes de entrar en Edenred en 2021 [1]. Presentó el plan Amplify25-28 en la junta de 2026 [40]. Vendió 7.325 acciones a 28,75 EUR el 5-ago-2026, en máximos tras el rumor de compra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Diane Coliche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Movilidad (COO Mobility)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Banca de inversión en Morgan Stanley y grupo Casino (consejera delegada en 2019) antes de unirse a Edenred en 2023 [1]. Movilidad crece a doble dígito en 1T y 2T de 2026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Fabrizio Ruggiero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Beneficios y Compromiso (COO Benefits &amp; Engagement)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Accenture, Bain, Leasys (director general desde 2007) y Europcar (director general adjunto del grupo desde 2016); director general de Edenred Italia desde 2021 [45]. Sustituye desde el 28-sep-2026 a Arnaud Erulin, que deja el grupo tras 32 años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Philippe Relland-Bernard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general de Asuntos Jurídicos y Regulatorios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grupo desde 1999 (Accor Services) y responsable jurídico y regulatorio desde 2009 [1]; lleva los frentes de Brasil, Italia (investigación de la AGCM) y Francia. Vendió 8.500 acciones el 25 y el 26-feb-2026 tras recibir acciones de rendimiento [41].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entre 520 y 550 M EUR (anunciado a mitad de 2019); objetivos anuales del plan Next Frontier: ingresos operativos orgánicos &gt; +8 %, EBITDA orgánico &gt; +10 %, conversión FCF/EBITDA &gt; 65 %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545 M EUR; ingresos operativos +14 %, EBITDA +14 % orgánicos y conversión del 65 % [52]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entre 550 y 600 M EUR (año de la covid)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580 M EUR (−4,6 % orgánico)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EBITDA de al menos +6 %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670 M EUR, +18 % orgánico, «en el extremo alto del rango anunciado»; conversión del 77 % [54,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Mínimos anuales de Next Frontier: ingresos operativos &gt; +8 %, EBITDA &gt; +10 % y conversión &gt; 65 %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operativos +19,2 %, EBITDA +23,3 % orgánicos (836 M EUR); conversión del 85 % sin efectos regulatorios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Beyond22-25: EBITDA orgánico &gt; +12 % y conversión &gt; 70 %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1.094 M EUR, +33,9 % orgánico; conversión del 83 % [56]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Beyond22-25: EBITDA orgánico &gt; +12 % y conversión &gt; 70 %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1.265 M EUR, +19,0 % orgánico; conversión del 70 %, según la empresa «por encima de los objetivos» [57]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orgánico de al menos +10 % y conversión &gt; 70 %, ya rebajada desde el &gt; +12 % del plan por un impacto regulatorio de 60 M EUR (Italia) [57]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1.360 M EUR, +11,2 % orgánico; conversión del 82 % [58]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2022-2025 (plan Beyond22-25)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orgánico &gt; +12 % cada año y conversión FCF/EBITDA &gt; 70 % cada año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+33,9 % (2023), +19,0 % (2024) y +11,2 % (2025); conversión del 83 %, 70 % y 82 % [56, 57, 58]. El objetivo de 2025 se rebajó a ≥ +10 % antes de cerrar el plan [57]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Amplify25-28 (4-nov-2025): EBITDA orgánico de +2 % a +4 % [49]; rebajado el 12-nov-2025 a −8 %/−12 % por el decreto brasileño del PAT [51]; elevado el 23-jul-2026 a −7 %/−10 % (≈1.230-1.270 M EUR), conversión ≥ 35 % [5]; confirmada el 21-oct-2026 en −10 %/−7 % comparable, que en euros pasa a ≈1.220-1.260 M EUR por el efecto perímetro de las operaciones cerradas en el 3T (Edenred Pay North America con Abry Partners), y conversión ≥ 35 % [12,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con EBITDA de 616 M EUR, −4,6 % orgánico [5]; ventas operativas de nueve meses de 2.027 M EUR, +0,6 % comparable (+7,6 % sin la reforma de Italia y Brasil)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Dumazy lleva once años al frente y su historial es bueno: cumplió todas las guías anuales de 2019 a 2025, incluida la de 2020 en plena covid [52, 53, 54, 55, 56, 57, 58]. La credibilidad se resiente desde finales de 2025. El plan Amplify25-28 prometió +2/+4 % de EBITDA para 2026 y ocho días después la guía pasó a −8/−12 % por el decreto brasileño [49, 51]. Ese riesgo regulatorio ya se conocía, y en 2025 ya se había rebajado la meta del plan anterior [57]. La cúpula ha cambiado mucho: CFO nueva en junio de 2025, salida de Arnaud Erulin (responsable de Beneficios, 32 años en el grupo) en septiembre de 2026 [1, 45]. El presidente y consejero delegado es la misma persona y el informe no detalla un plan de sucesión para él. Fue reelegido en 2026 por cuatro años [40]. Con las ventas del 3T26 la dirección mantuvo la guía de 2026 y la de 2027-2028 (EBITDA +8/+12 % comparable y conversión ≥ 65 %), aunque rebajó 10 M EUR el rango en euros por perímetro [12]. La conferencia la llevó la CFO con el director de relaciones con inversores; según la transcripción publicada, no se habló de la ley francesa de los cheques comida, de recompras ni de la aproximación de los fondos [13, 61].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Bertrand Dumazy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Dominique D'Hinnin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Remuneraciones, Nombramientos y RSC;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Bernardo Sanchez Incera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Nathalie Balla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Sylvia Coutinho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Nombramientos y 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Kelly Richdale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Kristell Rivaille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Augustin de Romanet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Vallée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Compromisos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Cédric Appert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Nombramientos y 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Fanny Mitre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0,04 / ventas 1,08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Rock Investment (NJJ Holding, grupo familiar de Xavier Niel)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Opciones de compra (call) de liquidación en efectivo por defecto; puede pedir entrega física antes del primer vencimiento (ene-may 2027)</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Aparece el 28-jul-2026: 18.957.967 acciones por asimilación (8,00 % del capital, 7,89 % de los votos) en dos contratos de calls; no tiene acciones directas declaradas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Pale Fire Capital (fondo checo)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dic-2025: superó el 5 % el 10 y el 15-dic-2025; 5,14 % a 31-dic-2025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Goldman Sachs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(posición de negociación con préstamos de títulos y derivados)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cruzado el 5 % arriba y abajo desde feb-2026 (máximo del 6,80 % el 19-may-2026); 5,06 % del capital y 4,99 % de los votos el 19-jun-2026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Baillie Gifford &amp;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2,45 % (dic-2024) al 8,49 % (dic-2025) y bajó del 5 % el 4-jun-2026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Group (Capital World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10,12 % (ago-2025) al 6,67 % (dic-2025) y al 4,88 % el 21-may-2026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Harris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6,81 % (dic-2024) al 4,26 % (dic-2025)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el 27-feb-2026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Accionistas particulares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Minoristas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4,79 % en dic-2024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Plantilla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8.705.146 acciones a 30-sep-2026 (estimación propia: derechos de voto teóricos menos ejercitables) frente a 1.506.506 (0,64 %) a 31-dic-2025, por la recompra en curso; se amortizan [1, 7, 14]. El mandato de recompra de 50 M EUR firmado el 31-jul-2026 vence el 31-oct-2026; la intención es prorrogarlo hasta el 30-nov-2027 por 100 M EUR menos lo ya comprado, dentro del programa de hasta 600 M EUR anunciado el 3-dic-2024 [12]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Adoue (director general de RR. HH. y RSC)</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Augustin de Romanet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Kelly Richdale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Bertrand Dumazy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Adoue (director general de RR. HH. y RSC)</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Philippe Relland-Bernard (director general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Philippe Relland-Bernard (director general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Arnaud Erulin (director general de Beneficios, salió en sep-2026)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Adoue (director general de RR. HH. y RSC)</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Constance Le Bouar (directora general de Estrategia)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se devengaron 5,86 M EUR para el presidente y consejero delegado. Son 1,03 M de fijo, 1,73 M de variable anual y 3,10 M en acciones de rendimiento a valor NIIF 2 [1]. Además se aportaron 0,67 M a sus planes de pensiones (artículos 82 y 83) [1]. El variable anual objetivo es el 120 % del fijo (máximo del 180 %): un 65 % depende de EBITDA orgánico y BPA, un 30 % de objetivos de negocio (conversión de caja, crecimiento por producto y por canal) y el resto de RSC [1]. Las acciones del plan de 2025 dependen en un 55 % del EBITDA, un 20 % del TSR frente al SBF 120 y un 25 % de RSC, a tres años [1]. Ningún criterio mide el ROIC. El informe no menciona una cláusula de recuperación (clawback). La indemnización por cese tiene un tope de dos años de remuneración y lleva condiciones de rendimiento; no hay pacto de no competencia [1]. El voto en contra es alto y recurrente: la política de 2024 recibió un 34,3 % en contra y la remuneración de 2025, un 25,7 % en contra con 14,7 millones de abstenciones [37, 39]. La relación con el coste medio por empleado es de 74 veces en Francia [1].</w:t>
      </w:r>
    </w:p>
    <w:p>
      <w:pPr>
        <w:pStyle w:val="Heading2"/>
      </w:pPr>
      <w:r>
        <w:t xml:space="preserve">Operaciones vinculadas, estructura de control y defensas</w:t>
      </w:r>
    </w:p>
    <w:p>
      <w:pPr>
        <w:spacing w:after="100"/>
      </w:pPr>
      <w:r>
        <w:t xml:space="preserve">No hay accionista de control ni pactos parasociales; el capital flotante es del 99,4 % [1]. Rock Investment, de Xavier Niel, declara un 8 % mediante dos contratos de opciones de compra. Se liquidan en efectivo salvo que Rock pida entregar acciones antes del primer vencimiento, entre el 4-ene y el 31-may-2027 [43]. Hoy no le dan votos, pero son una vía para entrar de verdad. El 18-jun-2026 Edenred confirmó una aproximación exploratoria de fondos y dijo no tener información sobre la realidad de su interés [44]. Según la prensa, eran BC Partners con CVC, PSP, Apollo y CD&amp;R, a 27-28 EUR por acción. No consta oferta ni novedad posterior en los comunicados de la empresa ni en la AMF hasta el 21-oct-2026, y la nota del 3T26 no lo menciona [12, 42, 59, 60]. Los estatutos dan voto doble a las acciones nominativas con dos años de antigüedad (art. 24), aunque el efecto es pequeño: 236,97 millones de acciones y 239,98 millones de votos teóricos [1, 14]. No hay convenios vinculados [1].</w:t>
      </w:r>
    </w:p>
    <w:p>
      <w:pPr>
        <w:pStyle w:val="Heading2"/>
      </w:pPr>
      <w:r>
        <w:t xml:space="preserve">Señales de alerta</w:t>
      </w:r>
    </w:p>
    <w:p>
      <w:pPr>
        <w:pStyle w:val="ListParagraph"/>
        <w:numPr>
          <w:ilvl w:val="0"/>
          <w:numId w:val="2"/>
        </w:numPr>
        <w:spacing w:after="60"/>
      </w:pPr>
      <w:r>
        <w:t xml:space="preserve">Voto en contra alto y recurrente de la remuneración del presidente y consejero delegado: 34,3 % contra la política de 2024, 23,4 % contra la remuneración de 2024 en la junta de 2025, 16,9 % contra la política de 2026 y 25,7 % contra la de 2025 en la junta de 2026, con 14,7 millones de abstenciones [37, 38, 39].</w:t>
      </w:r>
    </w:p>
    <w:p>
      <w:pPr>
        <w:pStyle w:val="ListParagraph"/>
        <w:numPr>
          <w:ilvl w:val="0"/>
          <w:numId w:val="2"/>
        </w:numPr>
        <w:spacing w:after="60"/>
      </w:pPr>
      <w:r>
        <w:t xml:space="preserve">Rotación en la cúpula: CFO nueva desde jun-2025 (sustituye a Julien Tanguy) y salida del director general de Beneficios y Compromiso, Arnaud Erulin, en sep-2026 tras vender 12.800 acciones al día siguiente de que se confirmara la aproximación de los fondos [1, 41, 45].</w:t>
      </w:r>
    </w:p>
    <w:p>
      <w:pPr>
        <w:pStyle w:val="ListParagraph"/>
        <w:numPr>
          <w:ilvl w:val="0"/>
          <w:numId w:val="2"/>
        </w:numPr>
        <w:spacing w:after="60"/>
      </w:pPr>
      <w:r>
        <w:t xml:space="preserve">Ventas de directivos en máximos tras el rumor de compra (jul-ago 2026) y ninguna compra de la dirección en 12 meses; solo dos compras simbólicas de consejeros recién nombrados [41].</w:t>
      </w:r>
    </w:p>
    <w:p>
      <w:pPr>
        <w:pStyle w:val="ListParagraph"/>
        <w:numPr>
          <w:ilvl w:val="0"/>
          <w:numId w:val="2"/>
        </w:numPr>
        <w:spacing w:after="60"/>
      </w:pPr>
      <w:r>
        <w:t xml:space="preserve">Rock Investment (Xavier Niel) acumula un 8 % en calls con posible entrega física en ene-may 2027; la contraparte probable es una posición bancaria, y Goldman Sachs ronda el 5 % desde feb-2026 [42, 43].</w:t>
      </w:r>
    </w:p>
    <w:p>
      <w:pPr>
        <w:pStyle w:val="ListParagraph"/>
        <w:numPr>
          <w:ilvl w:val="0"/>
          <w:numId w:val="2"/>
        </w:numPr>
        <w:spacing w:after="60"/>
      </w:pPr>
      <w:r>
        <w:t xml:space="preserve">Mucha rotación en el consejo: Thierry Delaporte, que entró en la junta de 2025, dimitió en oct-2025, y Monica Mondardini, renovada en 2025 con un 23,1 % en contra, también dimitió. Ambos fueron sustituidos por cooptación (Romanet y Richdale). En la junta de 2026 salieron Jean-Romain Lhomme y Maëlle Gavet, y el consejo pasó de 13 a 11 miembros [1, 38, 40, 47, 48].</w:t>
      </w:r>
    </w:p>
    <w:p>
      <w:pPr>
        <w:pStyle w:val="ListParagraph"/>
        <w:numPr>
          <w:ilvl w:val="0"/>
          <w:numId w:val="2"/>
        </w:numPr>
        <w:spacing w:after="60"/>
      </w:pPr>
      <w:r>
        <w:t xml:space="preserve">La autoridad de competencia italiana (AGCM) abrió en mar-2026 una investigación a Edenred Italia por posible abuso de posición dominante en vales de comida [46].</w:t>
      </w:r>
    </w:p>
    <w:p>
      <w:pPr>
        <w:pStyle w:val="ListParagraph"/>
        <w:numPr>
          <w:ilvl w:val="0"/>
          <w:numId w:val="2"/>
        </w:numPr>
        <w:spacing w:after="60"/>
      </w:pPr>
      <w:r>
        <w:t xml:space="preserve">Presidente y consejero delegado en la misma persona; el contrapeso es un consejero independiente coordinador y vicepresidente (D'Hinnin), cuya reelección en 2024 recibió un 22,8 % en contra [39, 40].</w:t>
      </w:r>
    </w:p>
    <w:p>
      <w:pPr>
        <w:pStyle w:val="ListParagraph"/>
        <w:numPr>
          <w:ilvl w:val="0"/>
          <w:numId w:val="2"/>
        </w:numPr>
        <w:spacing w:after="60"/>
      </w:pPr>
      <w:r>
        <w:t xml:space="preserve">Guía de 2026 rebajada ocho días después de presentar el plan Amplify25-28 (de +2/+4 % a −8/−12 % de EBITDA orgánico) [49, 51].</w:t>
      </w:r>
    </w:p>
    <w:p>
      <w:pPr>
        <w:pStyle w:val="ListParagraph"/>
        <w:numPr>
          <w:ilvl w:val="0"/>
          <w:numId w:val="2"/>
        </w:numPr>
        <w:spacing w:after="60"/>
      </w:pPr>
      <w:r>
        <w:t xml:space="preserve">Con las ventas del 3T26 (21-oct-2026) la dirección no dio novedades sobre asignación de capital: la nota solo recuerda el mandato de recompra que vence el 31-oct-2026, y según la transcripción publicada la conferencia no trató la ley francesa de los cheques comida (Senado, 19-nov) ni las recompras [12, 61].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4-nov-2025 Edenred fijó el plan Amplify25-28: EBITDA +2-4 % en 2026 y +8-12 % anual en 2027-2028, con conversión de flujo libre sobre EBITDA superior al 65 % [82]. Tras el decreto brasileño y la reforma italiana, la guía de 2026 pasó a −8/−12 % comparable y el 23-jul-2026 se elevó a −7/−10 % [5]. </w:t>
      </w:r>
      <w:r>
        <w:rPr>
          <w:b/>
        </w:rPr>
        <w:t xml:space="preserve">El 21-oct-2026, con las ventas del 3T26, la confirmó</w:t>
      </w:r>
      <w:r>
        <w:t xml:space="preserve">: EBITDA −10 %/−7 % comparable y conversión ≥ 35 %, pero en euros el rango baja 10 M, a ≈ 1.220-1.260 M (antes 1.230-1.270), por el efecto de perímetro de las operaciones cerradas en el 3T (Edenred Pay North America en puesta en equivalencia desde el 1-ago) y con los tipos de cambio de 30-jun. Other revenue de 2026: al menos 210 M. Para 2027 y 2028 confirma EBITDA +8/+12 % comparable y conversión ≥ 65 % a regulación constante [12,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15 analistas, consultado el 21-oct-2026 (aún sin actualizar tras el 3T26: mismas cifras que el 19-oct) [63]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15 analistas, consultado el 21-oct-2026 (aún sin actualizar tras el 3T26: mismas cifras que el 19-oct) [63]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15 analistas, consultado el 21-oct-2026 (aún sin actualizar tras el 3T26: mismas cifras que el 19-oct) [63]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24,50 – 37,00</w:t>
            </w:r>
          </w:p>
        </w:tc>
      </w:tr>
    </w:tbl>
    <w:p>
      <w:pPr>
        <w:spacing w:after="160" w:before="0"/>
      </w:pPr>
    </w:p>
    <w:p>
      <w:pPr>
        <w:pStyle w:val="Heading2"/>
      </w:pPr>
      <w:r>
        <w:t xml:space="preserve">Revisiones de estimaciones</w:t>
      </w:r>
    </w:p>
    <w:p>
      <w:pPr>
        <w:spacing w:after="100"/>
      </w:pPr>
      <w:r>
        <w:t xml:space="preserve">A mediodía del 21-oct MarketScreener aún no recogía el 3T26: mismas estimaciones (EBITDA 2026e 1.254 M; BPA 2026e-2028e 1,83/2,15/2,42 EUR) y mismo objetivo medio (31,21 EUR; 24,50-37,00) [63, 64]. El trimestre superó el consenso de la empresa (ingresos totales 725 M frente a 709 M; operativos 667 M frente a 658 M) [99], pero el EBITDA 2026 en euros baja 10 M por perímetro [12]: cabe esperar ajustes pequeños a la baja en euros, no en comparable. Jefferies mantiene Mantener con objetivo de 27,5 EUR: la guía coincide con el consenso (−8 % orgánico) pero queda por debajo de su −5 % [100]; JP Morgan atribuye la ligera mejora a los ingresos operativos y a los intereses del float [99]. Antes, el 16-oct UBS subió de 19 a 28,50 EUR (Neutral) por la ley francesa [78] y el 21-sep Morgan Stanley recortó un 2 % ventas y EBITDA 2026-2028 [83]. En 12 meses el recorte es grande: la guía 2026 pasó de +2-4 % (nov-2025) a −7/−10 % comparable [5, 82]. Investing (19-oct): 15 analistas, 9 comprar, 5 mantener, 1 vender [65].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bl>
    <w:p>
      <w:pPr>
        <w:spacing w:after="160" w:before="0"/>
      </w:pPr>
    </w:p>
    <w:p>
      <w:pPr>
        <w:spacing w:after="100"/>
      </w:pPr>
      <w:r>
        <w:t xml:space="preserve">Índice: CAC 40 (precio); sector: iShares STOXX Europe 600 Financial Services (EXH2.DE). Todo en precio porque el CAC 40 no lleva dividendos; cierres hasta el 20-oct-2026 [62]. La rentabilidad a un año baja de +46 % (19-oct) a +17 % porque sale de la ventana el salto del 21-oct-2025 (+19,6 %, ventas del 3T25) [77]. Edenred perdió un 41 % en 2024 y un 40 % en 2025 por la regulación de los vales de comida (Italia y Brasil) y un plan 2026-2028 por debajo de lo esperado [82]. La caída máxima de cinco años (−73,4 %) va de junio de 2023 al 26-mar-2026, cuando bajó un 17,2 % al abrir la autoridad italiana de la competencia una investigación [46]. Desde ese mínimo (15,23 EUR) casi ha doblado: 1T26 mejor de lo temido [81], aproximación de fondos el 18-jun [44, 75], guía elevada el 23-jul [5] y el 8 % del grupo Niel en opciones [43]. El 21-oct cede un 5 % pese a unas ventas del 3T26 por encima del consenso [99, 100]. Beta mensual de 5 años 0,82 frente al CAC 40 (ajustada 0,88; semanal de 2 años 0,92) [62]. Posiciones cortas publicadas (≥ 0,5 %): Two Sigma 0,89 %, Ilex 0,71 % (9-oct) y AQR 0,51 % (14-sep) [70, 71, 72].</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 / +8,0 % / +30,9 % / +12,1 %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 +83,6 %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2027-03-02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por encima del consenso de la empresa (ingresos totales 725 M frente a 709 M; operativos 667 M frente a 658 M), pero −1,2 % comparable, Benefits −5,9 % y guía de EBITDA 2026 confirmada solo en comparable y recortada 10 M en euros por perímetro [12, 99]. Jefferies: resultados que «alcanzan justo el umbral» y toma de beneficios tras la subida [99, 100]. A las 10:40, 27,75 EUR (−5,0 %); 28,24 EUR (−3,4 %) en la última lectura [62].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4-sep a 1-oct-2026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Deriva de 30,45 a 26,84 EUR sin un hecho concreto identificado (mayor caída de un mes en seis meses: −10,5 % a 5-oct) [62]. En esas semanas Morgan Stanley recortó un 2 % sus estimaciones [83] y la ley francesa del título restaurante iba al pleno de la Asamblea [84]; se recuperó al votarse el texto sin tope inmediato.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Amplify25-28 con EBITDA 2026 de solo +2-4 % (4-nov, −8,6 % al cierre) [82] y decreto brasileño del 12-nov que topa comisiones y acorta el plazo de pago a 15 días; la guía de 2026 pasó a −8/−12 % comparable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causa identificada en fuentes tras dos búsquedas.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25/26-feb-2026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2025 (24-feb) con fuerte caja; al día siguiente un tribunal federal brasileño anuló la suspensión del decreto y la acción recayó un 5 % intradía [76].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AGCM italiana abre investigación a Edenred Italia por presunto abuso de posición dominante en vales de comida, tras queja de distribuidores [46].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desde mínimos y 1T26 con ingresos operativos de 673 M (+3,1 % comparable; +8,2 % sin los efectos regulatorios) [81].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descuento del dividendo de 1,33 EUR (≈ 6 puntos de la caída)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confirma una aproximación exploratoria de fondos; la prensa cita a BC Partners y a PSP como posible socio [44, 75]. El 22-jun cedió un 5,5 % sin noticia nueva identificada.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mejor de lo esperado y guía de EBITDA 2026 elevada a −7/−10 % comparable (23-jul) [5]; Rock Investment (grupo Niel) declara el 8 % del capital en opciones call (28-jul)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21-oct-2025 (en el borde de la ventana de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operativos del 3T25 de 667 M (+8,2 % comparable) frente a 653 M esperados [77]. Es la base del 3T26: el mismo trimestre que ahora cae un 1,2 % comparable.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ingresos operativos 667 M (0 % publicado, −1,2 % comparable, +6,6 % sin la reforma de Italia y Brasil); Benefits &amp; Engagement −5,9 %, Mobility +10,7 %, Payment Solutions −0,5 %; nueve meses 2.027 M (+0,6 % comparable). Other revenue de 58 M en el trimestre y ≥ 210 M en 2026. Guía 2026 confirmada (EBITDA −10/−7 % comparable), ≈ 1.220-1.260 M en euros (antes 1.230-1.270) por perímetro; 2027-2028 confirmados [12,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mantiene Mantener con objetivo de 27,5 EUR; JP Morgan ve una ligera mejora por ingresos operativos e intereses; AlphaValue: «guía confirmada, resiste Latinoamérica» [64, 99, 100]. Sin otros cambios de objetivo publicados a mediodía.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Próxima publicación: resultados anuales de 2026 el 2-mar-2027 (primera guía de 2027 en euros)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mantiene Neutral y sube el objetivo de 19 a 28,50 EUR (escenarios 15,75-40,25) porque la ley francesa aprobada por la Asamblea no topa comisiones de inmediato, sino por decreto desde 2028 [78].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Asamblea Nacional aprueba en primera lectura la proposición de ley n.º 2892 sobre el título restaurante (sin tope inmediato; decreto posible desde 2028); pasa al Senado. Sin novedad entre el 19 y el 21-oct; el comunicado del 3T26 no la menciona [12, 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Posiciones cortas publicadas: Two Sigma 0,89 % e Ilex 0,71 % a 9-oct; AQR 0,51 % a 14-sep [70, 71, 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Morgan Stanley mantiene Sobreponderar y sube el objetivo de 34 a 35 EUR; recorta ≈ 2 % ventas y EBITDA 2026-2028 por la salida de Edenred Pay North America y el euro [83].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Abry Partners invierte 75 M USD en Edenred Pay North America (≈ 1 % del EBITDA 2025) con preferentes convertibles en el 40 %; valor mínimo implícito del capital de 375 M USD; pasa a puesta en equivalencia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mandato de recompra de hasta 50 M EUR hasta el 31-oct-2026 (500 M y 17,2 M de acciones ya recompradas en la operación de 600 M hasta nov-2027); las acciones se amortizan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Rock Investment (NJJ, grupo familiar Niel) cruza el 5 % y declara 18.957.967 acciones (8,00 % del capital) mediante dos contratos de opciones call ejercitables entre el 4-ene y el 31-may-2027, liquidables en efectivo salvo que opte por entrega física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acciones procedentes de planes de rendimiento: C. Le Bouar 7.325 a 28,75 EUR (5-ago) y J. Adoue 2.000 a 28,57 EUR (29-jul); sin compras de directivos [79, 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confirma una aproximación exploratoria de fondos de inversión y dice no tener información sobre la realidad de su interés [44]; la prensa cita a BC Partners [75]. Sin oferta desde entonces.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baja del 5 % de los votos (5,06 % del capital, 19-jun) y Baillie Gifford baja del 5 % (4,99 %, 4-jun) por ventas en mercado [73, 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2026-03-26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Investigación abierta de la AGCM italiana a Edenred Italia por abuso de posición dominante, en curso [46].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21-oct (−5 % a media mañana) es la reacción a unas ventas que superan el consenso pero no lo bastante para una acción que había subido un 9 % desde el 1-oct (26,84 a 29,22 EUR): −1,2 % comparable, Benefits −5,9 % y 10 M menos de EBITDA 2026 en euros por perímetro, con la guía comparable intacta [12, 99, 100]. Son resultados publicados: no retrasan. La tendencia sigue alcista (precio un 23 % sobre la media de 200 sesiones) y está a un 7,5 % del máximo de 52 semanas. No hay colocación, oferta ni ampliación pendiente; la ley francesa no tiene novedad desde el 12-oct y su paso por el Senado no tiene fecha en las fuentes consultadas. Veredicto global: no cambia. Fuentes: comunicados de Edenred, AMF, Zonebourse, Tradingsat y MarketScreener.</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Edenred cotiza con un descuento grande frente a su historia: PER de los últimos 12 meses de 14,6 veces frente a una media de 34,5 (percentil 17) y EV/EBITDA de 9,0 frente a 15,1 [62]. El cambio es estructural, no de humor: entre 2024 y 2026 tres reguladores (Italia, Brasil y ahora Francia) han limitado comisiones o abierto la competencia, y los tipos que inflaron el «other revenue» ya bajan. La historia anterior a 2024 es de un negocio sin topes y con crecimiento de dos cifras; por eso la regla a 12 meses no supone volver a ella y el método lo controla con la v2.</w:t>
      </w:r>
    </w:p>
    <w:p>
      <w:pPr>
        <w:pStyle w:val="Heading1"/>
      </w:pPr>
      <w:r>
        <w:t xml:space="preserve">18. Comparables cotizados</w:t>
      </w:r>
    </w:p>
    <w:p>
      <w:pPr>
        <w:pStyle w:val="Confianza"/>
        <w:spacing w:after="100"/>
      </w:pPr>
      <w:r>
        <w:t xml:space="preserve">Confianza: Media</w:t>
      </w:r>
    </w:p>
    <w:p>
      <w:pPr>
        <w:spacing w:after="100"/>
      </w:pPr>
      <w:r>
        <w:t xml:space="preserve">Seis cotizadas de vales, tarjetas de empresa y pagos. Pluxee es el único rival directo en beneficios a empleados; Corpay y WEX, en tarjetas de flota y pagos corporativos (la otra mitad de Edenred, Mobility); Nexi, Adyen y Global Payments, en procesamiento de pagos. Excluida Worldline: EBITDA de 272 M en los últimos 12 meses, ROIC del 0,7 % y PER adelantado de 3,6 veces, múltiplos de reestructuración [91]. Sodexo (restauración), DKV, UTA y Swile (no cotizan) quedan fuera. Todas las cifras de Stock Analysis a 19-oct-2026 en sesión (capitalización, valor empresa, múltiplos de 12 meses, PER adelantado, ROIC y rentabilidad FCF) [85, 86, 87, 88, 89, 90], dólares al cambio del BCE del 19-oct (1,1225) [92]; crecimiento = ventas del ejercicio próximo sobre el actual del mismo proveedor (Corpay, MarketScreener [93]). EV/EBITDA de los próximos 12 meses en null: Stock Analysis no da EBITDA estimado y no se mezcla con otro proveedor.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Edenred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Pluxee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Adyen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 / 8,2x / 11,3x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9,4x / 12,7x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 / 3,0x / 6,0x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Mediana del PER de los próximos 12 meses: 9,5 veces (de 5,7 a 22,2). Edenred, a 30,05 EUR y con el BPA contable del consenso (2,10 EUR ponderando 2026e y 2027e [63]), cotiza a unas 14,3 veces: con prima frente a la mediana pero por debajo de Corpay (13,6 sobre BPA ajustado) y Adyen. Ojo con la base: el PER de Stock Analysis usa BPA ajustado (no NIIF) y el de Edenred es contable; con el BPA ajustado de Edenred (≈ 0,4 EUR más por acción en 2025) su PER bajaría a ≈ 12 veces. Los EV/EBITDA de Pluxee (2,1), WEX (5,9) y Adyen restan caja de clientes (float o depósitos bancarios), como el puente publicado de Edenred: no son comparables con los de Corpay o Global Payments. Nexi: el margen sale bajo porque Stock Analysis toma ingresos brutos de 6.320 M en los últimos 12 meses frente a unos 3.650 M netos estimados para 2026 [88]. El múltiplo más útil es el PER; Pluxee (10,1 veces) es la referencia directa del riesgo regulatorio de los vales.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Reward Gateway (plataforma de compromiso de empleados, Reino Unido y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1.150 M GBP; ventas de 95 M GBP y EBITDA de 45 M GBP en 2023; la empresa publica 20 veces el EBITDA 2023e tras sinergias; 25,6 veces antes de sinergias es cálculo propio. EUR a 1,15 EUR/GBP (estimación propia del cambio de mayo de 2023) [94].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 (procesamiento de pagos, países nórdicos y Centroeuropa)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por canje de acciones con valor empresa de 7.800 M EUR y valor del capital de 6.000 M; Nets facturó 1.100 M y ganó 387 M de EBITDA en 2019 pro forma; múltiplos de 2019 calculados [95].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Ingenico (terminales y pagos a comercios)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Worldline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mixta: valor del capital de 7.800 M EUR, unas 15 veces el EBITDA 2020e según la guía, prima del 24 % sobre la media ponderada de un mes [96].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 Group International (divisas y cuentas para empresas,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Corpay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en efectivo por un valor empresa de ≈ 2.200 M USD (capital de 2.400 M USD), prima del 55 % sobre el precio no afectado del 1-may-2025; el comunicado no da EBITDA [97]. EUR al cambio de la fecha de corte (estimación).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Pay North America (pagos B2B, EE. UU.), 40 % totalmente diluido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Abry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M USD por preferentes convertibles en el 40 % con acceso preferente a los primeros 150 M USD de valor: valor mínimo del capital de 375 M USD [10]. EBITDA ≈ 1 % del de Edenred en 2025 (≈ 13,6 M EUR, estimación propia): ≈ 25 veces. Excluida por la estructura preferente, que infla el valor implícito del 100 %.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20,2x (17,6x – 22,9x)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93,72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78,95 – 109,06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del sector se han pagado a 15-26 veces el EBITDA (2020-2023), con primas del 24-55 % en las OPA, muy por encima de las 6-7 veces a las que cotiza hoy Edenred sobre su EBITDA publicado. Edenred es objetivo plausible: confirmó el 18-jun-2026 una aproximación exploratoria de fondos (BC Partners, según la prensa) [44, 75], no tiene accionista de control y Rock Investment (grupo Niel) tiene opciones sobre el 8 % que vencen entre enero y mayo de 2027 [43]. Los frenos: tamaño (≈ 8.700 M EUR de valor empresa con la deuda neta publicada), regulación de comisiones en Francia, Italia y Brasil, y el float, que un comprador apalancado no puede usar libremente. Ninguna operación es de vales de comida puros, y los múltiplos de 2020 son de otro ciclo de tipos.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Dos motores [P]: ingresos operativos y rendimiento del float. 2026e fijo con la guía confirmada el 21-oct (EBITDA ≈ 1.220-1.260 M, −10/−7 % comparable; other revenue ≥ 210 M) [12, 13]: ingresos operativos de 2.740 M (+0,3 %; 2.027 M en nueve meses y un 4T de ≈ 710 M sin Edenred Pay North America) y EBITDA de 1.240 M. 2027e +5,5 % operativo: crecimiento intrínseco del 7,6 % en nueve meses (6,6 % en el 3T26) [13] menos el último efecto del tope italiano, la salida de Edenred Pay North America (≈ 1 punto) [10] y la interoperabilidad brasileña desde noviembre [22]. 2028e-2029e 6,5-6,0 %, por debajo del objetivo de la empresa (EBITDA +8/+12 %) y del crecimiento del mercado abordado (5-7 %) [1]; luego converge al 3 %.</w:t>
      </w:r>
    </w:p>
    <w:p>
      <w:pPr>
        <w:keepNext/>
        <w:spacing w:after="100"/>
      </w:pPr>
      <w:r>
        <w:rPr>
          <w:b/>
          <w:bCs/>
        </w:rPr>
        <w:t xml:space="preserve">Márgenes.</w:t>
      </w:r>
    </w:p>
    <w:p>
      <w:pPr>
        <w:spacing w:after="100"/>
      </w:pPr>
      <w:r>
        <w:t xml:space="preserve">Margen EBITDA operativo del 37,5 % en 2026e (37,0 % en el 1S26) [5], 39,3 % en 2027e y 40,3 % en 2028e, hasta el 41,0 % desde 2030e, que es el de 2025 antes de los topes (41,4 %) [1]. El other revenue: float del 1,62 veces los ingresos operativos (el de 2025) a un rendimiento que baja del 4,3 % al 3,5 % con los tipos. EBITDA total de 1.354 M en 2027e y 1.463 M en 2028e, prácticamente el consenso (1.352 y 1.460 M) [63].</w:t>
      </w:r>
    </w:p>
    <w:p>
      <w:pPr>
        <w:keepNext/>
        <w:spacing w:after="100"/>
      </w:pPr>
      <w:r>
        <w:rPr>
          <w:b/>
          <w:bCs/>
        </w:rPr>
        <w:t xml:space="preserve">Inversión y circulante.</w:t>
      </w:r>
    </w:p>
    <w:p>
      <w:pPr>
        <w:spacing w:after="100"/>
      </w:pPr>
      <w:r>
        <w:t xml:space="preserve">Capex del 8,2 % de los ingresos bajando al 7,7 %: 6-8 % de desarrollo (guía) más el 1,5 % de arrendamientos (NIIF 16) [1, 6]. Amortización del 9,0 % (incluye la del precio pagado por Reward Gateway) convergiendo al capex. Circulante sin float del −30 % de los ingresos (−31,5 % en 2025 y −33,1 % en 2024) [1].</w:t>
      </w:r>
    </w:p>
    <w:p>
      <w:pPr>
        <w:keepNext/>
        <w:spacing w:after="100"/>
      </w:pPr>
      <w:r>
        <w:rPr>
          <w:b/>
          <w:bCs/>
        </w:rPr>
        <w:t xml:space="preserve">Coste del capital.</w:t>
      </w:r>
    </w:p>
    <w:p>
      <w:pPr>
        <w:spacing w:after="100"/>
      </w:pPr>
      <w:r>
        <w:t xml:space="preserve">Tasa libre: Bund a 10 años, 3,48 % el 20-oct-2026 (Bundesbank) [68]. Beta 1,00: 1,02 mensual de 5 años frente al STOXX 600 (0,83 frente al CAC 40; semanales de 2 años 0,92-1,06) [62]. Prima de mercado del 5,5 % más 0,8 puntos por riesgo regulatorio (tres topes en dos años). Coste de la deuda del 4,2 % (bono de 500 M a 2033) y peso del 22 %. WACC 8,26 %. La regla relativa usa la prima implícita de Damodaran (4,20 %) [69].</w:t>
      </w:r>
    </w:p>
    <w:p>
      <w:pPr>
        <w:keepNext/>
        <w:spacing w:after="100"/>
      </w:pPr>
      <w:r>
        <w:rPr>
          <w:b/>
          <w:bCs/>
        </w:rPr>
        <w:t xml:space="preserve">Valor terminal.</w:t>
      </w:r>
    </w:p>
    <w:p>
      <w:pPr>
        <w:spacing w:after="100"/>
      </w:pPr>
      <w:r>
        <w:t xml:space="preserve">Gordon al 2,5 %: inflación del euro cerca del 2 % y crecimiento real bajo, coherente con un Bund del 3,49 %. El múltiplo implícito se compara con los comparables (EV/EBITDA de 6-13 veces) [85, 86, 87, 88, 89, 90].</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M (-6 %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 (reinvierte el 28 %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 (histórico: 92,4 %)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 frente al 4,1 %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-512 M, con un capex bruto medio del 7,9 % de las ventas). En un negocio de activos ligeros, el crecimiento medio del 4,1 %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crecimiento intrínseco del 8,0 % del 1S26 menos la interoperabilidad brasileña [5, 22]. Precio: último efecto del tope italiano en jul-ago [4]. Otros: salida de Edenred Pay North America y other revenue a la baja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6 % (5-7 % del mercado abordado [1]); comisión media constante. Otros: other revenue estable.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Desaceleración hacia el crecimiento del mercado.</w:t>
            </w:r>
          </w:p>
        </w:tc>
      </w:tr>
    </w:tbl>
    <w:p>
      <w:pPr>
        <w:spacing w:after="160" w:before="0"/>
      </w:pPr>
    </w:p>
    <w:p>
      <w:pPr>
        <w:spacing w:after="100"/>
      </w:pPr>
      <w:r>
        <w:t xml:space="preserve">El volumen se sostiene: crecimiento intrínseco del 8,0 % en el 1S26, más de 700.000 usuarios nuevos en 2025 y penetración baja fuera de Francia [1, 5], y no necesita capital (activos ligeros: la reinversión neta es negativa). Pero el precio lo fija cada vez más el regulador: Italia topó al 5 %, Brasil al 3,6 % con apertura e interoperabilidad, y Francia puede topar por decreto desde 2028 [15, 22]. La proyección no supone subidas de comisión y el tope francés está en el bajista, por eso no se rebaja el base; pero sin poder de precios demostrado la calidad sostiene el volumen, no el margen: «En parte». La prueba de cuota se hace a mano: la cuota publicada es solo de Francia y no hay estadística mundial comparable, así que no se da un mercado final.</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 (base: 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34,2 % (base: 44,2 %)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 (WACC: 8,3 %)</w:t>
            </w:r>
          </w:p>
        </w:tc>
      </w:tr>
    </w:tbl>
    <w:p>
      <w:pPr>
        <w:spacing w:after="160" w:before="0"/>
      </w:pPr>
    </w:p>
    <w:p>
      <w:pPr>
        <w:spacing w:after="100"/>
      </w:pPr>
      <w:r>
        <w:t xml:space="preserve">El DCF da 47,59 EUR por acción, un 58,4 % sobre el precio, con el 61 % del valor en el terminal. El DCF inverso dice que el precio descuenta un crecimiento del 1,0 % anual en 2027e-2035e (base 4,6 %) o un margen del 34,4 % (base 44,2 %), y una rentabilidad implícita del 10,2 % frente a un WACC del 8,26 %. Es una lectura conservadora frente a la historia (15,1 % de crecimiento anual en 2020-2025) y frente a la guía de la propia empresa para 2027-2028: el mercado paga un negocio que deja de crecer por la regulación. El valor depende de dos decisiones que se explican aparte: el trato del float (2.739 M de caja que no se consideran libres; con el criterio de la empresa el valor subiría unos 12 EUR) y la beta.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aprueba el decreto de tope en 2028 y la interoperabilidad brasileña quita cuota: crecimiento 2,5 puntos menor y margen 3 puntos más bajo, con un 2028 de −6 y −4 puntos. Es lo que ya pasó en Italia (ingresos −9 % en el 1S26) [4].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lo que hoy dice la guía: 2026 en la parte alta del −7/−10 % comparable y vuelta al crecimiento del EBITDA del 8 % en 2027-2028, sin tope francés hasta, como pronto, 2028 [5, 15].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Senado no endurece el texto, el decreto no llega o es suave y la plataforma de pymes y movilidad acelera: 1,5 puntos más de crecimiento y 1 de margen. Una oferta de un fondo sería un extra que no se valora [44].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29,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44,99 EUR (+54,0 %).</w:t>
      </w:r>
    </w:p>
    <w:p>
      <w:pPr>
        <w:spacing w:after="100"/>
      </w:pPr>
      <w:r>
        <w:t xml:space="preserve">Con probabilidades 25/50/25, el bajista vale 24,15 EUR (−19,6 %) y el alcista 63,36 (+110,8 %): asimetría de 5,65 veces en el valor intrínseco. A 12 meses, la regla común da 18,43 / 37,05 / 53,53 EUR (−34,2 % / +27,7 % / +82,6 %). El bajista es verosímil, porque ya ha ocurrido en Italia y Brasil, y pierde bastante más a 12 meses que en el DCF porque la regla le aplica el PER mínimo de cinco años (9,7 veces). Respecto a la iteración anterior, el bajista baja del 30 % al 25 %: la ley adoptada el 12-oct no fija el tope del 2,5 % que se temía y lo deja a un decreto posible desde 2028 [15, 19, 20].</w:t>
      </w:r>
    </w:p>
    <w:p>
      <w:pPr>
        <w:pStyle w:val="Heading1"/>
      </w:pPr>
      <w:r>
        <w:t xml:space="preserve">22. Suma de partes</w:t>
      </w:r>
    </w:p>
    <w:p>
      <w:pPr>
        <w:pStyle w:val="Confianza"/>
        <w:spacing w:after="100"/>
      </w:pPr>
      <w:r>
        <w:t xml:space="preserve">Confianza: Media</w:t>
      </w:r>
    </w:p>
    <w:p>
      <w:pPr>
        <w:spacing w:after="100"/>
      </w:pPr>
      <w:r>
        <w:t xml:space="preserve">No aplica: los tres segmentos comparten clientes, plataforma y float, y no hay comparables puros cotizados de cada uno con cifras homogéneas.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29,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43,51 EUR (+48,9 % sobre 29,22).</w:t>
      </w:r>
    </w:p>
    <w:p>
      <w:pPr>
        <w:spacing w:after="100"/>
      </w:pPr>
      <w:r>
        <w:t xml:space="preserve">Pesos: DCF 55, escenarios 35 y comparables 10; transacciones 0 (llevan prima de control y la aproximación de fondos de junio no ha dado oferta [44]). El DCF es el método más fiable para un negocio que no necesita capital y cuyo valor depende del crecimiento y de la regulación, que se ven mejor en flujos que en múltiplos. Los comparables pesan poco porque no hay ninguno igual (Pluxee cotiza sobre una caja de clientes enorme y los pagadores de flota estadounidenses tienen otra regulación) y porque su PER es ajustado mientras el de Edenred es contable [85, 86, 87, 88, 89, 90]. La dispersión es amplia: del bajista (24,15) a las transacciones (93,72 de mediana, con prima de control), con el DCF en 47,59 y el valor objetivo en 44,13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(13.4x) × 1.1 (tope: la mediana de 5 años, 21x,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+83,0 %</w:t>
            </w:r>
          </w:p>
        </w:tc>
      </w:tr>
    </w:tbl>
    <w:p>
      <w:pPr>
        <w:spacing w:after="160" w:before="0"/>
      </w:pPr>
    </w:p>
    <w:p>
      <w:pPr>
        <w:spacing w:after="100"/>
      </w:pPr>
      <w:r>
        <w:rPr>
          <w:b/>
          <w:bCs/>
        </w:rPr>
        <w:t xml:space="preserve">Objetivo a 12 meses (ponderado):</w:t>
      </w:r>
      <w:r>
        <w:t xml:space="preserve"> 35,51 EUR · rentabilidad +26,1 % (base +27,3 %) · señal Comprar.</w:t>
      </w:r>
    </w:p>
    <w:p>
      <w:pPr>
        <w:spacing w:after="100"/>
      </w:pPr>
      <w:r>
        <w:t xml:space="preserve">Para comparar, con la regla v2 (historia al cierre, mismo precio): 8,9x / 13,4x / 17,4x, 13,7 % Mantener; con el tope anterior del base (×1,3, 14-oct mediodía): 37,3 %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está cerca del consenso (2,18 frente a 2,15 en 2027e, +1,4 %; 2,44 frente a 2,42 en 2028e, +0,8 %), con un EBITDA de 1.445 M en 2028e frente a 1.460 M [63]; MarketScreener aún no había actualizado tras el 3T26 a mediodía del 21-oct. La diferencia de precio (base 35,87 frente al objetivo medio de 31,21, +14,9 %) viene del múltiplo: la regla común sube el PER de hoy (13,4x) un 10 % hacia su historia. Jefferies mantiene «conservar» con 27,5 EUR tras las ventas [E].</w:t>
      </w:r>
    </w:p>
    <w:p>
      <w:pPr>
        <w:keepNext/>
        <w:spacing w:after="100"/>
      </w:pPr>
      <w:r>
        <w:rPr>
          <w:b/>
          <w:bCs/>
        </w:rPr>
        <w:t xml:space="preserve">Del valor intrínseco al objetivo a 12 meses.</w:t>
      </w:r>
    </w:p>
    <w:p>
      <w:pPr>
        <w:spacing w:after="100"/>
      </w:pPr>
      <w:r>
        <w:t xml:space="preserve">El objetivo a 12 meses (35,51 EUR al cierre del 20-oct) queda por debajo del valor intrínseco (43,51 EUR): la distancia es la de un mercado que paga la regulación como permanente. Para cerrarla hacen falta dos cosas con fecha: que el Senado no endurezca la ley (19-nov) y que la guía de 2027 (2-mar-2027) confirme la vuelta al crecimiento del EBITDA. La cifra que decide para mantener la posición es la v2 de control (13,8 % ponderada, 16,5 % base), porque las variantes razonables se comparan y se comunica la peor.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de la ley de los cheques comida en el Senado (informe de la comisión el 3-nov)</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tope legal sería el mayor riesgo; sin tope, el decreto posible solo llega en 2028 [32].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Interoperabilidad plena de los vales en Brasil (360 días desde el decreto 12.712)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pérdida de cuota y de float en Brasil (21 % de los ingresos)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 (2026-2027)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Examen de la ley del título restaurante en el Senado y comisión mixta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tope legal o un decreto anticipado bajaría el valor; un texto igual al de la Asamblea lo deja para 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4-ene a 31-may-2027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Ventana de ejercicio de las opciones de Rock Investment (8 %)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pide entrega física, entra un accionista de referencia; si liquida en efectivo, nada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2026 y guía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(o no) de EBITDA +8/+12 % comparable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del 30-sep-2027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de la investigación de la AGCM italiana (A578)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 posible sin provisionar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Abierta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Oferta de fondos (aproximación confirmada el 18-jun-2026)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 de control; sin novedad desde junio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 de comisiones en Francia por decreto desde 2028 (o legal si el Senado endurece el texto)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−35 % (bajista del DCF −19,6 %; del 12 m −34,2 %)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ley no fija porcentaje y exige dictamen de la Autorité y seis meses de adaptación [15]; Francia es el 13 % de los ingresos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Enmiendas del Senado con tope; consulta de la Autorité</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Interoperabilidad y apertura en Brasil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ya opera con los topes; 1S26 Brasil +3 %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Brasil en el 3T y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que reduce el other revenue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pb de rendimiento ≈ −50 M de EBITDA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parciales y float que crece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Other revenue semestral por debajo de 100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Investigación de competencia en Italia (AGCM)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 máxima acotada; Edenred ya pagó 158 M en Francia en 2023 y siguió</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Comunicación de cargos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nuevos emisores digitales (Swile, Up) y a los bancos en Francia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y red de 2 millones de comercios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B&amp;E en Francia por debajo del mercado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presidente y consejero delegado a la vez, con votos de remuneración de hasta el 34 % en contra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de 9 independientes y consejero coordinador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en contra de la remuneración &gt; 35 %</w:t>
            </w:r>
          </w:p>
        </w:tc>
      </w:tr>
    </w:tbl>
    <w:p>
      <w:pPr>
        <w:spacing w:after="160" w:before="0"/>
      </w:pPr>
    </w:p>
    <w:p>
      <w:pPr>
        <w:pStyle w:val="Heading2"/>
      </w:pPr>
      <w:r>
        <w:t xml:space="preserve">Pre-mortem</w:t>
      </w:r>
    </w:p>
    <w:p>
      <w:pPr>
        <w:spacing w:after="100"/>
      </w:pPr>
      <w:r>
        <w:t xml:space="preserve">Octubre de 2029: la acción ha perdido un 40 %. En 2027 el Senado añadió al texto un tope del 2,5 % para el título digital y el decreto se aprobó en 2028; la comisión media en Francia pasó del 4 % al 2,5 %. A la vez, la interoperabilidad brasileña abrió el mercado a los bancos, que ofrecieron tarjetas sin comisión al comercio, y la cuota de Ticket cayó cinco puntos. El BCE bajó tipos y el other revenue perdió 60 M. El EBITDA de 2028 quedó en 1.220 M, por debajo del de 2025, y el mercado pagó 8 veces el beneficio, como en el mínimo de 2025. El indicador que lo habría avisado: las enmiendas del Senado y el crecimiento de los ingresos de Brasil en el 4T26.</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 a +3 %</w:t>
      </w:r>
    </w:p>
    <w:p>
      <w:pPr>
        <w:spacing w:after="100"/>
      </w:pPr>
      <w:r>
        <w:t xml:space="preserve">El negocio es una red regulada de emisión y aceptación de vales: la IA no sustituye el producto, cuyo valor viene de la ventaja fiscal y de la red de comercios. Puede bajar costes de atención, prevención del fraude y venta a pymes (Edenred ya la usa en la conciliación y en el servicio a comercios), y puede ayudar a competidores digitales a entrar más baratos. El riesgo indirecto es que plataformas de nómina y bancos con agentes de IA integren los beneficios sin intermediario. Señal: pérdida de clientes pymes frente a plataformas de nómina en Francia o Brasil.</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13,04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 (E:1, S:1)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71/100 (DJSI World y Europe)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77/100 (medalla de oro)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FTSE4Good</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Lo material para Edenred no es el carbono (es una plataforma digital) sino la </w:t>
      </w:r>
      <w:r>
        <w:rPr>
          <w:b/>
        </w:rPr>
        <w:t xml:space="preserve">gobernanza de mercado y la relación con los comercios</w:t>
      </w:r>
      <w:r>
        <w:t xml:space="preserve">. Primero, la regulación de comisiones: los topes de Italia (5 %) y Brasil (3,6 % de MDR y 2 % de intercambio) explican toda la caída del EBITDA de 2026 (guía de −7 % a −10 % comparable) [5], y Francia ha abierto la puerta a un tope por decreto desde 2028 [15]. Segundo, la conducta competitiva: multa francesa de 2019 (157,09 M EUR a Edenred) en nuevo juicio de apelación, expediente abierto por la autoridad italiana de competencia en marzo de 2026 y causa en Chile cubierta por clemencia [4, 16]. Tercero, la protección del float (fondos de clientes en caja restringida) y la ciberseguridad de una red de 60 millones de usuarios [1].</w:t>
      </w:r>
    </w:p>
    <w:p>
      <w:pPr>
        <w:pStyle w:val="Heading2"/>
      </w:pPr>
      <w:r>
        <w:t xml:space="preserve">Controversias</w:t>
      </w:r>
    </w:p>
    <w:p>
      <w:pPr>
        <w:spacing w:after="100"/>
      </w:pPr>
      <w:r>
        <w:t xml:space="preserve">Francia: decisión 19-D-25 de la Autorité de la concurrence (dic-2019), multa de 157,09 M EUR a Edenred France y Edenred SA; la Cour de cassation anuló el 15-oct-2025 el fallo de apelación por un motivo de procedimiento y el caso vuelve a la cour d'appel de París [16]. Italia: procedimiento A578 de la AGCM por presunto abuso de posición dominante en vales de comida, abierto el 17-mar-2026, cierre previsto antes del 30-sep-2027, sin provisión; y causa penal y administrativa por la licitación Consip de 2019, con unos 20 M EUR embargados y juicio previsto en 2027 [4]. Chile: requerimiento de la FNE ante el TDLC (26-may-2026), sin multa pedida a Edenred por la clemencia [4].</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comisión media cobra hoy en el título restaurante digital en Francia y cuánto EBITDA perdería con un tope del 2,5 %?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mayor riesgo del bajista y la empresa no lo ha cuantificado.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float y cuánta cuota espera perder con la interoperabilidad de noviembre?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es el 21 % de los ingresos y su float rinde por encima de la media.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Float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caja libre de la deuda neta procede del float y qué rendimiento tiene cubierto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unos 12 EUR por acción de valor y el other revenue.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¿Seguirá recomprando si sigue la aproximación de fondos?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Quedan 100 M del programa de 600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Italia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remedios ha ofrecido a la AGCM?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abierta sin provisión.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Guía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mantiene el +8/+12 % de EBITDA en 2027 con Edenred Pay North America fuera del perímetro?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Nuestro base supone +8,3 %.</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forum EDEN: hilo de los resultados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foreros leen la publicación como buena en el fondo (guía de EBITDA 2026 mejorada, objetivos 2027-2028 confirmados), pero la mayoría ve una toma de beneficios lógica tras la fuerte subida previa y espera una consolidación antes de volver a los 30 € [102].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forum EDEN: hilos sobre la OPA, Abry Partners y Xavier Niel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Domina la idea de que Edenred es «opéable»: se especula con un pool de fondos encabezado por BC Partners y se considera que un precio de 27-28 € sería regalarla; una minoría cree que la operación de Abry y la entrada de Niel alejan la OPA y que el riesgo regulatorio sigue intacto [103, 104].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forum EDEN: hilo de seguimiento de las posiciones cortas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Hilo dedicado a anotar las reducciones de cortos declaradas a la AMF; los participantes atribuyen buena parte de la subida a la recompra de cortos (short squeeze) y temen que los fondos bajistas vuelvan si se agota el catalizador [105].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forum EDEN: hilos de agosto y septiembre (30 €, Niel, recogida de beneficios, cambios en la dirección)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entrada de Rock Investment y la subida de Goldman Sachs, unos apuntan a 33-40 € y otros recogen parte de la plusvalía en torno a 29-30 €; en septiembre el debate se apaga: el último mensaje sigue siendo del 18-sep (consultado el 21-oct a media mañana, con el valor cayendo cerca del 5 %), así que no hay ni una reacción del foro a las ventas del 3T26 ni a la ley francesa del título restaurante [101, 106, 107].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ABC Bourse, forum Edenred (hilo «News - Recos»)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propio: los usuarios reproducen notas de prensa (resultados del 1S26, revisión de Morgan Stanley del 21-sep) con algún comentario escéptico de que la subida era una «baudruche-rumeur»; el 21-oct el foro de la valor no tiene ningún mensaje nuevo desde hace 30 días [108, 115].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(RSS de EDNMY/EDNMF, solo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dos artículos de autores independientes del trimestre pasan del entusiasmo («cerca del precio objetivo» el 30-ago) a una rebaja de recomendación por llegar a valor razonable (16-sep); el cuerpo y los comentarios están tras un muro y no se han podido leer [109].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económica del 21-oct (Reuters y AOF en Boursorama; ABC Bourse): notas de analistas citadas y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comentarios de lectores en las cuatro noticias del día; el debate lo ponen los analistas citados: Jefferies cree que las ventas «alcanzan justo el listón» gracias a unos «other revenue» de baja calidad y esperaba que el título bajase tras la subida reciente; JP Morgan atribuye la ligera batida al consenso a los ingresos operativos y a los intereses del float, y la prensa resume que la batida «no es suficiente» [111, 112, 113, 114].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Especulación con una OPA de fondos de capital riesgo (BC Partners y otros)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confirmó en junio haber sido abordada por fondos, pero no ha habido oferta desde entonces [110]. El foro da la OPA casi por hecha y a la vez dice que 27-28 € sería un precio insuficiente: el soporte especulativo existe, pero no es un dato y no debe entrar en la valoración [103, 104].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Xavier Niel (Rock Investment) en el capital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foreros la ven como un respaldo o un preludio de más compras, aunque reconocen que no se conocen sus intenciones; según la información que reproducen, parte de la participación es por asimilación mediante opciones de compra ejercitables en 2027, no acciones ya compradas: hay que comprobarlo en la declaración de la AMF (gobierno y capital) [104, 106].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Cierre de posiciones cortas como motor de la subida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ven en la salida de los cortos tanto la causa de la subida como un riesgo si vuelven; las cifras que citan no se usan aquí y las posiciones cortas deben salir del registro de la AMF [105, 107].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3T26: batida pequeña, de baja calidad y «sell the news»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la prensa, el revenue total (725 M) y el operativo (667 M) superaron el consenso compilado por la empresa (709 y 658 M), pero el valor cae cerca del 5 % con el SBF 120 al alza [111]. La crítica de Jefferies (la batida viene de los «other revenue», que dependen de los tipos) coincide con la presentación: el operativo cae un 1,2 % comparable y Benefits un 5,9 %; sin Italia y Brasil crecería un 6,6 %. Jefferies mantiene «conservar» con objetivo 27,5 € y espera −8 % orgánico de EBITDA de consenso frente a su −5 % [112]. Las cifras de la empresa deben salir de su presentación, no de la prensa.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del título restaurante (Italia, Brasil y Francia)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gran riesgo del caso y el foro apenas lo trata: solo algún aviso de que «nada está resuelto» en julio y ningún mensaje sobre la proposición de ley adoptada por la Asamblea el 12-oct, ni siquiera el día de las ventas (21-oct), con el Senado previsto el 19-nov. La prensa de analistas del 16-oct (UBS) lee que el texto no impone un tope inmediato pero permite fijarlo por decreto desde 2028 tras dictamen de la Autorité de la concurrence: el particular infravalora este riesgo [101, 104, 110].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la subida: ¿recoger beneficios en 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foro dudaba entre objetivos de 33-40 € «sin base» y ventas parciales en 29-30 €; el único analista independiente leído (Seeking Alpha) rebajó a valor razonable en septiembre y Jefferies esperaba la caída tras la subida de octubre. La reacción del 21-oct (de 29,22 € a unos 27,7 €) da la razón a quienes recogieron beneficios en 29-30 € y confirma que los bancos habían subido objetivos sin subir estimaciones (Morgan Stanley, UBS) [106, 108, 109, 110, 111, 112].</w:t>
            </w:r>
          </w:p>
        </w:tc>
      </w:tr>
    </w:tbl>
    <w:p>
      <w:pPr>
        <w:spacing w:after="160" w:before="0"/>
      </w:pPr>
    </w:p>
    <w:p>
      <w:pPr>
        <w:spacing w:after="100"/>
      </w:pPr>
      <w:r>
        <w:t xml:space="preserve">El particular francés pasó de la capitulación de comienzos de 2026 a un optimismo apoyado casi entero en catalizadores de capital (rumor de OPA, entrada de Niel, salida de cortos), no en el negocio, y desde mediados de septiembre está mudo: el 21-oct, con el valor cayendo cerca del 5 % tras las ventas del 3T26, no hay ni un mensaje en Boursorama ni en ABC Bourse. El tono lo marcan ahora los analistas: batida pequeña y apoyada en los intereses del float, Benefits a la baja y una subida previa que pedía recogida de beneficios. No hay capitulación ni euforia; hay una corrección de lo especulativo. Lo que sigue sin descontarse en el sentimiento minorista es la ley francesa (Senado, 19-nov). Si la OPA no llega, el soporte especulativo puede seguir desinflándose. No contradice a los analistas: va con su lectura prudente.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24 controles correctos y 6 explicados. Fuentes: 115 (67 primarias); citas distintas en el texto: 114.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42,3 %: explica la causa (créditos fiscales, regularizaciones, mezcla de países) y no lo proyectes en el DCF. Explicación: El 42,3 % de 2023 se debe a la multa de 158 M de la Autorité de la concurrence, no deducible y registrada en otros ingresos y gastos [2]. No se proyecta: el DCF usa el 33 %.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28 (¿asociadas o extraordinarios?). Explicación: Edenred deja «otros ingresos y gastos» (reestructuraciones, deterioros, costes de compras; 28-46 M al año y 195 M en 2023 por la multa) entre el EBIT y el BAI [1, 2, 3]. El BPA propio los resta (−37 M al año, media de 2024-2025).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25 (¿asociadas o extraordinarios?). Explicación: Edenred deja «otros ingresos y gastos» (reestructuraciones, deterioros, costes de compras; 28-46 M al año y 195 M en 2023 por la multa) entre el EBIT y el BAI [1, 2, 3]. El BPA propio los resta (−37 M al año, media de 2024-2025).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195 (¿asociadas o extraordinarios?). Explicación: Edenred deja «otros ingresos y gastos» (reestructuraciones, deterioros, costes de compras; 28-46 M al año y 195 M en 2023 por la multa) entre el EBIT y el BAI [1, 2, 3]. El BPA propio los resta (−37 M al año, media de 2024-2025).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46 (¿asociadas o extraordinarios?). Explicación: Edenred deja «otros ingresos y gastos» (reestructuraciones, deterioros, costes de compras; 28-46 M al año y 195 M en 2023 por la multa) entre el EBIT y el BAI [1, 2, 3]. El BPA propio los resta (−37 M al año, media de 2024-2025).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-30,0 % frente a -31,5 % real: genera una variación de circulante de 48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13,7 %: para comprar o ampliar hace falta motivo de negocio propio; para mantener basta la vigente. Explicación: La v2 de control da Mantener (13,4 %) y la sostenibilidad es «En parte»: el informe no da Comprar (ver la justificación de la recomendación). Para mantener basta la vigente.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115 fuentes (67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analistas del 1S26 y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Edenred: para el 3T26 solo nota de prensa y presentación del 21-oct, sin transcripción; 2) roic.ai (403), MarketScreener (registro), Seeking Alpha y Quartr sin la conferencia del 21-oct-2026 en la búsqueda; 3) prensa del 21-oct (Boursorama, Tradingsat, finanztrends) sin texto de la conferencia de 2026 (lo que sale es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texto usa la nota de prensa, la presentación y el URD</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prensa del 3T26 y presentación (no citan consenso; en el 1T26 la prensa citó un consenso compilado por Edenred, pero no se encuentra el del 3T26); 2) web de inversores de Edenred (no hay página de consenso: 404); 3) búsquedas en inglés y francés de la reacción del 21-oct-2026 sin cifra de consenso en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 negocio por segmento (importe)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nota de segmentos y glosario; 2) nota de prensa y presentación del 1S26 (solo crecimientos); 3) URD 2023 (solo total 41.000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total y crecimientos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vigentes antes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(reexpresa solo 2024); 2) nota de prensa 1S26 (reexpresa 2025 por trimestres); 3) URD 2023 y 2021 (segmentos geográficos y líneas antiguas)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en segmentos; serie de líneas antiguas aparte en _segmentos_lineas_2020_2025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pagos_arrendamientos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(no hay línea); 2) nota de deuda y variación de la deuda neta (sin desglose de pagos); 3) amortización de derechos de uso de la nota 5.6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y autocartera después del 31-jul-2026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Edenred, notas de prensa (última del 31-jul); 2) búsqueda de mandatos de septiembre-octubre de 2026; 3) declaraciones mensuales de acciones y derechos de voto no localizadas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último dato 30-jun-2026 (autocartera) y 31-jul-2026 (programa)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pagados en las compras de 2024 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nota 2; 2) notas de prensa de las compras (TMH sin importe); 3) informe semestral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(cuota de Edenred en vales de comida en Francia o en el mundo)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y presentaciones: solo da cuota relativa (1,7 veces el n.º 2) y no absoluta; 2) informe n.º 3274 de la Asamblea y aviso 23-A-16 citado: dan la cuota conjunta de los cuatro históricos (&gt;99 %) sin desglose; 3) cálculo con ingresos de Pluxee y Edenred: sin el tamaño del mercado en ingresos no es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Up, Swile, Alelo y VR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resultados 2025 de Groupe Up: solo aparece el comunicado de 2016; 2) web de Groupe Up (groupe.up.coop/fr/actualites): 403; 3) Swile, Alelo y VR no cotizan ni publican cuentas accesibles; Alelo solo aparece consolidada en sus bancos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5-8 años del tamaño de mercado y TCAC histórico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n.º 3274: tabla CNTR 2016-2024 sin la fila de valor emitido (solo 2024, &gt;10.000 M EUR); 2) comunicado CNTR de 2023: solo 2022 (&gt;8.500 M EUR); 3) Brasil: solo cifras de prensa (150.000-200.000 M BRL) sin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Efecto cuantificado de la ley francesa en ingresos o EBITDA de Edenred (empresa o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Edenred no ha publicado estimación (última comunicación: resultados 1S26 del 23-jul, anterior al texto); 2) notas de UBS (16-oct) y de mercado del 8-oct en Option Finance: 403 al abrirlas; 3) cálculo propio: solo se puede acotar la base expuesta (vales de comida en Francia ≈ 7 % del ingreso operativo proforma de 2025 [6]), no el tope, que no está fijado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operativos de Brasil e Italia en 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del 3T26: solo líneas de negocio y regiones; 2) presentación del 3T26: tampoco hay desglose por país; 3) resumen de la conferencia (Investing.com): solo comentarios cualitativos (open loop lento, competencia de iFood/Caju)</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o del ejercicio 2026 de Pluxee, WEX y Corpay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Calendario financiero de Pluxee: resultados anuales el 29-oct-2026; 2) WEX: 3T26 el 28-oct-2026; 3) Corpay: sin fecha confirmada (calendarios de terceros apuntan a primeros de noviembre)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posteriores a la fecha de corte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la CFO y de los demás miembros del comité ejecutivo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capítulo 6 (solo publica las acciones de los consejeros); 2) declaraciones de directivos de la AMF (dan operaciones, no saldos); 3) notas de prensa y documentación de la junta de 2026 (no publican saldos)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cláusula de recuperación (clawback) del variable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sección 6.2 (búsqueda de «clawback», «claw-back», «malus», «restitution» sin resultados); 2) política de remuneración de 2026 y tabla ex post de 2025 del mismo documento (no la mencionan); 3) nota de prensa y resultados de votos de la junta de 2026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dice que el informe no la menciona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novedades de la aproximación de fondos y de Rock Investment posteriores al 7-oct-2026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e información regulada de edenred.com (último: nota de ventas del 3T26 del 21-oct-2026, que no lo menciona); 2) BDIF de la AMF (último cruce de umbral: 30-jul-2026; última operación de directivos: 7-ago-2026; consultado el 21-oct-2026); 3) prensa y transcripción de la conferencia del 3T26 (sin menciones)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hay novedades publicadas a 21-oct-2026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hay accionista de control (URD 2025, 7.2); 2) Rock Investment no tiene votos directos (226C1170); 3) no aplica el cálculo sobre capital libre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la dirección sobre la reforma francesa de los cheques comida y sobre recompras en la conferencia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y presentación del 3T26 (no tratan la regulación francesa; solo recuerdan el mandato de recompra); 2) transcripción de Investing.com (sin menciones; generada con IA); 3) búsqueda de prensa sobre la conferencia (solo resultados de Investing.com, sin menciones)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comentario de directivos dice que no se trató</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páginas de consenso y revisiones (solo gráficos); 2) Investing (sin recuento de revisiones en texto); 3) comparación con la consulta del 7-oct-2026 y notas de Morgan Stanley y UBS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(solo desde el 7-oct; 12 meses por la guía)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prensa francesa (Tradingsat, Option Finance); 2) MarketScreener, lista de cambios de recomendación (no aparece); 3) búsqueda general (solo un objetivo de 39 EUR de oct-2025 en un foro)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Edenred de esas fechas (ninguno); 2) búsqueda en prensa bursátil francesa; 3) búsqueda en inglés y en foros (sin fuente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dice sin causa identificada)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(no publica EBITDA estimado); 2) MarketScreener (no muestra EV ni EV/EBITDA en texto); 3) cálculo con valor empresa de un proveedor y EBITDA de otro (descartado por mezclar bases)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 se usa el PER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Reddit, Investing.com, Zonebourse/MarketScreener y cuerpo de los artículos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Stocktwits (EDNMY, EDNMF, EDEN.FR y búsqueda «edenred»): símbolo inexistente o sin resultados; 2) Investing.com (fr y en), Zonebourse, MarketScreener y Reddit: 403; artículos de Seeking Alpha con curl y WebFetch: captcha/403; 3) Rankia (sin hilos de Edenred) y comentarios de lectores en Boursorama Actualités (ninguno en las noticias de sep-oct). Repetido el 21-oct: Reddit bloqueado por la red; Zonebourse e Investir (Les Echos) 403; Seeking Alpha sin artículo nuevo desde el 16-sep; comentarios de lectores en las cuatro noticias del 3T26 de Boursorama: cero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Debate de particulares sobre la proposición de ley francesa del título restaurante (Asamblea, 12-oct-2026)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Forum EDEN de Boursorama: último mensaje el 18-sep-2026, nada en octubre ni el 21-oct; 2) ABC Bourse: nada nuevo en 30 días (consultado el 21-oct); 3) comentarios de lectores en la noticia de UBS del 16-oct y en las cuatro del 3T26 (21-oct) en Boursorama: ninguno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(solo cuota relativa: 1,7 veces la del n.º 2 en beneficios); 2) CNTR e informe de la Asamblea (cuotas conjuntas de los cuatro emisores en Francia); 3) informes de mercado de beneficios a empleados (sin cifra mundial con el mismo perímetro)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posición se describe con la cuota relativa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2025 Universal Registration Document (informe financiero anual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https://www.edenred.com/system/files/documents/edenred-deu-2025-uk.pdf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2023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https://www.edenred.com/system/files/documents/2023-2024-en-urd-edenred-mel.pdf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2021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https://www.edenred.com/system/files/documents/2021-2022-en-edenredurd2021defmel220329.pdf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2026 Half-Year Financial Report (estados intermedios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https://www.edenred.com/system/files/documents/edenred-2026-half-year-financial-report.pdf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de resultados del primer semestre de 2026 (con anexo 2025 reexpresado por líneas de negocio)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https://www.edenred.com/system/files/documents/pr-23-07-2026-edenred-h1-2026-final-version.pdf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presentación de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https://www.edenred.com/system/files/documents/2026-07-23-h1-2026-results_eng.pdf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«Share buyback mandate»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https://www.edenred.com/system/files/documents/31-07-2026-pr-edenred-share-buyback-mandate.pdf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2024 Half-Year Financial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https://www.edenred.com/system/files/documents/edenred-rfs-va-2024.pdf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2025 Half-Year Financial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https://www.edenred.com/system/files/documents/edenred-rfs-va-2025-23-07.pdf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sobre la alianza con Abry Partners para Edenred Pay North America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https://www.edenred.com/system/files/documents/31-07-2026-pr-edenred-strategic-partnership-with-abry-partners-for-epna-final-version.pdf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sobre la compra de The Mobility House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https://www.edenred.com/system/files/documents/15-06-2026-pr-edenred-acquisition-of-tmh-solutions.pdf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«Third-quarter 2026 revenue»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https://www.edenred.com/system/files/documents/pr-2026-10-21-edenred-q3-2026-vf.pdf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presentación «Q3 2026 Revenue»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https://www.edenred.com/system/files/documents/2026-10-21-q3-2026-revenue-presentation-vf.pdf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declaración de capital y derechos de voto a 30-sep-2026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https://www.edenred.com/system/files/documents/declar_edenred-nbre-actions-et-ddv-sept-2026-va.pdf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Texte adopté n.º 352: proposition de loi visant à moderniser et rééquilibrer le fonctionnement du titre-restaurant (première lecture, version provisoire)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https://www.assemblee-nationale.fr/dyn/17/textes/l17t0352_texte-adopte-provisoire.pdf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n.º 3274 de M. Christophe Naegelen (commission des affaires sociales) sur la PPL n.º 2892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https://www.assemblee-nationale.fr/dyn/17/rapports/cion-soc/l17b3274_rapport-fond.pdf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Dossier législatif: Moderniser et rééquilibrer le fonctionnement du titre-restaurant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https://www.assemblee-nationale.fr/dyn/17/dossiers/moderniser_fonctionnement_titre_restaurant_17e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Dossier législatif ppl26-032 (texte n.º 32, 2026-2027, transmis au Sénat le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Sénat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https://www.senat.fr/dossier-legislatif/ppl26-032.html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Amendement n.º AS62 (plafond de 2,5 % par décret), tombé</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https://www.assemblee-nationale.fr/dyn/17/amendements/2892/CION-SOC/AS62.pdf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Amendement n.º AS73 (plafond légal de 2,5 %), tombé</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https://www.assemblee-nationale.fr/dyn/17/amendements/2892/CION-SOC/AS73.pdf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Titres-restaurant: ce que change la loi adoptée le 12 octobre (vote 87 pour, 0 contre, 15 abstentions)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Selectra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https://selectra.info/finance/actualites/marche/titres-restaurant-plateformes-loi-12-octobre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Decreto n.º 12.712, de 11 de novembro de 2025 (altera o Decreto 10.854/2021, PAT)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Presidência da República (Planalto)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https://www.planalto.gov.br/ccivil_03/_ato2023-2026/2025/decreto/d12712.htm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STF nega seguimento a ação que questionava regras do vale-alimentação (ADI 7.962)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Diário do Grande ABC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https://www.dgabc.com.br/Noticia/4347323/stf-nega-seguimento-a-acao-que-questionava-regras-do-vale-alimentacao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https://www.edenred.com/system/files/documents/2026-02-24-fy-2025-results-presentation-vdef.pdf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Communiqué de presse de la Commission nationale des titres-restaurant (21-nov-2023): le marché du titre-restaurant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Commission nationale des titres-restaurant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https://www.cntr.fr/wp-content/uploads/2023/11/CP-Commission-Nationale-Titres-Restaurant-21-Nov-2023.pdf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Abertura do mercado reduz monopólio e redesenha setor de vales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Poder360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https://www.poder360.com.br/poder-economia/abertura-do-mercado-reduz-monopolio-e-redesenha-setor-de-vales/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Belgium: Upcoming increase in meal voucher value (Real Decreto de 10-nov-2025)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McKenzie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https://www.bakermckenzie.com/en/insight/publications/alerts/2025/11/belgium-upcoming-increase-in-meal-voucher-value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Fiscal 2025 Results (ejercicio cerrado el 31-ago-2025)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https://www.globenewswire.com/news-release/2025/10/30/3177048/0/en/Pluxee-Fiscal-2025-Results.html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Inc.: Form 10-K 2025 (datos XBRL de la SEC)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https://data.sec.gov/api/xbrl/companyfacts/CIK0001175454.json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WEX Inc.: Form 10-K 2025 (datos XBRL de la SEC)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https://data.sec.gov/api/xbrl/companyfacts/CIK0001309108.json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(31-dic-2025: 1,175 USD; 6,4364 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Ordre du jour du Sénat (actualizado el 21-oct-2026): PPL titre-restaurant en séance el jeudi 19-nov-2026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Sénat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https://www.senat.fr/ordre-du-jour/ordre-du-jour.html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 le chiffre d'affaires du T3 2026 recule sous la pression réglementaire (resumen de la conferencia)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https://fr.investing.com/news/transcripts/edenred--le-chiffre-daffaires-du-t3-2026-recule-sous-la-pression-reglementaire-93CH-3644595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iFood negocia compra da Caju (vale-refeição), segundo o Pipeline/Valor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Lets 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https://www.letsmoney.com.br/noticias/ifood-negocia-compra-caju-vale-refeicao/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(resultados anuales del ejercicio 2026: 29-oct-2026)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https://www.pluxeegroup.com/financial-calendar/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WEX Inc. to Release Third Quarter 2026 Financial Results on October 28,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https://s25.q4cdn.com/997382257/files/doc_news/WEX-Inc--to-Release-Third-Quarter-2026-Financial-Results-on-October-28-2026-2026.pdf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7 mai 2026 —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https://www.edenred.com/system/files/documents/resultat-des-votes-assemblee-generale-2026.pdf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7 mai 2025 —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https://www.edenred.com/system/files/documents/resultat-des-votes-assemblee-generale-2025.pdf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7 mai 2024 —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https://www.edenred.com/system/files/documents/resultats-des-votes-de-l-assemblee-generale-2024.pdf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Edenred's 2026 General Meeting approves all resolutions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https://www.edenred.com/system/files/documents/07-05-2026-pr-edenred-general-meeting-2026.pdf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BDIF: declaraciones de operaciones de directivos de EDENRED (la última es del 7-ago-2026; ninguna entre el 19 y 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https://bdif.amf-france.org/back/api/v1/informations?Jetons=RS00005100&amp;TypesInformation=DD&amp;From=0&amp;Size=60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BDIF: declaraciones de cruce de umbrales de EDENRED (225C2037, 225C2126, 225C2130, 226C0195, 226C0224, 226C0240, 226C0338, 226C0444, 226C0582, 226C0675, 226C0697, 226C0698, 226C0721, 226C0722, 226C0808, 226C0941, 226C1170; ninguna posterior al 30-jul-2026 a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https://bdif.amf-france.org/back/api/v1/informations?Jetons=RS00005100&amp;TypesInformation=SPDE&amp;From=0&amp;Size=60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 franchissement de seuils 226C1170 (Rock Investment / EDENRED)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https://bdif.amf-france.org/back/api/v1/documents/2026/226C1170/07B4C2D0269D323D83EFEEFBB7CB9D2A47ECEBF9D60B240D56B1D5CFA412A3BB.pdf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statement (aproximación exploratoria de fondos de inversión)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https://www.edenred.com/system/files/documents/18-06-2026-pr-edenred-edenred-statement.pdf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to Edenred's Executive Committee: Fabrizio Ruggiero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https://www.edenred.com/system/files/documents/02-09-2026-pr-edenred-appointment-fabrizio-ruggiero-final-version.pdf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statement (investigación de la AGCM en Italia)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https://www.edenred.com/system/files/documents/25-03-2026-pr-edenred-agcm-investigation-in-italy.pdf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Co-option of Augustin de Romanet to Edenred's 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https://www.edenred.com/system/files/documents/pr_cooption_aderomanet_en_20251023.pdf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Appointments and renewals within Edenred's Board of Directors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https://www.edenred.com/system/files/documents/pr_edenred_boardofdirectors_25032025.pdf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unveils Amplify25-28, its new strategic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https://www.edenred.com/system/files/documents/pr-2025-11-04-edenred-amplify-2025-2028.pdf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presents Beyond, its new strategic plan through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https://www.edenred.com/system/files/documents/2022-10-25-edenred-beyond-2022-2025-pr-ven.pdf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takes note of the new regulatory framework for the meal and food voucher system in Brazil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https://www.edenred.com/system/files/documents/pr-bresil-20251112-vf.pdf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2019 annual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https://www.edenred.com/system/files/documents/20200226-edenred2019annualresults-prveng.pdf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 annual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https://www.edenred.com/system/files/documents/20210302-edenred2020annualresults-prvengvdef.pdf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https://www.edenred.com/system/files/documents/20220222-edenredresultatsfy2021cpengvdef.pdf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annual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https://www.edenred.com/system/files/documents/2023-02-21-edenred-results-fy-2022-cp-eng-vdef.pdf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annual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https://www.edenred.com/system/files/documents/2024-02-27-edenred-resultats-fy-2023-pr-vdef.pdf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annual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https://www.edenred.com/system/files/documents/2025-02-18-edenred-fy-2024-pr.pdf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https://www.edenred.com/system/files/documents/2026-02-24-edenred-fy-2025-pr.pdf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Oddo BHF considère le rachat d'Edenred comme un scénario crédible, le titre s'envole de 18% (AOF)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 AOF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https://www.boursorama.com/bourse/actualites/oddo-bhf-considere-le-rachat-d-edenred-comme-un-scenario-credible-le-titre-s-envole-de-18-224e0fd7c8721bfa62fb2cc0a7708b83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Xavier Niel entre au capital d'Edenred, qui monte en Bourse après avoir réduit son exposition aux USA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https://www.abcbourse.com/marches/xavier-niel-entre-au-capital-d-edenred-qui-monte-en-bourse-apres-avoir-reduit-s_700815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Edenred Q3 2026 revenue slips as regulatory headwinds bite (transcripción generada con IA y revisada por un editor)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https://www.investing.com/news/transcripts/earnings-call-transcript-edenred-q3-2026-revenue-slips-as-regulatory-headwinds-bite-93CH-4961786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EDEN.PA, ^FCHI, ^STOXX y EXH2.DE (cierres hasta el 20-oct-2026; sesión del 21-oct en curso) y salida de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https://finance.yahoo.com/quote/EDEN.PA/history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 finanzas y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https://www.marketscreener.com/quote/stock/EDENRED-SE-6365724/finances/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 consenso,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https://www.marketscreener.com/quote/stock/EDENRED-SE-6365724/consensus/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https://www.investing.com/equities/edenred-consensus-estimates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Disclosure of share capital and voting rights at September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https://echanges.dila.gouv.fr/OPENDATA/AMF/ECO/2026/10/FCECO083382_20261007.pdf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Disclosure of share capital and voting rights at June 30 y August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https://www.edenred.com/system/files/documents/declar_edenred-nbre-actions-et-ddv-aout-2026-va.pdf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federales cotizados, vida residual 10 años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https://api.statistiken.bundesbank.de/rest/data/BBSIS/D.I.ZST.ZI.EUR.S1311.B.A604.R10XX.R.A.A._Z._Z.A?format=csv&amp;lang=en&amp;lastNObservations=10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 neta de Two Sigma Investments sobre Edenred (0,89 % a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https://bdif.amf-france.org/back/api/v1/documents/2026/2026E1143579/1E7F3854911572A781BBF00F32C3CE35DAF8A723844934C796168DE5D1A66148.pdf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 neta de Ilex Capital Partners sobre Edenred (0,71 % a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https://bdif.amf-france.org/back/api/v1/documents/2026/2026E1143723/22443968C6FA6DB167EF67E9E6E03EA37A48BB1D9B1B6607E104749DFE407269.pdf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 neta de AQR Capital Management sobre Edenred (0,51 % a 14-sep-2026)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https://bdif.amf-france.org/back/api/v1/documents/2026/2026E1138242/79F09F6C8E916D49C44BC761A623000D8B5CEB16330971427A927ABF3BA20BB2.pdf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 franchissements de seuil 226C0941 (Goldman Sachs)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https://bdif.amf-france.org/back/api/v1/documents/2026/226C0941/2632BB327A72BA1E48CDDAD103B2B90857066F3A593EEFDB7AA18D4737AAE535.pdf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 franchissement de seuils 226C0808 (Baillie Gifford)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https://bdif.amf-france.org/back/api/v1/documents/2026/226C0808/2D698ABF33CE2731FBEB3010DFDD5C00A24D2D7D0249588314BBA2279220CBDB.pdf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approché par des fonds d'investissement avec un potentiel rachat en vue, Edenred bondit de près de 18 %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https://www.tradingsat.com/edenred-FR0010908533/actualites/edenred-approche-par-des-fonds-d-investissement-avec-un-potentiel-rachat-en-vue-edenred-bondit-de-pres-18-en-bourse-ce-qui-montre-a-quel-point-sa-valorisation-evolue-a-la-casse-1165289.html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revers judiciaire au Brésil remet Edenred sous pression en Bourse, l'action rechute de 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https://www.tradingsat.com/edenred-FR0010908533/actualites/edenred-un-revers-judiciaire-au-bresil-remet-edenred-sous-pression-en-bourse-l-action-rechute-de-5-1157381.html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bondit en Bourse après un CA supérieur aux attentes au T3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 Tradingsat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https://www.tradingsat.com/edenred-FR0010908533/actualites/edenred-edenred-bondit-en-bourse-apres-un-ca-superieur-aux-attentes-au-t3-1148776.html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relève sa cible sur Edenred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 Tradingsat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https://www.tradingsat.com/edenred-FR0010908533/actualites/edenred-ubs-releve-sa-cible-sur-edenred-1171910.html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d'opérations de dirigeant 2026DD1132495 (C. Le Bouar)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https://bdif.amf-france.org/back/api/v1/documents/2026/2026DD1132495/B1966DAAC5BE6802A940ECECDB581D0CBCF745BA452153929AABC8CB8E40AC7B.pdf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d'opérations de dirigeant 2026DD1130587 (J. Adoue)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https://bdif.amf-france.org/back/api/v1/documents/2026/2026DD1130587/CB4D3ADF4CCD413BA0DB422862479428C35F9271A172139D15F2A51AD371D2A7.pdf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ingresos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https://www.edenred.com/system/files/documents/pr-23-04-2026-edenred-q1-2026-final.pdf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dévoile ses objectifs d'EBITDA pour 2026-28, le titre chute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https://www.tradingsat.com/edenred-FR0010908533/actualites/edenred-edenred-devoile-ses-objectifs-d-ebitda-pour-2026-28-le-titre-chute-1149804.html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insensible à un relèvement d'objectif chez Morgan Stanley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Easybourse (AOF)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https://www.easybourse.com/international/news/1538035/edenred-insensible-un-relevement-objectif-chez-morgan-stanley.html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Texte adopté provisoire n.º 352: proposition de loi visant à moderniser le titre-restaurant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https://www.assemblee-nationale.fr/dyn/17/textes/l17t0352_texte-adopte-provisoire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(EPA:PLX):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https://stockanalysis.com/quote/epa/PLX/statistics/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(CPAY):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https://stockanalysis.com/stocks/cpay/statistics/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WEX Inc. (WEX):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https://stockanalysis.com/stocks/wex/statistics/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 (BIT:NEXI):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https://stockanalysis.com/quote/bit/NEXI/statistics/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(AMS:ADYEN):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https://stockanalysis.com/quote/ams/ADYEN/statistics/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(GPN):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SA (EPA:WLN):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https://stockanalysis.com/quote/epa/WLN/statistics/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USD/EUR (19-oct-2026: 1,1225)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Inc.: finanzas y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https://www.marketscreener.com/quote/stock/CORPAY-INC-6996903/finances/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annonce l'acquisition de Reward Gateway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https://echanges.dila.gouv.fr/OPENDATA/AMF/ECO/2023/05/FCECO071204_20230516.pdf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and Nets merger: press release of November 15,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https://emarketstorage.it/sites/default/files/comunicati/2022-05/20201115_87109.pdf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to acquire Ingenico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https://investors.worldline.com/en/home/news-events/operation-disclaimer/operation/pr-2020_02_03-02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to acquire Alpha Group International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https://www.sec.gov/Archives/edgar/data/1175454/000117545425000010/ex991corpaypressrelease.htm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finanzas y estimaciones (ejercicio a agosto)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https://www.marketscreener.com/quote/stock/PLUXEE-N-V-164508055/finances/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Edenred-Le dépassement des attentes au T3 peine à convaincre, le titre baisse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https://www.zonebourse.com/actualite-bourse/edenred-depasse-les-attentes-au-t3-avec-l-activite-mobilite-ce785cd8df80f624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en chute après sa publication à fin septembre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https://www.tradingsat.com/edenred-FR0010908533/actualites/edenred-edenred-en-chute-apres-sa-publication-a-fin-septembre-1172153.html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Edenred (EDEN): lista de hilos (consultada el 21-oct-2026; último mensaje, 18-sep)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https://www.boursorama.com/bourse/forum/1rPEDEN/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EDEN: «Resultats S1»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https://www.boursorama.com/bourse/forum/1rPEDEN/detail/468250909/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EDEN: «Mais qui ramasse ?» y «Des prétendants pour Edenred»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https://www.boursorama.com/bourse/forum/1rPEDEN/detail/468241042/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EDEN: «vraiment une bonne nouvelle ?» (Abry Partners, Niel, OPA)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https://www.boursorama.com/bourse/forum/1rPEDEN/detail/468285137/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EDEN: «Le plus gros fond VAD est sorti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https://www.boursorama.com/bourse/forum/1rPEDEN/detail/468143112/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EDEN: «Passer les 30€ est un premier step», «Pris des benefices au dessus de 29€» y «Xavier NIEL (Rock Investment)»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https://www.boursorama.com/bourse/forum/1rPEDEN/detail/468370718/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EDEN: «Consensus a 30 €», «Changement Direction», «Retour de la vad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https://www.boursorama.com/bourse/forum/1rPEDEN/detail/468463623/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Edenred: hilo «EDENRED - News - Recos»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https://www.abcbourse.com/forums/msg905862_edenred--news--recos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Feed RSS de Edenred (EDNMY): artículos del 30-ago-2026 y 16-sep-2026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https://seekingalpha.com/api/sa/combined/EDNMY.xml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relève sa cible sur Edenred (AOF) y lista de noticias de Edenred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 AOF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https://www.boursorama.com/bourse/actualites/ubs-releve-sa-cible-sur-edenred-19170b6b612b0088c6f1a191dc1b16b8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 le dépassement des attentes au T3 peine à convaincre, le titre baisse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https://www.boursorama.com/bourse/actualites/edenred-le-depassement-des-attentes-au-t3-peine-a-convaincre-le-titre-baisse-df2ffdd26a63a0ce6de0bda67af51e0c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en chute après sa publication à fin septembre (AOF, nota de Jefferies)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 AOF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https://www.boursorama.com/bourse/actualites/edenred-en-chute-apres-sa-publication-a-fin-septembre-3d0f3be6add660a37bfe5372ed5bb444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dans le rouge après un troisième trimestre atone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https://www.abcbourse.com/marches/edenred-dans-le-rouge-apres-un-troisieme-trimestre-atone_704580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 les revenus reculent au troisième trimestre mais les objectifs 2026 tiennent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https://www.abcbourse.com/marches/edenred-les-revenus-reculent-au-troisieme-trimestre-mais-les-objectifs-2026-ti_704567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Edenred: lista de hilos (consultada 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https://www.abcbourse.com/forums/edenred_10318</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92,4 %</w:t>
      </w:r>
      <w:r>
        <w:t xml:space="preserve"> · Secciones con menos del 60 % de campos cubiertos: </w:t>
      </w:r>
      <w:r>
        <w:rPr>
          <w:b/>
          <w:bCs/>
        </w:rPr>
        <w:t xml:space="preserve">ninguna</w:t>
      </w:r>
      <w:r>
        <w:t xml:space="preserve"> · Generado el 21 oct 2026.</w:t>
      </w:r>
    </w:p>
    <w:p>
      <w:pPr>
        <w:pStyle w:val="Nota"/>
        <w:spacing w:after="100"/>
      </w:pPr>
      <w:r>
        <w:t xml:space="preserve">Cotiza en Euronext París en EUR y publica en EUR: tipo 1. Cuentas 2020-2025 de los Documents d'enregistrement universel 2021, 2023 y 2025, con el XBRL ESEF del grupo (LEI 9695006LOD5B2D7Y0N70) como partida y corregido donde no cuadraba (amortización de 2023, pasivo total de 2019-2020) [1, 2, 3]. La segmentación vigente (Benefits &amp; Engagement, Mobility, Payment Solutions &amp; New Markets) solo está reexpresada para 2024 y 2025 [1]; la serie 2020-2025 por líneas antiguas se guarda aparte y no se mezcla. Edenred no separa los pagos de arrendamientos en el estado de flujos: se estiman iguales a la amortización de los derechos de uso. </w:t>
      </w:r>
      <w:r>
        <w:rPr>
          <w:b/>
        </w:rPr>
        <w:t xml:space="preserve">Trato del float (decisión del análisis):</w:t>
      </w:r>
      <w:r>
        <w:t xml:space="preserve"> el circulante de 2024 y 2025 se presenta sin el float (cuentas ligadas al float y fondos a reembolsar fuera; URD 2025, pág. 159 [1]); 2020-2023 no se puede reconstruir igual, así que los ratios de circulante de esos años no son comparables. En el puente, 2.739 M de la caja (float neto 4.357 M menos caja restringida 1.618 M a jun-26 [4]) se tratan como dinero de clientes (otros ajustes), mientras el rendimiento del float («other revenue») se queda en el EBITDA, como lo publica la empresa y lo usa el consenso. Precio: cierre del 16-oct-2026 (la sesión del 19-oct seguía abierta al hacer el cálculo) [62].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Edenred SE (EDEN)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29,22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(15,23 – 30,85)</c:v>
                </c:pt>
                <c:pt idx="1">
                  <c:v>Precio objetivo de los analistas (24,50 – 37,00)</c:v>
                </c:pt>
                <c:pt idx="2">
                  <c:v>Comparables: PER NTM (15,24 – 26,57)</c:v>
                </c:pt>
                <c:pt idx="3">
                  <c:v>DCF (WACC y g ± 0,5) (38,59 – 58,60)</c:v>
                </c:pt>
                <c:pt idx="4">
                  <c:v>Escenarios (bajista – alcista) (23,67 – 62,52)</c:v>
                </c:pt>
                <c:pt idx="5">
                  <c:v>DCF con la prima implícita del mercado (4,2 %)</c:v>
                </c:pt>
                <c:pt idx="6">
                  <c:v>Precio actual (29,22)</c:v>
                </c:pt>
              </c:strCache>
            </c:strRef>
          </c:cat>
          <c:val>
            <c:numRef>
              <c:f>Hoja1!$B$2:$B$8</c:f>
              <c:numCache>
                <c:formatCode>#,##0.0</c:formatCode>
                <c:ptCount val="7"/>
                <c:pt idx="0">
                  <c:v>15.23</c:v>
                </c:pt>
                <c:pt idx="1">
                  <c:v>24.5</c:v>
                </c:pt>
                <c:pt idx="2">
                  <c:v>15.24</c:v>
                </c:pt>
                <c:pt idx="3">
                  <c:v>38.59</c:v>
                </c:pt>
                <c:pt idx="4">
                  <c:v>23.67</c:v>
                </c:pt>
                <c:pt idx="5">
                  <c:v>53.55</c:v>
                </c:pt>
                <c:pt idx="6">
                  <c:v>29.07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(15,23 – 30,85)</c:v>
                </c:pt>
                <c:pt idx="1">
                  <c:v>Precio objetivo de los analistas (24,50 – 37,00)</c:v>
                </c:pt>
                <c:pt idx="2">
                  <c:v>Comparables: PER NTM (15,24 – 26,57)</c:v>
                </c:pt>
                <c:pt idx="3">
                  <c:v>DCF (WACC y g ± 0,5) (38,59 – 58,60)</c:v>
                </c:pt>
                <c:pt idx="4">
                  <c:v>Escenarios (bajista – alcista) (23,67 – 62,52)</c:v>
                </c:pt>
                <c:pt idx="5">
                  <c:v>DCF con la prima implícita del mercado (4,2 %)</c:v>
                </c:pt>
                <c:pt idx="6">
                  <c:v>Precio actual (29,22)</c:v>
                </c:pt>
              </c:strCache>
            </c:strRef>
          </c:cat>
          <c:val>
            <c:numRef>
              <c:f>Hoja1!$C$2:$C$8</c:f>
              <c:numCache>
                <c:formatCode>#,##0.0</c:formatCode>
                <c:ptCount val="7"/>
                <c:pt idx="0">
                  <c:v>15.620000000000001</c:v>
                </c:pt>
                <c:pt idx="1">
                  <c:v>12.5</c:v>
                </c:pt>
                <c:pt idx="2">
                  <c:v>11.33</c:v>
                </c:pt>
                <c:pt idx="3">
                  <c:v>20.009999999999998</c:v>
                </c:pt>
                <c:pt idx="4">
                  <c:v>38.85</c:v>
                </c:pt>
                <c:pt idx="5">
                  <c:v>17.64</c:v>
                </c:pt>
                <c:pt idx="6">
                  <c:v>0.3000000000000007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Benefits &amp; Engagement</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2013</c:v>
                </c:pt>
                <c:pt idx="1">
                  <c:v>2054</c:v>
                </c:pt>
              </c:numCache>
            </c:numRef>
          </c:val>
        </c:ser>
        <c:ser>
          <c:idx val="1"/>
          <c:order val="1"/>
          <c:tx>
            <c:strRef>
              <c:f>Hoja1!$C$1</c:f>
              <c:strCache>
                <c:ptCount val="1"/>
                <c:pt idx="0">
                  <c:v>Mobility</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601</c:v>
                </c:pt>
                <c:pt idx="1">
                  <c:v>683</c:v>
                </c:pt>
              </c:numCache>
            </c:numRef>
          </c:val>
        </c:ser>
        <c:ser>
          <c:idx val="2"/>
          <c:order val="2"/>
          <c:tx>
            <c:strRef>
              <c:f>Hoja1!$D$1</c:f>
              <c:strCache>
                <c:ptCount val="1"/>
                <c:pt idx="0">
                  <c:v>Payment Solutions &amp; New Markets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242</c:v>
                </c:pt>
                <c:pt idx="1">
                  <c:v>224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Benefits &amp; Engagement</c:v>
                </c:pt>
                <c:pt idx="1">
                  <c:v>Mobility</c:v>
                </c:pt>
                <c:pt idx="2">
                  <c:v>Payment Solutions &amp; New Markets</c:v>
                </c:pt>
              </c:strCache>
            </c:strRef>
          </c:cat>
          <c:val>
            <c:numRef>
              <c:f>Hoja1!$B$2:$B$4</c:f>
              <c:numCache>
                <c:formatCode>General</c:formatCode>
                <c:ptCount val="3"/>
                <c:pt idx="0">
                  <c:v>69.4</c:v>
                </c:pt>
                <c:pt idx="1">
                  <c:v>23.1</c:v>
                </c:pt>
                <c:pt idx="2">
                  <c:v>7.6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Francia</c:v>
                </c:pt>
                <c:pt idx="1">
                  <c:v>Italia</c:v>
                </c:pt>
                <c:pt idx="2">
                  <c:v>Resto de Europa</c:v>
                </c:pt>
                <c:pt idx="3">
                  <c:v>Brasil</c:v>
                </c:pt>
                <c:pt idx="4">
                  <c:v>Resto de Latinoamérica</c:v>
                </c:pt>
                <c:pt idx="5">
                  <c:v>Resto del mundo</c:v>
                </c:pt>
              </c:strCache>
            </c:strRef>
          </c:cat>
          <c:val>
            <c:numRef>
              <c:f>Hoja1!$B$2:$B$7</c:f>
              <c:numCache>
                <c:formatCode>0"%"</c:formatCode>
                <c:ptCount val="6"/>
                <c:pt idx="0">
                  <c:v>13.3</c:v>
                </c:pt>
                <c:pt idx="1">
                  <c:v>18.4</c:v>
                </c:pt>
                <c:pt idx="2">
                  <c:v>28.2</c:v>
                </c:pt>
                <c:pt idx="3">
                  <c:v>21.1</c:v>
                </c:pt>
                <c:pt idx="4">
                  <c:v>9.1</c:v>
                </c:pt>
                <c:pt idx="5">
                  <c:v>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de valor facial emitido de títulos restaurante en Francia)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2022</c:v>
                </c:pt>
                <c:pt idx="1">
                  <c:v>2024</c:v>
                </c:pt>
              </c:strCache>
            </c:strRef>
          </c:cat>
          <c:val>
            <c:numRef>
              <c:f>Hoja1!$B$2:$B$3</c:f>
              <c:numCache>
                <c:formatCode>#,##0</c:formatCode>
                <c:ptCount val="2"/>
                <c:pt idx="0">
                  <c:v>8500</c:v>
                </c:pt>
                <c:pt idx="1">
                  <c:v>10000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Edenred</c:v>
                </c:pt>
                <c:pt idx="1">
                  <c:v>Pluxee (antes Sodexo Benefits &amp; Rewards)</c:v>
                </c:pt>
                <c:pt idx="2">
                  <c:v>Corpay (antes Fleetcor)</c:v>
                </c:pt>
                <c:pt idx="3">
                  <c:v>WEX</c:v>
                </c:pt>
                <c:pt idx="4">
                  <c:v>Up (Groupe Up, cooperativa)</c:v>
                </c:pt>
                <c:pt idx="5">
                  <c:v>Swile</c:v>
                </c:pt>
                <c:pt idx="6">
                  <c:v>Alelo y VR</c:v>
                </c:pt>
              </c:strCache>
            </c:strRef>
          </c:cat>
          <c:val>
            <c:numRef>
              <c:f>Hoja1!$B$2:$B$8</c:f>
              <c:numCache>
                <c:formatCode>0.0"%"</c:formatCode>
                <c:ptCount val="7"/>
                <c:pt idx="0">
                  <c:v>36.9</c:v>
                </c:pt>
                <c:pt idx="1">
                  <c:v>28</c:v>
                </c:pt>
                <c:pt idx="2">
                  <c:v>44</c:v>
                </c:pt>
                <c:pt idx="3">
                  <c:v>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2</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1465</c:v>
                </c:pt>
                <c:pt idx="1">
                  <c:v>1627</c:v>
                </c:pt>
                <c:pt idx="2">
                  <c:v>2031</c:v>
                </c:pt>
                <c:pt idx="3">
                  <c:v>2514</c:v>
                </c:pt>
                <c:pt idx="4">
                  <c:v>2856</c:v>
                </c:pt>
                <c:pt idx="5">
                  <c:v>2961</c:v>
                </c:pt>
                <c:pt idx="6">
                  <c:v>2950</c:v>
                </c:pt>
                <c:pt idx="7">
                  <c:v>3093</c:v>
                </c:pt>
                <c:pt idx="8">
                  <c:v>3284</c:v>
                </c:pt>
                <c:pt idx="9">
                  <c:v>3470</c:v>
                </c:pt>
                <c:pt idx="10">
                  <c:v>3650</c:v>
                </c:pt>
                <c:pt idx="11">
                  <c:v>3821</c:v>
                </c:pt>
                <c:pt idx="12">
                  <c:v>3993</c:v>
                </c:pt>
                <c:pt idx="13">
                  <c:v>4152</c:v>
                </c:pt>
                <c:pt idx="14">
                  <c:v>4298</c:v>
                </c:pt>
                <c:pt idx="15">
                  <c:v>4427</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580</c:v>
                </c:pt>
                <c:pt idx="1">
                  <c:v>670</c:v>
                </c:pt>
                <c:pt idx="2">
                  <c:v>836</c:v>
                </c:pt>
                <c:pt idx="3">
                  <c:v>1094</c:v>
                </c:pt>
                <c:pt idx="4">
                  <c:v>1265</c:v>
                </c:pt>
                <c:pt idx="5">
                  <c:v>1360</c:v>
                </c:pt>
                <c:pt idx="6">
                  <c:v>1240</c:v>
                </c:pt>
                <c:pt idx="7">
                  <c:v>1338</c:v>
                </c:pt>
                <c:pt idx="8">
                  <c:v>1445</c:v>
                </c:pt>
                <c:pt idx="9">
                  <c:v>1538</c:v>
                </c:pt>
                <c:pt idx="10">
                  <c:v>1618</c:v>
                </c:pt>
                <c:pt idx="11">
                  <c:v>1688</c:v>
                </c:pt>
                <c:pt idx="12">
                  <c:v>1764</c:v>
                </c:pt>
                <c:pt idx="13">
                  <c:v>1834</c:v>
                </c:pt>
                <c:pt idx="14">
                  <c:v>1898</c:v>
                </c:pt>
                <c:pt idx="15">
                  <c:v>1955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90.2</c:v>
                </c:pt>
                <c:pt idx="1">
                  <c:v>90.6</c:v>
                </c:pt>
                <c:pt idx="2">
                  <c:v>91</c:v>
                </c:pt>
                <c:pt idx="3">
                  <c:v>92</c:v>
                </c:pt>
                <c:pt idx="4">
                  <c:v>91.2</c:v>
                </c:pt>
                <c:pt idx="5">
                  <c:v>91.4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39.6</c:v>
                </c:pt>
                <c:pt idx="1">
                  <c:v>41.2</c:v>
                </c:pt>
                <c:pt idx="2">
                  <c:v>41.2</c:v>
                </c:pt>
                <c:pt idx="3">
                  <c:v>43.5</c:v>
                </c:pt>
                <c:pt idx="4">
                  <c:v>44.3</c:v>
                </c:pt>
                <c:pt idx="5">
                  <c:v>45.9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31.1</c:v>
                </c:pt>
                <c:pt idx="1">
                  <c:v>33.1</c:v>
                </c:pt>
                <c:pt idx="2">
                  <c:v>33.8</c:v>
                </c:pt>
                <c:pt idx="3">
                  <c:v>35.8</c:v>
                </c:pt>
                <c:pt idx="4">
                  <c:v>36.4</c:v>
                </c:pt>
                <c:pt idx="5">
                  <c:v>36.9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16.2</c:v>
                </c:pt>
                <c:pt idx="1">
                  <c:v>19.2</c:v>
                </c:pt>
                <c:pt idx="2">
                  <c:v>19</c:v>
                </c:pt>
                <c:pt idx="3">
                  <c:v>10.6</c:v>
                </c:pt>
                <c:pt idx="4">
                  <c:v>17.8</c:v>
                </c:pt>
                <c:pt idx="5">
                  <c:v>17.6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3T26</c:v>
                </c:pt>
              </c:strCache>
            </c:strRef>
          </c:cat>
          <c:val>
            <c:numRef>
              <c:f>Hoja1!$B$2:$B$9</c:f>
              <c:numCache>
                <c:formatCode>0.0"%"</c:formatCode>
                <c:ptCount val="8"/>
                <c:pt idx="2">
                  <c:v>18.5</c:v>
                </c:pt>
                <c:pt idx="3">
                  <c:v>9.3</c:v>
                </c:pt>
                <c:pt idx="4">
                  <c:v>4</c:v>
                </c:pt>
                <c:pt idx="5">
                  <c:v>3.4</c:v>
                </c:pt>
                <c:pt idx="6">
                  <c:v>1.5</c:v>
                </c:pt>
                <c:pt idx="7">
                  <c:v>0</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1S23</c:v>
                </c:pt>
                <c:pt idx="1">
                  <c:v>2S23</c:v>
                </c:pt>
                <c:pt idx="2">
                  <c:v>1S24</c:v>
                </c:pt>
                <c:pt idx="3">
                  <c:v>2S24</c:v>
                </c:pt>
                <c:pt idx="4">
                  <c:v>1S25</c:v>
                </c:pt>
                <c:pt idx="5">
                  <c:v>2S25</c:v>
                </c:pt>
                <c:pt idx="6">
                  <c:v>1S26</c:v>
                </c:pt>
                <c:pt idx="7">
                  <c:v>3T26</c:v>
                </c:pt>
              </c:strCache>
            </c:strRef>
          </c:cat>
          <c:val>
            <c:numRef>
              <c:f>Hoja1!$C$2:$C$9</c:f>
              <c:numCache>
                <c:formatCode>0.0"%"</c:formatCode>
                <c:ptCount val="8"/>
                <c:pt idx="2">
                  <c:v>18.3</c:v>
                </c:pt>
                <c:pt idx="4">
                  <c:v>6.4</c:v>
                </c:pt>
                <c:pt idx="6">
                  <c:v>1.5</c:v>
                </c:pt>
                <c:pt idx="7">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434</c:v>
                </c:pt>
                <c:pt idx="1">
                  <c:v>475</c:v>
                </c:pt>
                <c:pt idx="2">
                  <c:v>479</c:v>
                </c:pt>
                <c:pt idx="3">
                  <c:v>405</c:v>
                </c:pt>
                <c:pt idx="4">
                  <c:v>265</c:v>
                </c:pt>
                <c:pt idx="5">
                  <c:v>259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1">
                  <c:v>18</c:v>
                </c:pt>
                <c:pt idx="2">
                  <c:v>18</c:v>
                </c:pt>
                <c:pt idx="3">
                  <c:v>17</c:v>
                </c:pt>
                <c:pt idx="4">
                  <c:v>14</c:v>
                </c:pt>
                <c:pt idx="5">
                  <c:v>12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276</c:v>
                </c:pt>
                <c:pt idx="1">
                  <c:v>275</c:v>
                </c:pt>
                <c:pt idx="2">
                  <c:v>316</c:v>
                </c:pt>
                <c:pt idx="3">
                  <c:v>425</c:v>
                </c:pt>
                <c:pt idx="4">
                  <c:v>721</c:v>
                </c:pt>
                <c:pt idx="5">
                  <c:v>703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583</c:v>
                </c:pt>
                <c:pt idx="1">
                  <c:v>460</c:v>
                </c:pt>
                <c:pt idx="2">
                  <c:v>831</c:v>
                </c:pt>
                <c:pt idx="3">
                  <c:v>825</c:v>
                </c:pt>
                <c:pt idx="4">
                  <c:v>768</c:v>
                </c:pt>
                <c:pt idx="5">
                  <c:v>1029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238</c:v>
                </c:pt>
                <c:pt idx="1">
                  <c:v>313</c:v>
                </c:pt>
                <c:pt idx="2">
                  <c:v>386</c:v>
                </c:pt>
                <c:pt idx="3">
                  <c:v>267</c:v>
                </c:pt>
                <c:pt idx="4">
                  <c:v>507</c:v>
                </c:pt>
                <c:pt idx="5">
                  <c:v>521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1939.6</c:v>
                </c:pt>
                <c:pt idx="4">
                  <c:v>142.2</c:v>
                </c:pt>
                <c:pt idx="5">
                  <c:v>154.4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8.2</c:v>
                </c:pt>
                <c:pt idx="1">
                  <c:v>8.2</c:v>
                </c:pt>
                <c:pt idx="2">
                  <c:v>8.2</c:v>
                </c:pt>
                <c:pt idx="3">
                  <c:v>8.2</c:v>
                </c:pt>
                <c:pt idx="4">
                  <c:v>8.2</c:v>
                </c:pt>
                <c:pt idx="5">
                  <c:v>8.2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-19.3</c:v>
                </c:pt>
                <c:pt idx="1">
                  <c:v>-28.7</c:v>
                </c:pt>
                <c:pt idx="2">
                  <c:v>-46.2</c:v>
                </c:pt>
                <c:pt idx="3">
                  <c:v>-38.2</c:v>
                </c:pt>
                <c:pt idx="4">
                  <c:v>-63.9</c:v>
                </c:pt>
                <c:pt idx="5">
                  <c:v>-56.9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1.98</c:v>
                </c:pt>
                <c:pt idx="1">
                  <c:v>1.2</c:v>
                </c:pt>
                <c:pt idx="2">
                  <c:v>0.02</c:v>
                </c:pt>
                <c:pt idx="3">
                  <c:v>0.77</c:v>
                </c:pt>
                <c:pt idx="4">
                  <c:v>1.21</c:v>
                </c:pt>
                <c:pt idx="5">
                  <c:v>0.77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2030-2031</c:v>
                </c:pt>
                <c:pt idx="5">
                  <c:v>2032+</c:v>
                </c:pt>
              </c:strCache>
            </c:strRef>
          </c:cat>
          <c:val>
            <c:numRef>
              <c:f>Hoja1!$B$2:$B$7</c:f>
              <c:numCache>
                <c:formatCode>#,##0</c:formatCode>
                <c:ptCount val="6"/>
                <c:pt idx="0">
                  <c:v>887</c:v>
                </c:pt>
                <c:pt idx="1">
                  <c:v>493</c:v>
                </c:pt>
                <c:pt idx="2">
                  <c:v>395</c:v>
                </c:pt>
                <c:pt idx="3">
                  <c:v>567</c:v>
                </c:pt>
                <c:pt idx="4">
                  <c:v>1443</c:v>
                </c:pt>
                <c:pt idx="5">
                  <c:v>988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127</c:v>
                </c:pt>
                <c:pt idx="1">
                  <c:v>72</c:v>
                </c:pt>
                <c:pt idx="2">
                  <c:v>77</c:v>
                </c:pt>
                <c:pt idx="3">
                  <c:v>1036</c:v>
                </c:pt>
                <c:pt idx="4">
                  <c:v>504</c:v>
                </c:pt>
                <c:pt idx="5">
                  <c:v>16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81</c:v>
                </c:pt>
                <c:pt idx="1">
                  <c:v>96</c:v>
                </c:pt>
                <c:pt idx="2">
                  <c:v>238</c:v>
                </c:pt>
                <c:pt idx="3">
                  <c:v>278</c:v>
                </c:pt>
                <c:pt idx="4">
                  <c:v>307</c:v>
                </c:pt>
                <c:pt idx="5">
                  <c:v>333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23</c:v>
                </c:pt>
                <c:pt idx="1">
                  <c:v>41</c:v>
                </c:pt>
                <c:pt idx="2">
                  <c:v>2</c:v>
                </c:pt>
                <c:pt idx="3">
                  <c:v>25</c:v>
                </c:pt>
                <c:pt idx="4">
                  <c:v>359</c:v>
                </c:pt>
                <c:pt idx="5">
                  <c:v>125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1</c:v>
                </c:pt>
                <c:pt idx="1">
                  <c:v>8</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Rock Investment (NJJ Holding, grupo familiar de Xavier Niel)</c:v>
                </c:pt>
                <c:pt idx="1">
                  <c:v>Pale Fire Capital (fondo checo)</c:v>
                </c:pt>
                <c:pt idx="2">
                  <c:v>The Goldman Sachs Group</c:v>
                </c:pt>
                <c:pt idx="3">
                  <c:v>Baillie Gifford &amp; Co</c:v>
                </c:pt>
                <c:pt idx="4">
                  <c:v>Capital Group (Capital World Investors)</c:v>
                </c:pt>
                <c:pt idx="5">
                  <c:v>Harris Associates</c:v>
                </c:pt>
                <c:pt idx="6">
                  <c:v>BlackRock</c:v>
                </c:pt>
                <c:pt idx="7">
                  <c:v>Accionistas particulares</c:v>
                </c:pt>
                <c:pt idx="8">
                  <c:v>Empleados</c:v>
                </c:pt>
                <c:pt idx="9">
                  <c:v>Autocartera</c:v>
                </c:pt>
              </c:strCache>
            </c:strRef>
          </c:cat>
          <c:val>
            <c:numRef>
              <c:f>Hoja1!$B$2:$B$11</c:f>
              <c:numCache>
                <c:formatCode>0.0"%"</c:formatCode>
                <c:ptCount val="10"/>
                <c:pt idx="0">
                  <c:v>8</c:v>
                </c:pt>
                <c:pt idx="1">
                  <c:v>5.14</c:v>
                </c:pt>
                <c:pt idx="2">
                  <c:v>5.06</c:v>
                </c:pt>
                <c:pt idx="3">
                  <c:v>4.99</c:v>
                </c:pt>
                <c:pt idx="4">
                  <c:v>4.88</c:v>
                </c:pt>
                <c:pt idx="5">
                  <c:v>4.26</c:v>
                </c:pt>
                <c:pt idx="6">
                  <c:v>3.54</c:v>
                </c:pt>
                <c:pt idx="7">
                  <c:v>5.26</c:v>
                </c:pt>
                <c:pt idx="8">
                  <c:v>0.44</c:v>
                </c:pt>
                <c:pt idx="9">
                  <c:v>3.67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7.6</c:v>
                </c:pt>
                <c:pt idx="1">
                  <c:v>28.4</c:v>
                </c:pt>
                <c:pt idx="2">
                  <c:v>32.8</c:v>
                </c:pt>
                <c:pt idx="3">
                  <c:v>43.6</c:v>
                </c:pt>
                <c:pt idx="4">
                  <c:v>0.7</c:v>
                </c:pt>
                <c:pt idx="5">
                  <c:v>-12.6</c:v>
                </c:pt>
                <c:pt idx="6">
                  <c:v>25.4</c:v>
                </c:pt>
                <c:pt idx="7">
                  <c:v>6.4</c:v>
                </c:pt>
                <c:pt idx="8">
                  <c:v>-41.4</c:v>
                </c:pt>
                <c:pt idx="9">
                  <c:v>-40.4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1">
                  <c:v>21.8</c:v>
                </c:pt>
                <c:pt idx="2">
                  <c:v>17.3</c:v>
                </c:pt>
                <c:pt idx="3">
                  <c:v>16.2</c:v>
                </c:pt>
                <c:pt idx="4">
                  <c:v>14</c:v>
                </c:pt>
                <c:pt idx="5">
                  <c:v>7.6</c:v>
                </c:pt>
                <c:pt idx="6">
                  <c:v>4.3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15.1</c:v>
                </c:pt>
                <c:pt idx="1">
                  <c:v>15.1</c:v>
                </c:pt>
                <c:pt idx="2">
                  <c:v>15.1</c:v>
                </c:pt>
                <c:pt idx="3">
                  <c:v>15.1</c:v>
                </c:pt>
                <c:pt idx="4">
                  <c:v>15.1</c:v>
                </c:pt>
                <c:pt idx="5">
                  <c:v>15.1</c:v>
                </c:pt>
                <c:pt idx="6">
                  <c:v>15.1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Edenred</c:v>
                </c:pt>
                <c:pt idx="1">
                  <c:v>Pluxee</c:v>
                </c:pt>
                <c:pt idx="2">
                  <c:v>Corpay</c:v>
                </c:pt>
                <c:pt idx="3">
                  <c:v>WEX</c:v>
                </c:pt>
                <c:pt idx="4">
                  <c:v>Nexi</c:v>
                </c:pt>
                <c:pt idx="5">
                  <c:v>Adyen</c:v>
                </c:pt>
                <c:pt idx="6">
                  <c:v>Global Payments</c:v>
                </c:pt>
              </c:strCache>
            </c:strRef>
          </c:cat>
          <c:val>
            <c:numRef>
              <c:f>Hoja1!$B$2:$B$8</c:f>
              <c:numCache>
                <c:formatCode>0.0"x"</c:formatCode>
                <c:ptCount val="7"/>
                <c:pt idx="0">
                  <c:v>8.8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Reward Gateway (plataforma de compromiso de empleados, Reino Unido y Australia)</c:v>
                </c:pt>
                <c:pt idx="1">
                  <c:v>Nets (procesamiento de pagos, países nórdicos y Centroeuropa)</c:v>
                </c:pt>
                <c:pt idx="2">
                  <c:v>Ingenico (terminales y pagos a comercios)</c:v>
                </c:pt>
                <c:pt idx="3">
                  <c:v>Alpha Group International (divisas y cuentas para empresas, Reino Unido)</c:v>
                </c:pt>
                <c:pt idx="4">
                  <c:v>Edenred Pay North America (pagos B2B, EE. UU.), 40 % totalmente diluido</c:v>
                </c:pt>
              </c:strCache>
            </c:strRef>
          </c:cat>
          <c:val>
            <c:numRef>
              <c:f>Hoja1!$B$2:$B$6</c:f>
              <c:numCache>
                <c:formatCode>0.0"x"</c:formatCode>
                <c:ptCount val="5"/>
                <c:pt idx="0">
                  <c:v>25.6</c:v>
                </c:pt>
                <c:pt idx="1">
                  <c:v>20.2</c:v>
                </c:pt>
                <c:pt idx="2">
                  <c:v>15</c:v>
                </c:pt>
                <c:pt idx="4">
                  <c:v>24.6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629</c:v>
                </c:pt>
                <c:pt idx="1">
                  <c:v>778</c:v>
                </c:pt>
                <c:pt idx="2">
                  <c:v>856</c:v>
                </c:pt>
                <c:pt idx="3">
                  <c:v>908</c:v>
                </c:pt>
                <c:pt idx="4">
                  <c:v>952</c:v>
                </c:pt>
                <c:pt idx="5">
                  <c:v>985</c:v>
                </c:pt>
                <c:pt idx="6">
                  <c:v>1030</c:v>
                </c:pt>
                <c:pt idx="7">
                  <c:v>1064</c:v>
                </c:pt>
                <c:pt idx="8">
                  <c:v>1094</c:v>
                </c:pt>
                <c:pt idx="9">
                  <c:v>1120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6165</c:v>
                </c:pt>
                <c:pt idx="1">
                  <c:v>9642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29,22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23.67</c:v>
                </c:pt>
                <c:pt idx="1">
                  <c:v>46.89</c:v>
                </c:pt>
                <c:pt idx="2">
                  <c:v>62.52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29,22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(15,23 – 30,85)</c:v>
                </c:pt>
                <c:pt idx="1">
                  <c:v>Precio objetivo de los analistas (24,50 – 37,00)</c:v>
                </c:pt>
                <c:pt idx="2">
                  <c:v>Comparables: PER NTM (15,24 – 26,57)</c:v>
                </c:pt>
                <c:pt idx="3">
                  <c:v>DCF (WACC y g ± 0,5) (38,59 – 58,60)</c:v>
                </c:pt>
                <c:pt idx="4">
                  <c:v>Escenarios (bajista – alcista) (23,67 – 62,52)</c:v>
                </c:pt>
                <c:pt idx="5">
                  <c:v>DCF con la prima implícita del mercado (4,2 %)</c:v>
                </c:pt>
                <c:pt idx="6">
                  <c:v>Precio actual (29,22)</c:v>
                </c:pt>
              </c:strCache>
            </c:strRef>
          </c:cat>
          <c:val>
            <c:numRef>
              <c:f>Hoja1!$B$2:$B$8</c:f>
              <c:numCache>
                <c:formatCode>#,##0.0</c:formatCode>
                <c:ptCount val="7"/>
                <c:pt idx="0">
                  <c:v>15.23</c:v>
                </c:pt>
                <c:pt idx="1">
                  <c:v>24.5</c:v>
                </c:pt>
                <c:pt idx="2">
                  <c:v>15.24</c:v>
                </c:pt>
                <c:pt idx="3">
                  <c:v>38.59</c:v>
                </c:pt>
                <c:pt idx="4">
                  <c:v>23.67</c:v>
                </c:pt>
                <c:pt idx="5">
                  <c:v>53.55</c:v>
                </c:pt>
                <c:pt idx="6">
                  <c:v>29.07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(15,23 – 30,85)</c:v>
                </c:pt>
                <c:pt idx="1">
                  <c:v>Precio objetivo de los analistas (24,50 – 37,00)</c:v>
                </c:pt>
                <c:pt idx="2">
                  <c:v>Comparables: PER NTM (15,24 – 26,57)</c:v>
                </c:pt>
                <c:pt idx="3">
                  <c:v>DCF (WACC y g ± 0,5) (38,59 – 58,60)</c:v>
                </c:pt>
                <c:pt idx="4">
                  <c:v>Escenarios (bajista – alcista) (23,67 – 62,52)</c:v>
                </c:pt>
                <c:pt idx="5">
                  <c:v>DCF con la prima implícita del mercado (4,2 %)</c:v>
                </c:pt>
                <c:pt idx="6">
                  <c:v>Precio actual (29,22)</c:v>
                </c:pt>
              </c:strCache>
            </c:strRef>
          </c:cat>
          <c:val>
            <c:numRef>
              <c:f>Hoja1!$C$2:$C$8</c:f>
              <c:numCache>
                <c:formatCode>#,##0.0</c:formatCode>
                <c:ptCount val="7"/>
                <c:pt idx="0">
                  <c:v>15.620000000000001</c:v>
                </c:pt>
                <c:pt idx="1">
                  <c:v>12.5</c:v>
                </c:pt>
                <c:pt idx="2">
                  <c:v>11.33</c:v>
                </c:pt>
                <c:pt idx="3">
                  <c:v>20.009999999999998</c:v>
                </c:pt>
                <c:pt idx="4">
                  <c:v>38.85</c:v>
                </c:pt>
                <c:pt idx="5">
                  <c:v>17.64</c:v>
                </c:pt>
                <c:pt idx="6">
                  <c:v>0.3000000000000007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