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Neurocrine Biosciences, Inc.</w:t>
      </w:r>
    </w:p>
    <w:p>
      <w:pPr>
        <w:spacing w:after="60"/>
        <w:rPr>
          <w:color w:val="52514E"/>
          <w:sz w:val="22"/>
          <w:szCs w:val="22"/>
        </w:rPr>
      </w:pPr>
      <w:r>
        <w:rPr>
          <w:color w:val="52514E"/>
          <w:sz w:val="22"/>
          <w:szCs w:val="22"/>
        </w:rPr>
        <w:t xml:space="preserve">NBIX · Nasdaq Global Select · ISIN US64125C1099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135,91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175,88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+29,4 % (base +24,8 %)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156,01 USD · mercado 166,43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14.162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Neurocrine Biosciences,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NBIX / US64125C1099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Biotecnología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Diego (California) · 1992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neurocrine.com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135,91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122,14 – 186,12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14.162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13.533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203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175,88 USD</w:t>
      </w:r>
      <w:r>
        <w:t xml:space="preserve"> frente a 135,91 · Rentabilidad a 12 meses </w:t>
      </w:r>
      <w:r>
        <w:rPr>
          <w:b/>
          <w:bCs/>
        </w:rPr>
        <w:t xml:space="preserve">+29,4 % (base +24,8 %)</w:t>
      </w:r>
      <w:r>
        <w:t xml:space="preserve"> · Valor intrínseco 156,01 USD · con la prima implícita del mercado: 166,43 (+22,5 %) · Alcista / bajista +25,5 % / -16,6 %</w:t>
      </w:r>
    </w:p>
    <w:p>
      <w:pPr>
        <w:spacing w:after="100"/>
      </w:pPr>
      <w:r>
        <w:rPr>
          <w:b/>
        </w:rPr>
        <w:t xml:space="preserve">La recomendación y por qué.</w:t>
      </w:r>
      <w:r>
        <w:t xml:space="preserve"> Comprar con convicción baja. El objetivo a 12 meses es de 175,88 USD frente a un precio de 135,91 (cierre del 14-oct): rentabilidad ponderada del 29,4 % y del 24,8 % en el caso base, con un valor intrínseco de 156,01 USD (+14,8 %) y un objetivo medio de los analistas de 206,81 USD, dentro de nuestro rango (123,90-240,49) [22]. Decide la regla v2: la empresa está desrateada (mediana del PER adelantado de 29,4 veces frente a 15,1 hoy) y suponemos que ese múltiplo no vuelve. La razón es que el mercado paga 15 veces un beneficio que crecerá un 25 % en 2028 por CRENESSITY, un lanzamiento que ya vende 184 M al trimestre [4]. La convicción es baja porque la regla absoluta del valor intrínseco da Mantener (el DCF, 145,26 USD, solo supera el precio un 6,9 %), porque el BPA tiene que crecer un 34 % anual desde 2025 y porque hay resultados el 29-oct; subiría con unas ventas de CRENESSITY del 3T26 por encima de 210 M y una guía de INGREZZA para 2027 de al menos +3 %.</w:t>
      </w:r>
    </w:p>
    <w:p>
      <w:pPr>
        <w:spacing w:after="100"/>
      </w:pPr>
      <w:r>
        <w:rPr>
          <w:b/>
        </w:rPr>
        <w:t xml:space="preserve">El negocio.</w:t>
      </w:r>
      <w:r>
        <w:t xml:space="preserve"> Tres medicamentos con patente en EE. UU.: INGREZZA (88 % de las ventas de 2025, discinesia tardía), CRENESSITY (hiperplasia suprarrenal congénita) y VYKAT XR (Prader-Willi, comprado con Soleno) [1, 4]. Coste de ventas del 1,8 % y ROIC del 56,6 % frente a un WACC del 10,61 %; con el capital de Soleno, en torno al 26 % (estimación propia): calidad </w:t>
      </w:r>
      <w:r>
        <w:rPr>
          <w:b/>
        </w:rPr>
        <w:t xml:space="preserve">Sí</w:t>
      </w:r>
      <w:r>
        <w:t xml:space="preserve"> (ROIC − WACC muy por encima de 5 puntos). La sostenibilidad del crecimiento es «Sí»: el 8,3 % anual proyectado es un tercio del histórico, sale de productos aprobados y no necesita capital; el motor también la da por buena.</w:t>
      </w:r>
    </w:p>
    <w:p>
      <w:pPr>
        <w:spacing w:after="100"/>
      </w:pPr>
      <w:r>
        <w:rPr>
          <w:b/>
        </w:rPr>
        <w:t xml:space="preserve">Sector y regulación.</w:t>
      </w:r>
      <w:r>
        <w:t xml:space="preserve"> El precio lo pone Medicare. AUSTEDO, el único rival, cobrará desde enero de 2027 un precio negociado un 38 % por debajo de la lista, y INGREZZA entra en la selección de 2027 con precio negociado desde 2029 [2, 10]. Los genéricos llegan el 1-mar-2038 [1]. El modelo recoge las tres fechas: −2,5 % de precio en 2027, −9,5 % de ventas de INGREZZA en 2029 y un valor terminal de 8 veces el EBITDA.</w:t>
      </w:r>
    </w:p>
    <w:p>
      <w:pPr>
        <w:spacing w:after="100"/>
      </w:pPr>
      <w:r>
        <w:rPr>
          <w:b/>
        </w:rPr>
        <w:t xml:space="preserve">Finanzas.</w:t>
      </w:r>
      <w:r>
        <w:t xml:space="preserve"> Sin deuda, 482 M de caja y 147 M en participaciones tras pagar 2.830 M por Soleno; flujo libre de unos 870 M en 12 meses [2]. Los pagos en acciones son el 46 % del beneficio y las recompras no reducen las acciones.</w:t>
      </w:r>
    </w:p>
    <w:p>
      <w:pPr>
        <w:spacing w:after="100"/>
      </w:pPr>
      <w:r>
        <w:rPr>
          <w:b/>
        </w:rPr>
        <w:t xml:space="preserve">Equipo y gobierno.</w:t>
      </w:r>
      <w:r>
        <w:t xml:space="preserve"> Consejo independiente y presidente separado, pero escalonado; el variable premia cuota y compras, no rentabilidad; 77,9 M de ventas de directivos sin una compra y salida del director médico en septiembre [17, 19, 20].</w:t>
      </w:r>
    </w:p>
    <w:p>
      <w:pPr>
        <w:spacing w:after="100"/>
      </w:pPr>
      <w:r>
        <w:rPr>
          <w:b/>
        </w:rPr>
        <w:t xml:space="preserve">Valoración.</w:t>
      </w:r>
      <w:r>
        <w:t xml:space="preserve"> El DCF inverso descuenta un 4,0 % de crecimiento anual (nuestro base, 5,1 %): el mercado ya da por hecho el IRA. Los comparables (PER ajustado de 17,4 veces) darían 201,47 USD, pero mezclan vencimientos distintos.</w:t>
      </w:r>
    </w:p>
    <w:p>
      <w:pPr>
        <w:spacing w:after="100"/>
      </w:pPr>
      <w:r>
        <w:rPr>
          <w:b/>
        </w:rPr>
        <w:t xml:space="preserve">Riesgos y catalizadores.</w:t>
      </w:r>
      <w:r>
        <w:t xml:space="preserve"> Un precio negociado de INGREZZA más duro de lo previsto (−10 a −15 % del valor), un CRENESSITY que se estanca (bajista: 113,35 USD) y la seguridad de VYKAT XR (siete muertes notificadas; −5 a −10 %) [12]. Riesgo de IA bajo y como oportunidad en el I+D (+3 %). En los foros domina el desconcierto tras caer un 27 % desde julio, sin capitulación. Catalizadores: 3T26 (29-oct), guía de 2027 (febrero), lista de CMS (febrero de 2027) y fases 3 de osavampator y direclidina (2027).</w:t>
      </w:r>
    </w:p>
    <w:p>
      <w:pPr>
        <w:spacing w:after="100"/>
      </w:pPr>
      <w:r>
        <w:rPr>
          <w:b/>
        </w:rPr>
        <w:t xml:space="preserve">Qué cambiaría la decisión.</w:t>
      </w:r>
      <w:r>
        <w:t xml:space="preserve"> Comprar por debajo de 151,40 USD; vender por encima de 195,43. Las pruebas de robustez dan una acción robusta de Mantener por el crecimiento del BPA: compraríamos en dos tramos, el segundo tras el 3T26 si CRENESSITY supera 210 M y VYKAT XR no cae de 90 M. Pasaríamos a Mantener si la guía de INGREZZA de 2027 es plana o si CMS publica un recorte superior al 40 %.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175,88 USD</w:t>
      </w:r>
      <w:r>
        <w:t xml:space="preserve"> (rentabilidad +29,4 % (base +24,8 %)) · Valor intrínseco: 156,01 USD (+14,8 % sobre 135,91) · con la prima implícita del mercado: 166,43 (+22,5 %)</w:t>
      </w:r>
    </w:p>
    <w:p>
      <w:pPr>
        <w:spacing w:after="100"/>
      </w:pPr>
      <w:r>
        <w:t xml:space="preserve">Neurocrine vende el medicamento líder en discinesia tardía (INGREZZA, 2.514 M USD en 2025) con un coste de ventas del 1,8 % y un ROIC del 56,6 %, y está lanzando el primer tratamiento nuevo en décadas para la hiperplasia suprarrenal congénita (CRENESSITY, 184 M en el 2T26) [1, 4]. Tiene caja neta y genera unos 870 M de flujo libre al año [2].</w:t>
      </w:r>
    </w:p>
    <w:p>
      <w:pPr>
        <w:spacing w:after="100"/>
      </w:pPr>
      <w:r>
        <w:t xml:space="preserve">El precio, 135,91 USD, es 15,1 veces nuestro BPA de 2027 y 11,7 veces el BPA ajustado de los próximos 12 meses: el múltiplo más bajo de su historia. El DCF inverso descuenta un 4,0 % de crecimiento anual en 2027-2035, por debajo de nuestro 5,1 %, después de recoger el precio negociado de Medicare en 2029 y los genéricos de 2038 [1, 2].</w:t>
      </w:r>
    </w:p>
    <w:p>
      <w:pPr>
        <w:spacing w:after="100"/>
      </w:pPr>
      <w:r>
        <w:t xml:space="preserve">El mercado acierta en que la etapa de 25 % de crecimiento anual ha terminado y en que Soleno fue cara (12,2 veces las ventas de un producto que no crece) [8]. Se equivoca, creemos, al tratar el beneficio de 2028 como si fuera el de 2025: CRENESSITY añade unos 1.000 M de ventas con un margen marginal altísimo antes de que llegue el IRA. Para invertir hay que creer que CRENESSITY pasa de 1.300 M en 2028 y que el precio negociado de INGREZZA no supera el 14 % de recorte medio.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 × 9,68 = 123,90 · 15,1x × 11,23 = 169,57 · 19,6x × 12,27 = 240,49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 / 24,8 %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(29,4x) es 1,9 veces el PER de hoy (15,1x);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206,81 (nuestro base -18,0 %)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 / -16,6 %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 frente a 10,6 % y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166,43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151,40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151,40 y 195,43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195,43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CRENESSITY vende menos de 200 M en el 3T26 (29-oct), pasaríamos a Mantener.</w:t>
      </w:r>
    </w:p>
    <w:p>
      <w:pPr>
        <w:pStyle w:val="ListParagraph"/>
        <w:numPr>
          <w:ilvl w:val="0"/>
          <w:numId w:val="2"/>
        </w:numPr>
        <w:spacing w:after="60"/>
      </w:pPr>
      <w:r>
        <w:t xml:space="preserve">Si la guía de INGREZZA para 2027 es inferior a +2 %, recortaríamos el BPA de 2028 un 5 % y pasaríamos a Mantener.</w:t>
      </w:r>
    </w:p>
    <w:p>
      <w:pPr>
        <w:pStyle w:val="ListParagraph"/>
        <w:numPr>
          <w:ilvl w:val="0"/>
          <w:numId w:val="2"/>
        </w:numPr>
        <w:spacing w:after="60"/>
      </w:pPr>
      <w:r>
        <w:t xml:space="preserve">Si la FDA añade un recuadro de advertencia a VYKAT XR o la empresa deteriora sus intangibles, revisaríamos el caso base.</w:t>
      </w:r>
    </w:p>
    <w:p>
      <w:pPr>
        <w:pStyle w:val="ListParagraph"/>
        <w:numPr>
          <w:ilvl w:val="0"/>
          <w:numId w:val="2"/>
        </w:numPr>
        <w:spacing w:after="60"/>
      </w:pPr>
      <w:r>
        <w:t xml:space="preserve">Si el precio supera 151,40 USD sin cambios en el BPA, dejaría de ser compra; por encima de 195,43, vender.</w:t>
      </w:r>
    </w:p>
    <w:p>
      <w:pPr>
        <w:pStyle w:val="ListParagraph"/>
        <w:numPr>
          <w:ilvl w:val="0"/>
          <w:numId w:val="2"/>
        </w:numPr>
        <w:spacing w:after="60"/>
      </w:pPr>
      <w:r>
        <w:t xml:space="preserve">Si osavampator tiene datos positivos de fase 3 en 2027, subiríamos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4,0 % anual en 2027-2035 y un PER de 15 veces el BPA de 2027: trata a Neurocrine como una farmacéutica madura con un producto que pierde precio en 2029 y patente en 2038, y descuenta que Soleno destruyó valor.</w:t>
      </w:r>
    </w:p>
    <w:p>
      <w:pPr>
        <w:keepNext/>
        <w:spacing w:after="100"/>
      </w:pPr>
      <w:r>
        <w:rPr>
          <w:b/>
          <w:bCs/>
        </w:rPr>
        <w:t xml:space="preserve">Lo que creemos nosotros.</w:t>
      </w:r>
    </w:p>
    <w:p>
      <w:pPr>
        <w:spacing w:after="100"/>
      </w:pPr>
      <w:r>
        <w:t xml:space="preserve">El BPA pasa de 8,0 USD en 2026 a 11,23 en 2028 (+18 % anual) antes del IRA, porque CRENESSITY sube de 800 M a 1.330 M de ventas con poco coste adicional; después del golpe de 2029, el grupo vuelve a crecer al 5-6 % con CRENESSITY, VYKAT XR y la cartera.</w:t>
      </w:r>
    </w:p>
    <w:p>
      <w:pPr>
        <w:keepNext/>
        <w:spacing w:after="100"/>
      </w:pPr>
      <w:r>
        <w:rPr>
          <w:b/>
          <w:bCs/>
        </w:rPr>
        <w:t xml:space="preserve">Por qué podemos tener razón.</w:t>
      </w:r>
    </w:p>
    <w:p>
      <w:pPr>
        <w:spacing w:after="100"/>
      </w:pPr>
      <w:r>
        <w:t xml:space="preserve">La curva de CRENESSITY es visible trimestre a trimestre (135, 153 y 184 M) y su patente es larga [4]. El mercado mira 2029 y 2038, que están en nuestro modelo, y no el beneficio de 2027-2028, que es lo que medirá la regla en un año.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35,9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CRENESSITY acelera</w:t>
      </w:r>
      <w:r>
        <w:t xml:space="preserve">: de 135 M en el 4T25 a 184 M en el 2T26, sin guía todavía [4].</w:t>
      </w:r>
    </w:p>
    <w:p>
      <w:pPr>
        <w:pStyle w:val="ListParagraph"/>
        <w:numPr>
          <w:ilvl w:val="0"/>
          <w:numId w:val="2"/>
        </w:numPr>
        <w:spacing w:after="60"/>
      </w:pPr>
      <w:r>
        <w:rPr>
          <w:b/>
        </w:rPr>
        <w:t xml:space="preserve">Múltiplo mínimo histórico</w:t>
      </w:r>
      <w:r>
        <w:t xml:space="preserve">: 15,1 veces nuestro BPA de 2027 frente a una mediana adelantada de 29,4.</w:t>
      </w:r>
    </w:p>
    <w:p>
      <w:pPr>
        <w:pStyle w:val="ListParagraph"/>
        <w:numPr>
          <w:ilvl w:val="0"/>
          <w:numId w:val="2"/>
        </w:numPr>
        <w:spacing w:after="60"/>
      </w:pPr>
      <w:r>
        <w:rPr>
          <w:b/>
        </w:rPr>
        <w:t xml:space="preserve">Calidad</w:t>
      </w:r>
      <w:r>
        <w:t xml:space="preserve">: ROIC del 56,6 % (26 % pro forma con Soleno) frente a un WACC del 10,61 %.</w:t>
      </w:r>
    </w:p>
    <w:p>
      <w:pPr>
        <w:pStyle w:val="ListParagraph"/>
        <w:numPr>
          <w:ilvl w:val="0"/>
          <w:numId w:val="2"/>
        </w:numPr>
        <w:spacing w:after="60"/>
      </w:pPr>
      <w:r>
        <w:rPr>
          <w:b/>
        </w:rPr>
        <w:t xml:space="preserve">Balance sin deuda</w:t>
      </w:r>
      <w:r>
        <w:t xml:space="preserve"> y flujo libre de unos 870 M en 12 meses [2].</w:t>
      </w:r>
    </w:p>
    <w:p>
      <w:pPr>
        <w:pStyle w:val="ListParagraph"/>
        <w:numPr>
          <w:ilvl w:val="0"/>
          <w:numId w:val="2"/>
        </w:numPr>
        <w:spacing w:after="60"/>
      </w:pPr>
      <w:r>
        <w:rPr>
          <w:b/>
        </w:rPr>
        <w:t xml:space="preserve">Fechas conocidas</w:t>
      </w:r>
      <w:r>
        <w:t xml:space="preserve">: el IRA (2029) y los genéricos (2038) ya están en el modelo y en el precio (DCF inverso del 4,0 %).</w:t>
      </w:r>
    </w:p>
    <w:p>
      <w:pPr>
        <w:pStyle w:val="Heading2"/>
      </w:pPr>
      <w:r>
        <w:t xml:space="preserve">En contra</w:t>
      </w:r>
    </w:p>
    <w:p>
      <w:pPr>
        <w:pStyle w:val="ListParagraph"/>
        <w:numPr>
          <w:ilvl w:val="0"/>
          <w:numId w:val="2"/>
        </w:numPr>
        <w:spacing w:after="60"/>
      </w:pPr>
      <w:r>
        <w:rPr>
          <w:b/>
        </w:rPr>
        <w:t xml:space="preserve">Concentración</w:t>
      </w:r>
      <w:r>
        <w:t xml:space="preserve">: INGREZZA fue el 88 % de las ventas de 2025 [1].</w:t>
      </w:r>
    </w:p>
    <w:p>
      <w:pPr>
        <w:pStyle w:val="ListParagraph"/>
        <w:numPr>
          <w:ilvl w:val="0"/>
          <w:numId w:val="2"/>
        </w:numPr>
        <w:spacing w:after="60"/>
      </w:pPr>
      <w:r>
        <w:rPr>
          <w:b/>
        </w:rPr>
        <w:t xml:space="preserve">IRA</w:t>
      </w:r>
      <w:r>
        <w:t xml:space="preserve">: precio negociado de INGREZZA desde 2029 y de AUSTEDO desde 2027 (−38 %) [2, 10].</w:t>
      </w:r>
    </w:p>
    <w:p>
      <w:pPr>
        <w:pStyle w:val="ListParagraph"/>
        <w:numPr>
          <w:ilvl w:val="0"/>
          <w:numId w:val="2"/>
        </w:numPr>
        <w:spacing w:after="60"/>
      </w:pPr>
      <w:r>
        <w:rPr>
          <w:b/>
        </w:rPr>
        <w:t xml:space="preserve">Soleno</w:t>
      </w:r>
      <w:r>
        <w:t xml:space="preserve">: 2.830 M por un producto de 190 M de ventas, plano y con alerta de seguridad [2, 12].</w:t>
      </w:r>
    </w:p>
    <w:p>
      <w:pPr>
        <w:pStyle w:val="ListParagraph"/>
        <w:numPr>
          <w:ilvl w:val="0"/>
          <w:numId w:val="2"/>
        </w:numPr>
        <w:spacing w:after="60"/>
      </w:pPr>
      <w:r>
        <w:rPr>
          <w:b/>
        </w:rPr>
        <w:t xml:space="preserve">Dilución</w:t>
      </w:r>
      <w:r>
        <w:t xml:space="preserve">: pagos en acciones del 46 % del beneficio y 77,9 M de ventas de directivos sin compras [19].</w:t>
      </w:r>
    </w:p>
    <w:p>
      <w:pPr>
        <w:pStyle w:val="ListParagraph"/>
        <w:numPr>
          <w:ilvl w:val="0"/>
          <w:numId w:val="2"/>
        </w:numPr>
        <w:spacing w:after="60"/>
      </w:pPr>
      <w:r>
        <w:rPr>
          <w:b/>
        </w:rPr>
        <w:t xml:space="preserve">Valor intrínseco justo</w:t>
      </w:r>
      <w:r>
        <w:t xml:space="preserve">: el DCF (145,26 USD) supera el precio solo un 6,9 %.</w:t>
      </w:r>
    </w:p>
    <w:p>
      <w:pPr>
        <w:pStyle w:val="Heading2"/>
      </w:pPr>
      <w:r>
        <w:t xml:space="preserve">Qué tiene que pasar para que la tesis funcione</w:t>
      </w:r>
    </w:p>
    <w:p>
      <w:pPr>
        <w:spacing w:after="100"/>
      </w:pPr>
      <w:r>
        <w:t xml:space="preserve">La tesis depende de que CRENESSITY siga sumando 25-30 M de ventas por trimestre y de que INGREZZA mantenga el precio en 2027 pese al precio negociado de AUSTEDO. La señal de que no se cumple: un 3T26 con CRENESSITY por debajo de 210 M o una guía de INGREZZA de 2027 plana. La segunda señal, a un año, es el precio que publique CMS en noviembre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trimestrales de CRENESSITY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183,5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200 M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fuente del crecimiento del BPA en 2027-2028.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 ventas de INGREZZA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2.825-2.875 M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 &lt;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efecto del precio negociado de AUSTEDO.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trimestrales de VYKAT XR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M pro forma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Justifica los 2.226 M de intangibles.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negociado de INGREZZA (CMS)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Pendiente (lista en feb-2027)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Recorte &gt; 40 % sobre lista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modelo supone −14 % en el precio medio de 2029.</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28 %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gasto comercial ya subió en 2026.</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19,9x / 11,7x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 · -0,5x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Neurocrine nació en San Diego en 1992 como biotecnológica de neuroendocrinología y salió a bolsa en el Nasdaq en 1996 [1]. Pasó dos décadas sin producto propio: su primer éxito fue licenciar elagolix a AbbVie (Orilissa, aprobada en 2018), que hoy solo deja royalties [1]. El giro llegó con INGREZZA (valbenazina), aprobada en abril de 2017 para la discinesia tardía: de 0 a 2.514 M USD en 2025 [1]. En diciembre de 2024 lanzó CRENESSITY para la hiperplasia suprarrenal congénita, el primer tratamiento nuevo en décadas para esa enfermedad, y en mayo de 2026 compró Soleno (VYKAT XR, Prader-Willi) por 2.900 M en caja [8]. Kevin Gorman, consejero delegado desde 2008, dejó el cargo a Kyle Gano en octubre de 2024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San Diego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elagolix a AbbVie: royalties de Orilissa (2018) y Oriahnn (2020)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aprueba INGREZZA para la discinesia tardía; emisión de 517,5 M de bonos convertibles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de beneficio sostenido; licencia de osavampator de Takeda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INGREZZA aprobada para la corea de Huntington; acuerdos con los genéricos: entrada desde el 1-mar-2038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CRENESSITY (dic); Kyle Gano sustituye a Kevin Gorman; vencen los convertibles [1,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Soleno Therapeutics por 2.900 M en caja (mayo); venta de ALKINDI y EFMODY (enero) [2, 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Neurocrine es una biofarmacéutica de San Diego que vende tres medicamentos propios en EE. UU. a través de una red cerrada de farmacias especializadas y distribuidores [1]. INGREZZA (valbenazina), un inhibidor de VMAT2 en cápsula diaria, trata la discinesia tardía —movimientos involuntarios que causan los antipsicóticos, unos 800.000 pacientes en EE. UU.— y la corea de Huntington; fue el 88 % de las ventas de 2025 [1]. CRENESSITY (crinecerfont) es el primer tratamiento oral nuevo para la hiperplasia suprarrenal congénita clásica (al menos 20.000 pacientes en EE. UU.) y se vende por una sola farmacia especializada [1]. VYKAT XR, de Soleno, trata la hiperfagia del síndrome de Prader-Willi [2]. Fabrica con terceros y cobra royalties de AbbVie (elagolix) y de Tanabe (valbenazina en Japón) [1]. La cartera en desarrollo tiene dos fases 3 con datos en 2027: osavampator en depresión mayor y direclidina (agonista M4) en esquizofrenia [4].</w:t>
      </w:r>
    </w:p>
    <w:p>
      <w:pPr>
        <w:pStyle w:val="Heading2"/>
      </w:pPr>
      <w:r>
        <w:t xml:space="preserve">Cómo gana dinero</w:t>
      </w:r>
    </w:p>
    <w:p>
      <w:pPr>
        <w:spacing w:after="100"/>
      </w:pPr>
      <w:r>
        <w:t xml:space="preserve">Es un negocio de patente: el coste de ventas fue el 1,8 % de los ingresos en 2025 y casi todo el gasto es I+D (1.016 M) y comercial y de administración (1.156 M) [1]. Cada dólar adicional de ventas llega casi entero al resultado mientras la red comercial no crezca, por eso el margen EBITDA pasó del 10 % de 2021 al 22,7 % de 2025 aun con el I+D multiplicado por tres. El ingreso es recurrente: son tratamientos crónicos de por vida, y lo que se mueve cada año es el precio neto, que depende de los descuentos a las aseguradoras y a Medicare (la mayor parte de las ventas de INGREZZA se reembolsa por programas federales) [1]. La palanca de los próximos años es CRENESSITY, con un precio de enfermedad rara y la misma estructura de coste. No hay estacionalidad relevante salvo el primer trimestre, cuando se reinician los copagos de Medicare.</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INGREZZA (valbenazina)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CRENESSITY (crinecerfont)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+17.617,6 %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(ALKINDI, EFMODY, royalties de AbbVie y Tanabe)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INGREZZA (valbenazina)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CRENESSITY (crinecerfont)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(ALKINDI, EFMODY, royalties de AbbVie y Tanabe)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Cuatro distribuidores y farmacias especializadas concentran más del 90 % de las ventas brutas, pero el riesgo real no es de crédito: es el pagador final [1]. La mayor parte de las ventas de INGREZZA la paga Medicare (Parte D) o Medicaid, y por eso la negociación de precios del IRA importa tanto [1]. El poder de precios se ha debilitado: en 2025 INGREZZA creció un 8,7 % en ventas con un volumen de recetas al alza de dos dígitos, porque el precio neto bajó por los descuentos de acceso a formularios [5]. Teva cobrará desde 2027 el precio negociado de AUSTEDO en Medicare (−38 % sobre lista), lo que presionará los formularios de INGREZZA; Teva espera que AUSTEDO venda 2.400-2.550 M en 2026 [2, 10, 15]. En CRENESSITY, el reembolso cubre en torno al 80 % de las recetas dispensadas [4].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netas de INGREZZA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2.313,5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recetas al alza de dos dígitos y precio neto a la baja por descuentos de acceso a formularios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netas de CRENESSITY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 (4T25)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183,5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en dos trimestres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2.048 formularios de inicio en 2025; reembolso de en torno al 80 % de las recetas dispensadas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netas de VYKAT XR (M USD, trimestre completo pro forma)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 (4T25, Soleno)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Estancado desde el 4T25; consolidado desde el 18-may-26 (54 M en el 2T26)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 ventas de INGREZZA 2026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2.700-2.800 (feb-26)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2.825-2.875 (jul-26)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en el punto medio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la guía con los resultados del 2T26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de I+D (GAAP,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fases 3 (osavampator y direclidina); guía 2026 de 1.275-1.325 M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200 (2017)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2.000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de las redes de ventas de INGREZZA y CRENESSITY en el 1T26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los inhibidores de VMAT2 con marca en EE. UU. para discinesia tardía y corea de Huntington, que se reparten INGREZZA y AUSTEDO de Teva (la tetrabenazina genérica es residual) [1, 9]. Medimos el tamaño como la suma de las ventas netas de los dos productos: 4.774 M USD en 2025, con datos de las dos empresas [1, 9]. CRENESSITY y VYKAT XR crean mercados nuevos sin tamaño publicado fiable: la empresa estima al menos 20.000 pacientes de CAH clásica en EE. UU. [1]; el perímetro completo de la biofarma de neurología y enfermedades raras está en la ficha sectorial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4.774 M USD en 2025: INGREZZA 2.514 M [1] + AUSTEDO 2.260 M [9] (ventas netas en EE. UU. de los dos inhibidores de VMAT2 con marca)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 (duopolio)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entas netas de INGREZZA + AUSTED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 de la discinesia tardía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800.000 pacientes en EE. UU. y una minoría tratada; INGREZZA crece en recetas a doble dígito [1,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Negociación de precios de Medicare (IRA)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AUSTEDO −38 % desde 2027; INGREZZA elegible en la selección de 2027 para precios de 2029 [2,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Lanzamientos en enfermedades raras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CRENESSITY de 135 M en el 4T25 a 184 M en el 2T26 [4,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Uso de antipsicóticos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discinesia tardía es efecto secundario de su uso crónico; nuevos antipsicóticos sin bloqueo D2 podrían reducirla a largo plazo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Genéricos de valbenazina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Entrada pactada desde el 1-mar-2038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con Teva: cuota estable en torno al 53 % frente al 47 %, compitiendo con descuentos a formularios [1,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Medicare paga la mayor parte y negociará el precio en 2029; las aseguradoras piden descuentos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Fabricantes por contrato con coste de ventas del 1,8 % de los ingresos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hasta 2038-2040 y fases 3 de varios años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Toxina botulínica, tetrabenazina genérica y cambio de antipsicótico; en CAH, corticoides a dosis altas [1].</w:t>
            </w:r>
          </w:p>
        </w:tc>
      </w:tr>
    </w:tbl>
    <w:p>
      <w:pPr>
        <w:spacing w:after="160" w:before="0"/>
      </w:pPr>
    </w:p>
    <w:p>
      <w:pPr>
        <w:pStyle w:val="Heading2"/>
      </w:pPr>
      <w:r>
        <w:t xml:space="preserve">Ciclo</w:t>
      </w:r>
    </w:p>
    <w:p>
      <w:pPr>
        <w:spacing w:after="100"/>
      </w:pPr>
      <w:r>
        <w:t xml:space="preserve">Es un negocio no cíclico: la demanda de tratamientos crónicos no depende de la economía. INGREZZA siguió creciendo en 2020 (las ventas del grupo pasaron de 788 a 1.046 M) y en 2022 [7]. Lo que hace ciclo es la regulación de precios: el IRA, aprobado en 2022, es el equivalente a una recesión con fecha para cada medicamento, y para INGREZZA cae en 2029 [2].</w:t>
      </w:r>
    </w:p>
    <w:p>
      <w:pPr>
        <w:pStyle w:val="Heading2"/>
      </w:pPr>
      <w:r>
        <w:t xml:space="preserve">Regulación</w:t>
      </w:r>
    </w:p>
    <w:p>
      <w:pPr>
        <w:spacing w:after="100"/>
      </w:pPr>
      <w:r>
        <w:t xml:space="preserve">La Ley de Reducción de la Inflación (IRA) permite a Medicare negociar el precio de los medicamentos de un solo fabricante con más años en el mercado: AUSTEDO fue elegido en 2025 y su precio negociado (−38 % sobre lista) rige desde el 1-ene-2027 [10]. INGREZZA tiene la excepción de pequeña biotecnológica hasta la selección de 2027, con precio negociado desde 2029 y un techo de «monopolio corto» con suelo temporal [2]. Neurocrine pierde la excepción si la compra otra empresa [2]. El rediseño de la Parte D (descuentos del 10-20 % desde 2025, escalonados para los pequeños fabricantes) también recae sobre INGREZZA [2].</w:t>
      </w:r>
    </w:p>
    <w:p>
      <w:pPr>
        <w:pStyle w:val="Heading2"/>
      </w:pPr>
      <w:r>
        <w:t xml:space="preserve">Tendencias y disrupción</w:t>
      </w:r>
    </w:p>
    <w:p>
      <w:pPr>
        <w:spacing w:after="100"/>
      </w:pPr>
      <w:r>
        <w:t xml:space="preserve">Tres tendencias. Primera, la presión sobre los precios en EE. UU. (IRA, precios de nación más favorecida, aranceles a medicamentos importados) [2]. Segunda, la carrera por los agonistas muscarínicos en esquizofrenia, donde Neurocrine compite con direclidina frente a Cobenfy de Bristol-Myers [38]. Tercera, la IA en el descubrimiento de fármacos: dos consejeros de Neurocrine están en Iambic Therapeutics, que diseña moléculas con IA [17]. Neurocrine gana con la primera solo si diversifica a tiempo, y la tercera puede abaratar su I+D.</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inhibidores de VMAT2 en EE. UU. (52,7 % de las ventas de 2025 frente a AUSTEDO de Teva); único tratamiento aprobado en CAH clásica (CRENESSITY) y en hiperfagia del Prader-Willi (VYKAT XR)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Teva (AUSTEDO / AUSTEDO XR)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TEVA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rival directo en discinesia tardía; precio de Medicare negociado desde el 1-ene-2027 (−38 % sobre lista) [9,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Incyte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Comparable de modelo: dependencia de un producto (Jakafi) con vencimiento cercano; margen EBITDA 33,4 %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 Therapeutics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UTHR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Enfermedades raras (hipertensión pulmonar), margen EBITDA 47,4 %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Jazz Pharmaceuticals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JAZZ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Neurociencia (Xywav) con genéricos de Xyrem; margen EBITDA 41,9 %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BioMarin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BMRN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Enfermedades raras; endeudada tras su última compra (DN/EBITDA 5,2×)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Exelixis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producto (cabozantinib) con genéricos acordados desde 2031; margen EBITDA 41,9 % [14].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medicamento.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Pacientes estables con un tratamiento crónico rara vez cambian; la persistencia de INGREZZA supera a la de AUSTEDO XR según datos de la empresa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patentes del Orange Book de INGREZZA hasta 2040 y genéricos pactados desde 2038; CRENESSITY y VYKAT XR, primeros de su clase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del 1,8 %, pero igual que cualquier medicamento con patente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Duopolio en VMAT2 y mercados de enfermedades raras demasiado pequeños para un tercero [1].</w:t>
            </w:r>
          </w:p>
        </w:tc>
      </w:tr>
    </w:tbl>
    <w:p>
      <w:pPr>
        <w:spacing w:after="160" w:before="0"/>
      </w:pPr>
    </w:p>
    <w:p>
      <w:pPr>
        <w:pStyle w:val="Heading2"/>
      </w:pPr>
      <w:r>
        <w:t xml:space="preserve">Amenazas</w:t>
      </w:r>
    </w:p>
    <w:p>
      <w:pPr>
        <w:spacing w:after="100"/>
      </w:pPr>
      <w:r>
        <w:t xml:space="preserve">La amenaza principal no es un competidor sino el precio: el IRA de 2029 y el precio negociado de AUSTEDO desde 2027, que da a las aseguradoras una palanca para exigir más descuentos a INGREZZA (probabilidad alta) [2, 10, 11]. La segunda es el vencimiento de 2038, que se llevará el 70-80 % de las ventas de INGREZZA en pocos años, como suele pasar con los genéricos en EE. UU. (seguro, con fecha) [1]. La tercera es la seguridad de VYKAT XR: siete muertes notificadas a la FDA hasta julio de 2026 y un aviso de las asociaciones de pacientes (probabilidad media de un cambio de etiqueta) [12, 16].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p>
      <w:pPr>
        <w:spacing w:after="100"/>
      </w:pPr>
      <w:r>
        <w:t xml:space="preserve">Crecimiento anual compuesto 2021-2025: ingresos </w:t>
      </w:r>
      <w:r>
        <w:rPr>
          <w:b/>
          <w:bCs/>
        </w:rPr>
        <w:t xml:space="preserve">26,0 %</w:t>
      </w:r>
      <w:r>
        <w:t xml:space="preserve">, EBITDA </w:t>
      </w:r>
      <w:r>
        <w:rPr>
          <w:b/>
          <w:bCs/>
        </w:rPr>
        <w:t xml:space="preserve">54,7 %</w:t>
      </w:r>
      <w:r>
        <w:t xml:space="preserve">, BPA </w:t>
      </w:r>
      <w:r>
        <w:rPr>
          <w:b/>
          <w:bCs/>
        </w:rPr>
        <w:t xml:space="preserve">50,1 %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1.134 M USD en 2021 a 2.861 M en 2025 (TCAC del 26 %), todo orgánico salvo los 42,7 M de Diurnal en 2022 [1]. El margen EBITDA subió de 10,0 % a 22,7 %: el apalancamiento operativo de INGREZZA compensó un I+D que pasó de 328 M a 1.016 M [7]. Los márgenes de 2021 y 2023 están deprimidos por la I+D adquirida (105 y 144 M de pagos iniciales de licencias) [7]. En el LTM de junio de 2026 las ventas fueron 3.374 M y el BPA diluido 6,84 USD, con CRENESSITY ya al 19 % de las ventas del 2T26 y VYKAT XR consolidado desde el 18 de mayo [2, 3, 4]. El tipo impositivo de 2025 (32,2 %) es alto por el GILTI y por beneficios no distribuidos en Suiza; en el primer semestre de 2026 bajó al 16,3 % [1, 4].</w:t>
      </w:r>
    </w:p>
    <w:p>
      <w:pPr>
        <w:pStyle w:val="Heading2"/>
      </w:pPr>
      <w:r>
        <w:t xml:space="preserve">Ajustes y partidas no recurrentes</w:t>
      </w:r>
    </w:p>
    <w:p>
      <w:pPr>
        <w:spacing w:after="100"/>
      </w:pPr>
      <w:r>
        <w:t xml:space="preserve">Usamos el BPA publicado (US GAAP). La empresa publica además un BPA «no GAAP» que excluye los pagos en acciones (218 M en 2025), la amortización de intangibles comprados, la variación de valor de sus participaciones y los costes de compras: en el 2T26 fue 2,85 USD frente a 1,39 USD publicado [4]. Para la regla a 12 meses normalizamos el publicado: quitamos la variación de valor de las participaciones, el cargo de los convertibles de 2024 (138,4 M, sin efecto fiscal), la liberación de la provisión fiscal de 2020 (296 M), los costes de la compra de Soleno (125,6 M en el 2T26, con 60,1 M de pagos en acciones acelerados) y la plusvalía de la venta de ALKINDI (28,6 M), y dejamos la I+D adquirida en 25 M al año, su nivel habitual [1, 2]. Dejamos dentro los pagos en acciones y la amortización de VYKAT XR (unos 137 M al año durante 16 años) porque son coste recurrente [4].</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2T26 (30-jul) la dirección subió la guía de INGREZZA a 2.825-2.875 M (desde 2.700-2.800 M) por un volumen récord de nuevas recetas, y repitió que no dará guía de CRENESSITY [4]. El mensaje cambió respecto al 1T26: de «crecimiento sostenido de INGREZZA y CRENESSITY» a «una estrategia que se compone con el tiempo» y la compra de Soleno como tercera pata [4, 6]. Las preguntas que más se repitieron fueron el gasto comercial (guía de gastos comerciales y de administración subida a 1.575-1.600 M GAAP), el precio neto de INGREZZA ante el precio negociado de AUSTEDO en 2027 y el estancamiento de VYKAT XR (94 M pro forma, igual que el 4T25 de Soleno) [4, 13]. La dirección evitó cuantificar el efecto del IRA de 2029 y no dio una previsión de ventas de VYKAT XR. La acción cayó un 10,1 % al día siguiente pese a batir las previsiones de ingresos [21].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(2026: Soleno Therapeutics (VYKAT XR), consolidada desde el 18-may-26 por 2.830 M USD en caja; venta de Neurocrine Group Limited (ALKINDI y EFMODY) en ene-2026 con 28,6 M de plusvalía.).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caja neta pasó de 937 M en 2021 a 2.543 M a cierre de 2025 sin compras relevantes, y la compra de Soleno la dejó en 482 M a 30-jun-26, más 147 M en participaciones cotizadas [4]. El circulante comercial es pequeño (2,8 % de las ventas en 2025) y estable: los clientes (687 M) los compensan los descuentos y rebajas pendientes de pagar, que están en proveedores y acreedores (674 M) [7]. Tras la compra, el balance lleva 2.226 M de intangibles y 501 M de fondo de comercio: un deterioro de VYKAT XR sería visible [4]. Con un flujo libre de unos 870 M en los últimos doce meses, la caja neta debería volver a superar los 1.000 M a mediados de 2027 sin contar recompras.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2.224</w:t>
      </w:r>
      <w:r>
        <w:t xml:space="preserve">, conversión </w:t>
      </w:r>
      <w:r>
        <w:rPr>
          <w:b/>
          <w:bCs/>
        </w:rPr>
        <w:t xml:space="preserve">169 %</w:t>
      </w:r>
      <w:r>
        <w:t xml:space="preserve"> del beneficio neto; adquisiciones 43, dividendos 0, recompras 468.</w:t>
      </w:r>
    </w:p>
    <w:p>
      <w:pPr>
        <w:spacing w:after="100"/>
      </w:pPr>
      <w:r>
        <w:t xml:space="preserve">La conversión del beneficio en caja es alta y de buena calidad: el flujo libre acumulado de 2021-2025 (2.224 M) fue el 169 % del beneficio neto. La diferencia la explican los pagos en acciones (218 M en 2025), que no son caja pero sí dilución, y los impuestos diferidos [7]. El capex es mínimo (34 M en 2025, el 1,2 % de las ventas) y casi todo de mantenimiento de oficinas y laboratorios; la inversión de crecimiento real va por la cuenta como I+D y como compras (Soleno, 2.359 M netos de caja en 2026) [2]. Las recompras (300 M en 2024 y 168 M en 2025) apenas compensan la emisión de acciones de los planes de empleados (122 y 129 M) [7].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control interno eficaz a 31-dic-25)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limpias: auditor Ernst &amp; Young desde 1992, opinión sin salvedades y control interno eficaz [1]. Altman Z de 7,82 (zona segura), Piotroski F de 6 sobre 9 y Beneish M de −2,48 (por debajo del umbral de manipulación de −1,78): ninguna alarma. Tres puntos requieren atención. Los pagos en acciones son el 46 % del beneficio neto de 2025 (218 M frente a 479 M) y la empresa los excluye de su BPA ajustado [1, 5]. La I+D adquirida (pagos iniciales de licencias) va directa a la cuenta y varía mucho de un año a otro (0 a 144 M). Y la compra de Soleno lleva intangibles de 2.200 M amortizados en 16 años y un ajuste de existencias a valor razonable de 168 M que se consumirá como coste de ventas [4]. La provisión de descuentos de Medicaid es la estimación crítica que señala el auditor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del 46 % del beneficio neto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218 M en 2025; dilución anual del 1-2 % antes de recompras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de VYKAT XR (2.226 M) con ventas planas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deterioro si la alerta de seguridad frena las ventas [4,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Investigación civil del Departamento de Justicia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Sobre la promoción de INGREZZA; sin provisión ni estimación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6 M en 2025 (el 1 % del capital invertido medio); ha subido más de un 5 % en 2 de 4 años: compras pequeñas. ROIC publicado 56,6 %; sin fondo de comercio, 57,1 %.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107,9 % · </w:t>
      </w:r>
      <w:r>
        <w:rPr>
          <w:b/>
          <w:bCs/>
        </w:rPr>
        <w:t xml:space="preserve">WACC</w:t>
      </w:r>
      <w:r>
        <w:t xml:space="preserve">: 10,6 %.</w:t>
      </w:r>
    </w:p>
    <w:p>
      <w:pPr>
        <w:spacing w:after="100"/>
      </w:pPr>
      <w:r>
        <w:t xml:space="preserve">Neurocrine crea valor desde 2020. El ROIC de 2025 fue del 56,6 % (57,1 % sin fondo de comercio) frente a un WACC del 10,61 %: el capital invertido era de solo 742 M porque el negocio no necesita fábricas y casi toda la inversión va por la cuenta como I+D. El ROIC lo mueve el margen, no la rotación. El ROIC incremental histórico (107,9 %) es irrepetible: la compra de Soleno añade unos 2.730 M de intangibles y fondo de comercio al capital invertido [4]. Con ese capital y nuestro NOPAT de 2027 (unos 920 M), el ROIC pro forma quedaría en torno al 26 % (estimación propia), todavía 15 puntos por encima del WACC. Es inferior al de United Therapeutics (31 %) y similar al de Vertex (29 %) [14].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valores negociables de 481,7 M USD a 30-jun-26 (389,8 a corto y 91,9 a largo) más una línea de crédito garantizada de 1.000 M sin disponer (vence el 14-may-2031); participaciones cotizadas de 147,3 M [2,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No hay deuda financiera desde que vencieron los convertibles en mayo de 2024 [1]. La compra de Soleno se pagó con caja y un puente de 600 M de la línea de crédito garantizada de 1.000 M (al 4,90 %), devuelto en junio [2]. Los arrendamientos son operativos (US GAAP: su coste ya está en el EBITDA) y no van al puente: 401,8 M a largo plazo [4]. Contingencias: la investigación civil del Departamento de Justicia sobre la promoción de INGREZZA (ago-2025), sin provisión [1]; el litigio de patentes contra Zydus por INGREZZA SPRINKLE [1]; y los pasivos fiscales diferidos de 91,5 M creados por la compra [4]. Hay 266,3 M disponibles en el programa de recompra de 500 M [2].</w:t>
      </w:r>
    </w:p>
    <w:p>
      <w:pPr>
        <w:pStyle w:val="Heading1"/>
      </w:pPr>
      <w:r>
        <w:t xml:space="preserve">12. Asignación de capital</w:t>
      </w:r>
    </w:p>
    <w:p>
      <w:pPr>
        <w:pStyle w:val="Confianza"/>
        <w:spacing w:after="100"/>
      </w:pPr>
      <w:r>
        <w:t xml:space="preserve">Confianza: Alta</w:t>
      </w:r>
    </w:p>
    <w:p>
      <w:pPr>
        <w:spacing w:after="100"/>
      </w:pPr>
      <w:r>
        <w:t xml:space="preserve">No paga dividendo. Las prioridades declaradas son, por este orden, invertir en la cartera de desarrollo propia, comprar o licenciar medicamentos (Soleno, Takeda, Nxera) y recomprar acciones para compensar la dilución [1, 4]. El programa de recompra de 500 M de febrero de 2025 tiene 266,3 M disponibles; en 2026 solo se han recomprado 66 M por la compra de Soleno [2]. La línea de crédito de 1.000 M da margen para otra compra de tamaño medio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Soleno Therapeutics (VYKAT XR, hiperfagia en el síndrome de Prader-Willi)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propia (préstamo puente de 600 M de la línea de crédito, devuelto en junio)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Demasiado pronto: VYKAT XR plano desde el 4T25 (94 M pro forma en el 2T26) y alerta de seguridad de las asociaciones de pacientes en ago-26 [4,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Diurnal Group (ALKINDI, EFMODY;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Vendida en ene-2026 (Neurocrine Group Limited) con 28,6 M de plusvalía neta: compra menor sin efecto en las cifras [2].</w:t>
            </w:r>
          </w:p>
        </w:tc>
      </w:tr>
    </w:tbl>
    <w:p>
      <w:pPr>
        <w:spacing w:after="160" w:before="0"/>
      </w:pPr>
    </w:p>
    <w:p>
      <w:pPr>
        <w:spacing w:after="100"/>
      </w:pPr>
      <w:r>
        <w:t xml:space="preserve">El historial es bueno en lo propio y por ver en lo comprado. INGREZZA y CRENESSITY salieron de su laboratorio; las licencias (osavampator, muscarínicos) aún no se han probado en fase 3. Soleno es la primera compra grande: 2.830 M por un producto con 190 M de ventas en 2025 (12,2 veces) que lleva tres trimestres plano y tiene una alerta de seguridad [2, 12, 13]. Si VYKAT XR se queda en 400-500 M, la compra rinde en torno al 10 % antes de impuestos sobre el precio pagado, justo el coste del capital. El flujo libre acumulado de 2021-2025 (2.224 M) se usó en recompras (468 M), que no redujeron el número de acciones (de 97,9 M a 102,5 M diluidas) [7].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Kyle W. Gano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2008; director de desarrollo de negocio y estrategia (2020-2024), artífice de las licencias de osavampator (Takeda) y de los agonistas muscarínicos (Nxera). Como consejero delegado: lanzamiento de CRENESSITY y compra de Soleno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Matthew C. Abernethy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en Zimmer Biomet y Bard; ha llevado la recompra de convertibles y las recompras de 2024-2026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Benevich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Lanzó INGREZZA en 2017 (de 0 a 2.514 M en 2025) y CRENESSITY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Eiry W. Roberts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médica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Volvió al cargo el 28-sep-26 tras la salida de Sanjay Keswani, que llevaba 15 meses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H. Rastetter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consejero delegado de IDEC; presidente ejecutivo de Biogen Idec (2003-2005)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Kevin C. Gorman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(ex consejero delegado 2008-2024)</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Llevó a la empresa de la investigación a las ventas de INGREZZA; vendió 37,8 M USD en 12 meses con un plan 10b5-1 [17, 19].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INGREZZA 1.750-1.800 M USD (subida a 1.820-1.840)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1.836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INGREZZA 2.100-2.200 M (subida y luego rebajada a 2.300-2.320)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2.313,5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INGREZZA 2.500-2.600 M (ajustada a 2.500-2.550)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2.513,7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INGREZZA 2.700-2.800 M (feb), subida a 2.825-2.875 M (jul)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1.373 M en el 1S26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Equipo estable y con historial: el director comercial lanzó INGREZZA y CRENESSITY, el financiero lleva desde 2017 y el consejero delegado era el responsable de las licencias que hoy son la cartera [17]. El cumplimiento de la guía de INGREZZA es bueno (2023 y 2024 dentro o por encima; 2025 en la parte baja) [5]. Dos señales a vigilar: la salida del director médico a los 15 meses del nombramiento, en plena fase 3, resuelta con la vuelta de Eiry Roberts [20]; y que la dirección y el consejo vendieron 77,9 M USD en 12 meses sin una sola compra (planes 10b5-1) [19]. La sucesión de 2024 se anunció con antelación y fue interna.</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H. Rastetter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Ciencia y tecnología médica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Kyle W. Gano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C. Gorman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Gary A. Lyons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Johanna Mercier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George J. Morrow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Leslie V. Norwalk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Christine A. Poon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F. Pops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Shalini Sharp</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Stephen A. Sherwin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Kevin C. Gorman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control interno eficaz a 31-dic-25)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57,15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abr-2025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mar-2025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Dodge &amp; Cox</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por encima del 5 %</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JPMorgan Chase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(20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netas de 77,9 M USD en 12 meses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1"/>
        <w:gridCol w:w="3381"/>
        <w:gridCol w:w="1521"/>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C. Gorman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Julie Cooke (recursos humanos)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Kyle W. Gano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Darin Lippoldt (jurídico)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Stephen A. Sherwin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Matthew C. Abernethy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0,36</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13,45 M USD en 2025: 0,92 M de fijo, 0,97 M de variable anual y 11,5 M en opciones y acciones; 49 veces la remuneración mediana de la plantilla [17]. El variable a largo plazo se reparte entre opciones, acciones restringidas y acciones por objetivos que miden cuota de mercado y desarrollo de negocio a tres años, no ROIC ni rentabilidad para el accionista: premia crecer y comprar [17]. Hay política de recuperación (clawback) [17]. La junta de 2026 aprobó la remuneración con un 93,2 % a favor y un 6,7 % en contra, y amplió el plan de acciones con un 93,4 % [18].</w:t>
      </w:r>
    </w:p>
    <w:p>
      <w:pPr>
        <w:pStyle w:val="Heading2"/>
      </w:pPr>
      <w:r>
        <w:t xml:space="preserve">Operaciones vinculadas, estructura de control y defensas</w:t>
      </w:r>
    </w:p>
    <w:p>
      <w:pPr>
        <w:spacing w:after="100"/>
      </w:pPr>
      <w:r>
        <w:t xml:space="preserve">No hay accionista de control: BlackRock (12,0 %), Vanguard (10,1 %), Dodge &amp; Cox (5,5 %) y JPMorgan (5,2 %) son gestores pasivos o de valor [17]. Una acción, un voto. La defensa principal es el consejo escalonado en tres clases con mandatos de tres años, que obliga a un comprador hostil a ganar dos juntas [18]. Presidente y consejero delegado separados; 9 de 11 consejeros independientes [17]. No hay operaciones vinculadas relevantes. Un dato con efecto en el valor: si otra empresa compra Neurocrine, INGREZZA pierde la excepción de pequeña biotecnológica del IRA, lo que resta atractivo a una OPA [2].</w:t>
      </w:r>
    </w:p>
    <w:p>
      <w:pPr>
        <w:pStyle w:val="Heading2"/>
      </w:pPr>
      <w:r>
        <w:t xml:space="preserve">Señales de alerta</w:t>
      </w:r>
    </w:p>
    <w:p>
      <w:pPr>
        <w:pStyle w:val="ListParagraph"/>
        <w:numPr>
          <w:ilvl w:val="0"/>
          <w:numId w:val="2"/>
        </w:numPr>
        <w:spacing w:after="60"/>
      </w:pPr>
      <w:r>
        <w:t xml:space="preserve">Investigación civil del Departamento de Justicia (ago-2025) sobre la promoción de INGREZZA; sin provisión [1].</w:t>
      </w:r>
    </w:p>
    <w:p>
      <w:pPr>
        <w:pStyle w:val="ListParagraph"/>
        <w:numPr>
          <w:ilvl w:val="0"/>
          <w:numId w:val="2"/>
        </w:numPr>
        <w:spacing w:after="60"/>
      </w:pPr>
      <w:r>
        <w:t xml:space="preserve">Consejo escalonado (tres clases con mandatos de tres años): protege frente a una toma de control hostil [18].</w:t>
      </w:r>
    </w:p>
    <w:p>
      <w:pPr>
        <w:pStyle w:val="ListParagraph"/>
        <w:numPr>
          <w:ilvl w:val="0"/>
          <w:numId w:val="2"/>
        </w:numPr>
        <w:spacing w:after="60"/>
      </w:pPr>
      <w:r>
        <w:t xml:space="preserve">Cero compras de consejeros y directivos en 12 meses; 77,9 M USD de ventas, todas con planes 10b5-1 [19].</w:t>
      </w:r>
    </w:p>
    <w:p>
      <w:pPr>
        <w:pStyle w:val="ListParagraph"/>
        <w:numPr>
          <w:ilvl w:val="0"/>
          <w:numId w:val="2"/>
        </w:numPr>
        <w:spacing w:after="60"/>
      </w:pPr>
      <w:r>
        <w:t xml:space="preserve">Salida del director médico a los 15 meses (sep-2026) en plena fase 3 [20].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única guía de ventas es la de INGREZZA: 2.825-2.875 M USD en 2026 (subida el 30-jul desde 2.700-2.800 M) [4]. Para los gastos, I+D GAAP de 1.275-1.325 M, comerciales y de administración GAAP de 1.575-1.600 M, I+D adquirida de 23 M y amortización de intangibles de 85-90 M [4]. No hay guía de CRENESSITY ni de VYKAT XR ni objetivos a medio plazo; la dirección habla de «crecimiento sostenido» y de datos de fase 3 en 2027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 (S&amp;P Global), 25 analistas; BPA ajustado sin pagos en acciones ni amortización de intangibles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BPA ajustado [22]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150,00 – 253,00</w:t>
            </w:r>
          </w:p>
        </w:tc>
      </w:tr>
    </w:tbl>
    <w:p>
      <w:pPr>
        <w:spacing w:after="160" w:before="0"/>
      </w:pPr>
    </w:p>
    <w:p>
      <w:pPr>
        <w:pStyle w:val="Heading2"/>
      </w:pPr>
      <w:r>
        <w:t xml:space="preserve">Revisiones de estimaciones</w:t>
      </w:r>
    </w:p>
    <w:p>
      <w:pPr>
        <w:spacing w:after="100"/>
      </w:pPr>
      <w:r>
        <w:t xml:space="preserve">El consenso que da Stock Analysis (S&amp;P Global) es de BPA ajustado: 10,19 USD en 2026 (25 analistas) y 11,95 en 2027, con ventas de 3.900 y 4.560 M [22]. Excluye los pagos en acciones y la amortización de VYKAT XR, unos 2,3 USD por acción al año: nuestro BPA publicado normalizado de 2026 (8,0) equivale a unos 10,3 ajustados, en línea. Tras el 2T26 las estimaciones de ventas subieron por la guía de INGREZZA y la consolidación de VYKAT XR. El objetivo medio de 29 analistas es de 206,81 USD (150-253) [22]. Solo hay una fuente gratuita con estimaciones completas; MarketScreener no abrió.</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bl>
    <w:p>
      <w:pPr>
        <w:spacing w:after="160" w:before="0"/>
      </w:pPr>
    </w:p>
    <w:p>
      <w:pPr>
        <w:spacing w:after="100"/>
      </w:pPr>
      <w:r>
        <w:t xml:space="preserve">La acción ha ido muy por detrás del mercado: −1,3 % en un año frente al +16,9 % del S&amp;P 500 y el +36,0 % del índice de biotecnología (XBI), y un 5,4 % anual en cinco años frente al 13,0 % [21]. Tocó máximos de 186,12 USD el 30-jul-26 y desde entonces ha caído un 27 %: −10,1 % tras los resultados del 2T26 (más gasto y la compra), −5,8 % el 12-ago por la alerta de seguridad de VYKAT XR y una caída gradual en septiembre sin noticia concreta [12, 21]. La beta mensual de cinco años es de 0,37 (0,60 semanal de dos años): se mueve por sus noticias, no por el mercado, con una volatilidad del 34 % [21]. La posición corta es del 5,83 % del flotante [23].</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Neurocrine cotiza a 19,9 veces el beneficio de los últimos 12 meses, frente a una media de 47,4 en los cierres de 2022-2025, y a 14,4 veces el EBITDA frente a 30,5. La rebaja es estructural, no un descuento pasajero: el mercado pagaba 40-75 veces un beneficio que crecía al 25 % y que todavía no sentía el IRA ni los genéricos. Hoy la empresa crece menos en INGREZZA (+8,7 % en 2025), tiene fechas conocidas de precio negociado (2029) y de genéricos (2038) y ha gastado su caja en una compra. Excluimos 2021 por un beneficio deprimido por la I+D adquirida (105 M). La historia del PER es de otro régimen y no esperamos que vuelva: por eso el selector de método la descarta [38].</w:t>
      </w:r>
    </w:p>
    <w:p>
      <w:pPr>
        <w:pStyle w:val="Heading1"/>
      </w:pPr>
      <w:r>
        <w:t xml:space="preserve">18. Comparables cotizados</w:t>
      </w:r>
    </w:p>
    <w:p>
      <w:pPr>
        <w:pStyle w:val="Confianza"/>
        <w:spacing w:after="100"/>
      </w:pPr>
      <w:r>
        <w:t xml:space="preserve">Confianza: Media</w:t>
      </w:r>
    </w:p>
    <w:p>
      <w:pPr>
        <w:spacing w:after="100"/>
      </w:pPr>
      <w:r>
        <w:t xml:space="preserve">Biofarmacéuticas estadounidenses rentables con pocos productos y vencimientos conocidos: Incyte (Jakafi), Jazz (Xywav, con genéricos de Xyrem), Exelixis (cabozantinib, genéricos desde 2031), United Therapeutics y BioMarin (enfermedades raras) y Vertex (fibrosis quística, la de mayor calidad) [14]. Teva (AUSTEDO) queda fuera porque es sobre todo genéricos. Las cifras son de Stock Analysis al cierre del 14-oct; el PER adelantado es sobre BPA ajustado [14, 24, 25, 26, 27, 28]. Excluimos el PER de Incyte (59 veces, distorsionado por un cargo de I+D)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Neurocrine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Incyte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 Therapeutics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BioMarin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Jazz Pharmaceuticals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Exelixis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 / 13,3x / 19,7x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 / 17,4x / 20,3x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 / 4,9x / 6,0x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201,28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r>
    </w:tbl>
    <w:p>
      <w:pPr>
        <w:spacing w:after="160" w:before="0"/>
      </w:pPr>
    </w:p>
    <w:p>
      <w:pPr>
        <w:spacing w:after="100"/>
      </w:pPr>
      <w:r>
        <w:t xml:space="preserve">Neurocrine cotiza a 14,4 veces el EBITDA de 12 meses frente a una mediana de 13,3 y a 11,7 veces el beneficio ajustado de los próximos 12 meses frente a 17,4, con un crecimiento mayor que todos salvo Vertex [23]. La comparación más útil es con las que ya tienen un vencimiento a la vista: Jazz (9,6 veces) e Incyte (9,3 veces el EBITDA) muestran cuánto castiga el mercado un precipicio de patente. Neurocrine está entre ese grupo y United Therapeutics (20,3): su precipicio está más lejos (2038) pero el IRA llega antes (2029). No usamos el múltiplo de transacciones (12-21 veces las ventas): se pagaron por crecimiento con patentes largas.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Soleno Therapeutics (VYKAT XR)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Neurocrine Biosciences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de 2.829,9 M menos 506,1 M de caja de Soleno a dic-25; ventas de 2025 de 190,4 M (primer año de lanzamiento) [8, 13].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Intra-Cellular Therapies (CAPLYTA)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la operación sobre ventas de 2024 de 680,9 M; neurociencia en crecimiento con patentes largas [31, 32].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GW Pharmaceuticals (EPIDIOLEX)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Jazz Pharmaceuticals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de la operación sobre ventas de 2020 de 527,2 M; neurología con un producto [32, 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449,63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425,35 – 574,29</w:t>
            </w:r>
          </w:p>
        </w:tc>
      </w:tr>
    </w:tbl>
    <w:p>
      <w:pPr>
        <w:spacing w:after="160" w:before="0"/>
      </w:pPr>
    </w:p>
    <w:p>
      <w:pPr>
        <w:spacing w:after="100"/>
      </w:pPr>
      <w:r>
        <w:t xml:space="preserve">Las tres operaciones de neurociencia y enfermedades raras con múltiplo publicado se pagaron a 12-21 veces las ventas: Intra-Cellular (21,4 veces), GW (13,7) y la propia Soleno (12,2 sobre ventas de su primer año) [8, 31, 32]. Neurocrine cotiza a 4,0 veces las ventas de los últimos 12 meses, pero no es una diana probable: tiene 14.000 M de capitalización, un consejo escalonado y, sobre todo, INGREZZA perdería la excepción de pequeña biotecnológica del IRA si la comprara otra empresa [2]. Por eso las transacciones pesan cero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Proyectamos por producto (estimación propia): INGREZZA de 2.850 M en 2026 (guía de 2.825-2.875 M) a 3.050 M en 2028, −9,5 % en 2029 por el precio negociado de Medicare y +1-2 % después [2, 4]. CRENESSITY de 800 M en 2026 (337 M en el primer semestre) a 1.330 M en 2028 y 1.700 M en 2032, con subidas trimestrales decrecientes desde los 25-30 M actuales [4]. VYKAT XR de 400 M en 2027 a 610 M en 2032, por debajo del ritmo anualizado de 376 M de hoy más un crecimiento lento por la alerta de seguridad [12, 13]. La cartera nueva aporta 100-400 M desde 2030, ponderada por probabilidad. Resultado: 4.480 M en 2027 (consenso 4.560 M, −1,8 %) [22].</w:t>
      </w:r>
    </w:p>
    <w:p>
      <w:pPr>
        <w:keepNext/>
        <w:spacing w:after="100"/>
      </w:pPr>
      <w:r>
        <w:rPr>
          <w:b/>
          <w:bCs/>
        </w:rPr>
        <w:t xml:space="preserve">Márgenes.</w:t>
      </w:r>
    </w:p>
    <w:p>
      <w:pPr>
        <w:spacing w:after="100"/>
      </w:pPr>
      <w:r>
        <w:t xml:space="preserve">El margen EBITDA pasa del 27,0 % de 2026 (con 125,6 M de costes de la compra) al 34,1 % en 2028 y al 36 % desde 2033 [4]. Supone gastos de I+D de 1.350-1.480 M y comerciales de 1.600-1.680 M en 2027-2030, por encima de la guía de 2026, más 25 M anuales de I+D adquirida. El 36 % está por debajo de los comparables (mediana de 41,2 %; United Therapeutics 47,4 %) [14]. En 2029 el margen baja 1,8 puntos porque el recorte de precio de INGREZZA cae entero al resultado.</w:t>
      </w:r>
    </w:p>
    <w:p>
      <w:pPr>
        <w:keepNext/>
        <w:spacing w:after="100"/>
      </w:pPr>
      <w:r>
        <w:rPr>
          <w:b/>
          <w:bCs/>
        </w:rPr>
        <w:t xml:space="preserve">Inversión y circulante.</w:t>
      </w:r>
    </w:p>
    <w:p>
      <w:pPr>
        <w:spacing w:after="100"/>
      </w:pPr>
      <w:r>
        <w:t xml:space="preserve">Capex del 1 % de las ventas hasta 2029 (1,2 % en 2025) que sube hasta igualar la amortización (2,8 %) en 2035: en estado estacionario, la amortización de los intangibles de VYKAT XR (137 M al año) es la aproximación al dinero que habrá que gastar en licencias y compras para sustituir a INGREZZA [4]. Circulante del 3,5 % de las ventas (2,8 % en 2025) por las existencias de VYKAT XR. Tipo impositivo normalizado del 23 % (32 % en 2025 por el GILTI, 16 % en el primer semestre de 2026) [1, 4].</w:t>
      </w:r>
    </w:p>
    <w:p>
      <w:pPr>
        <w:keepNext/>
        <w:spacing w:after="100"/>
      </w:pPr>
      <w:r>
        <w:rPr>
          <w:b/>
          <w:bCs/>
        </w:rPr>
        <w:t xml:space="preserve">Coste del capital.</w:t>
      </w:r>
    </w:p>
    <w:p>
      <w:pPr>
        <w:spacing w:after="100"/>
      </w:pPr>
      <w:r>
        <w:t xml:space="preserve">Tasa libre del 5,21 % (bono del Tesoro a 10 años del 13-oct) [29]. Beta de 0,8: la histórica es muy baja (0,37 mensual de cinco años; 0,60 semanal de dos años) porque la acción se mueve por noticias propias; tomamos una cifra entre la ajustada (0,58-0,64) y la de una biotecnológica rentable [21]. Prima de mercado del 5,5 % y 1 punto adicional por la concentración en un producto con fechas regulatorias y por el riesgo binario de la cartera. Sin deuda. WACC del 10,61 %; con la prima implícita del mercado (4,20 %), 9,57 % [30].</w:t>
      </w:r>
    </w:p>
    <w:p>
      <w:pPr>
        <w:keepNext/>
        <w:spacing w:after="100"/>
      </w:pPr>
      <w:r>
        <w:rPr>
          <w:b/>
          <w:bCs/>
        </w:rPr>
        <w:t xml:space="preserve">Valor terminal.</w:t>
      </w:r>
    </w:p>
    <w:p>
      <w:pPr>
        <w:spacing w:after="100"/>
      </w:pPr>
      <w:r>
        <w:t xml:space="preserve">Método «media»: Gordon con un crecimiento del 1,0 % y un múltiplo de salida de 8 veces el EBITDA. Ambos están por debajo de lo normal (2-3 % y 13 veces de la mediana de comparables) porque el valor terminal empieza en 2035 y los genéricos de INGREZZA llegan en marzo de 2038, cuando INGREZZA será todavía cerca de la mitad de las ventas [1]. Ocho veces es el múltiplo al que cotizan hoy Jazz e Incyte, que tienen su precipicio de patente a la vista [14]. El valor terminal pesa el 46 %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137,61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172,92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 M (-6 %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(reinvierte el 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114,0 % (histórico: 107,9 %)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 frente al 8,3 %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-702 M, con un capex bruto medio del 1,6 % de las ventas). En un negocio de activos ligeros, el crecimiento medio del 8,3 %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INGREZZA (+10 % de recetas) y CRENESSITY (de 301 a 800 M); precio neto de INGREZZA −2 %; VYKAT XR consolidado desde mayo (+9,2 puntos, compra)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CRENESSITY a 1.100 M y VYKAT XR un año entero; precio neto de INGREZZA −2,5 % por el precio negociado de AUSTEDO en Medicare [10]; 3,7 puntos de VYKAT XR de enero a mayo son perímetro.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CRENESSITY a 1.330 M, INGREZZA +3 % con precio −1,5 %; VYKAT XR a 470 M.</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negociado de INGREZZA en Medicare: −14 % en su precio medio (−8,3 puntos del grupo) con volumen +5 %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Primeras ventas de la cartera nueva ponderadas por probabilidad (100 M) y crecimiento de CRENESSITY.</w:t>
            </w:r>
          </w:p>
        </w:tc>
      </w:tr>
    </w:tbl>
    <w:p>
      <w:pPr>
        <w:spacing w:after="160" w:before="0"/>
      </w:pPr>
    </w:p>
    <w:p>
      <w:pPr>
        <w:spacing w:after="100"/>
      </w:pPr>
      <w:r>
        <w:t xml:space="preserve">Sí. El crecimiento medio proyectado (8,3 % en 2027-2035) es un tercio del histórico (26 %) y sale de productos ya aprobados con patente: CRENESSITY, que sumó 48 M de ventas trimestrales en dos trimestres, y VYKAT XR, ya en el mercado [4]. No necesita capital: el capex es del 1-3 % de las ventas y el motor da la prueba por superada. El foso son patentes con fecha (INGREZZA hasta 2038) y la proyección ya incorpora el golpe de precio del IRA en 2029 (−9,5 % en INGREZZA) y la presión del precio negociado de AUSTEDO desde 2027 [1, 2]. La cuota en VMAT2 no sube: INGREZZA crece al ritmo del mercado. Lo que no está asegurado es el techo de CRENESSITY, que es riesgo de escenario, no de calidad.</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 (base: 5,1 %)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33,7 % (base: 36,0 %)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 (WACC: 10,6 %)</w:t>
            </w:r>
          </w:p>
        </w:tc>
      </w:tr>
    </w:tbl>
    <w:p>
      <w:pPr>
        <w:spacing w:after="160" w:before="0"/>
      </w:pPr>
    </w:p>
    <w:p>
      <w:pPr>
        <w:spacing w:after="100"/>
      </w:pPr>
      <w:r>
        <w:t xml:space="preserve">El DCF da 145,26 USD por acción, un 6,9 % sobre el precio, con un valor terminal que pesa el 46 % (bajo para una biofarmacéutica, porque penalizamos el terminal por los genéricos de 2038). El DCF inverso dice que el precio descuenta un crecimiento anual del 4,0 % en 2027-2035 frente al 5,1 % de nuestro caso base, o un margen del 33,7 % frente al 36 %, y una rentabilidad implícita del 11,5 %. No es exigente: el mercado ya da por hecho el IRA de 2029 y que la empresa crecerá menos que en su historia (26 % anual en 2021-2025). Es la lectura de una empresa con patentes fechadas: el precio no paga la cartera de desarrollo ni un CRENESSITY por encima de 1.700 M. La sensibilidad es alta al WACC: con la prima implícita del mercado el valor sube, y con medio punto más de WACC baja hacia 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CRENESSITY se estanca en torno a 1.000 M, la FDA endurece la etiqueta de VYKAT XR y las aseguradoras arrancan a INGREZZA descuentos equivalentes al precio negociado de AUSTEDO desde 2027: crecimiento 3 puntos menor cada año y margen 2,5 puntos más bajo. Es lo que le pasó a Jazz con Xyrem: precio y volumen a la vez.</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INGREZZA cumple la guía y crece al 3-4 % hasta 2028, cae un 9,5 % en 2029 por el IRA, CRENESSITY llega a 1.330 M en 2028 y VYKAT XR a 470 M; la cartera nueva aporta poco antes de 2030.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170,60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CRENESSITY supera los 1.500 M en 2028 con más diagnóstico en adultos, el precio negociado de INGREZZA queda cerca del techo de monopolio corto y osavampator sale bien en 2027: crecimiento 2 puntos mayor y margen 1,5 puntos más alto.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135,9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143,62 USD (+5,7 %).</w:t>
      </w:r>
    </w:p>
    <w:p>
      <w:pPr>
        <w:spacing w:after="100"/>
      </w:pPr>
      <w:r>
        <w:t xml:space="preserve">Con nuestros flujos, el alcista vale 170,60 USD (+25,5 %) y el bajista 113,35 USD (−16,6 %): la asimetría del valor intrínseco es de 1,5 veces. A 12 meses la asimetría es mayor (+76,9 % en el alcista frente a −8,8 % en el bajista) porque el múltiplo de hoy, 15,1 veces el BPA de 2027, ya es el de una empresa sin crecimiento. Compensa si el bajista no se lleva también el múltiplo: el riesgo está en que el IRA de 2029 y los genéricos de 2038 hagan que el mercado deje de pagar el crecimiento de CRENESSITY.</w:t>
      </w:r>
    </w:p>
    <w:p>
      <w:pPr>
        <w:pStyle w:val="Heading1"/>
      </w:pPr>
      <w:r>
        <w:t xml:space="preserve">22. Suma de partes</w:t>
      </w:r>
    </w:p>
    <w:p>
      <w:pPr>
        <w:pStyle w:val="Confianza"/>
        <w:spacing w:after="100"/>
      </w:pPr>
      <w:r>
        <w:t xml:space="preserve">Confianza: Media</w:t>
      </w:r>
    </w:p>
    <w:p>
      <w:pPr>
        <w:spacing w:after="100"/>
      </w:pPr>
      <w:r>
        <w:t xml:space="preserve">No aplica: la empresa publica un único segmento; los tres productos comparten red comercial, distribución especializada e I+D, y la valoración por producto ya está en la hoja de ventas del DCF.</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135,9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136,59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156,01 USD (+14,8 % sobre 135,91).</w:t>
      </w:r>
    </w:p>
    <w:p>
      <w:pPr>
        <w:spacing w:after="100"/>
      </w:pPr>
      <w:r>
        <w:t xml:space="preserve">Pesamos el DCF al 50 %, los escenarios al 30 % y los comparables al 20 %; las transacciones, a cero. El DCF es el método más fiable aquí porque modela por producto los dos acontecimientos que deciden el valor (IRA en 2029 y genéricos en 2038), que un múltiplo no ve. Los comparables (PER adelantado ajustado, mediana de 17,4) dan 201,47 USD, pero aplican un múltiplo de empresas con vencimientos distintos al BPA ajustado del consenso: por eso pesan poco. Las transacciones (12-21 veces las ventas) darían 449,63 USD y suponen una OPA improbable por el IRA. La dispersión es grande: de 113,35 (bajista) a 201,47 (comparables). El valor ponderado es de 156,01 USD (+14,8 %).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240,49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+76,9 %</w:t>
            </w:r>
          </w:p>
        </w:tc>
      </w:tr>
    </w:tbl>
    <w:p>
      <w:pPr>
        <w:spacing w:after="160" w:before="0"/>
      </w:pPr>
    </w:p>
    <w:p>
      <w:pPr>
        <w:spacing w:after="100"/>
      </w:pPr>
      <w:r>
        <w:rPr>
          <w:b/>
          <w:bCs/>
        </w:rPr>
        <w:t xml:space="preserve">Objetivo a 12 meses (ponderado):</w:t>
      </w:r>
      <w:r>
        <w:t xml:space="preserve"> 175,88 USD · rentabilidad +29,4 % (base +24,8 %) · señal Comprar.</w:t>
      </w:r>
    </w:p>
    <w:p>
      <w:pPr>
        <w:spacing w:after="100"/>
      </w:pPr>
      <w:r>
        <w:t xml:space="preserve">Para comparar, con la regla v2 (historia al cierre, mismo precio): 12,8x / 15,1x / 19,6x, 29,4 % Comprar; con el tope anterior del base (×1,3, 14-oct mediodía): 68,7 % Comprar; con la v3 sin el selector (tope ×1,1): 42,8 % Comprar. Decide la v2, elegida por el selector de método (desrateada: la mediana adelantada (29,4x) es 1,9 veces el PER de hoy (15,1x); la historia es de otro régimen y decide la v2; METODO-VIGENTE.md).</w:t>
      </w:r>
    </w:p>
    <w:p>
      <w:pPr>
        <w:keepNext/>
        <w:spacing w:after="100"/>
      </w:pPr>
      <w:r>
        <w:rPr>
          <w:b/>
          <w:bCs/>
        </w:rPr>
        <w:t xml:space="preserve">Frente al consenso (solo contraste).</w:t>
      </w:r>
    </w:p>
    <w:p>
      <w:pPr>
        <w:spacing w:after="100"/>
      </w:pPr>
      <w:r>
        <w:t xml:space="preserve">Nuestro BPA de 2026 (8,0 normalizado) y de 2027 (8,99) quedan un 21 % y un 25 % por debajo del consenso (10,19 y 11,95), pero el consenso es ajustado: excluye los pagos en acciones (unos 240 M al año, 1,8 USD por acción después de impuestos) y la amortización de VYKAT XR (1,0 USD). En la misma base estamos un 2 % por debajo en 2027, con unas ventas un 1,8 % menores (4.480 frente a 4.560 M) [22]. Nuestro precio base (169,57 USD) queda un 18 % por debajo del objetivo medio de los analistas (206,81), que aplican el PER histórico a un BPA ajustado. El objetivo medio está dentro de nuestro rango (123,90-240,49).</w:t>
      </w:r>
    </w:p>
    <w:p>
      <w:pPr>
        <w:keepNext/>
        <w:spacing w:after="100"/>
      </w:pPr>
      <w:r>
        <w:rPr>
          <w:b/>
          <w:bCs/>
        </w:rPr>
        <w:t xml:space="preserve">Del valor intrínseco al objetivo a 12 meses.</w:t>
      </w:r>
    </w:p>
    <w:p>
      <w:pPr>
        <w:spacing w:after="100"/>
      </w:pPr>
      <w:r>
        <w:t xml:space="preserve">El objetivo a 12 meses (175,88 USD) queda un 13 % por encima del valor intrínseco ponderado (156,01 USD). Decide la regla v2 porque el selector de método considera la empresa desrateada: la mediana del PER adelantado de cinco años (29,4 veces) es 1,9 veces el actual (15,1). Con la v2 el base es el PER de hoy, así que toda la subida sale del BPA: de 8,99 USD en 2027 a 11,23 en 2028. El crecimiento del BPA desde 2025 (34 % anual) no es un supuesto de múltiplo sino de lanzamiento: CRENESSITY pasa de 301 M a 1.330 M de ventas con un coste marginal mínimo, y el BPA de 2025 está deprimido por un tipo impositivo del 32 %; el LTM ya es de 6,84 USD [2]. El catalizador que cerraría la distancia es la guía de 2027 (febrero) y las ventas de CRENESSITY del 3T26 (29-oct).</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CRENESSITY (≥ 210 M) y VYKAT XR tras la alerta de seguridad; posible ajuste de la guía de INGREZZA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vigor el precio negociado de AUSTEDO en Medicare (−38 % sobre lista)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sobre los descuentos y formularios de INGREZZA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INGREZZA para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el precio negociado de AUSTEDO en el mercado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el 1-feb-2027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CMS publica la lista de medicamentos para negociar con precios de 2029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INGREZZA probablemente entra; el precio se conocería en nov-2027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fase 3 de osavampator en depresión mayor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éxito abre un mercado de miles de millones; un fracaso deja la cartera sin sucesor cercano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fase 3 de direclidina (agonista M4) en esquizofrenia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Competiría con Cobenfy en un mercado nuevo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negociado de INGREZZA en Medicare desde 2029 más duro de lo previsto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 (cada 10 puntos más de recorte del precio de Medicare restan unos 150 M de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Techo de monopolio corto y suelo temporal para pequeñas biotecnológicas; el modelo ya recoge −9,5 % en 2029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Lista de CMS (feb-2027) y precio publicado (nov-2027)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precio neto de INGREZZA por el precio negociado de AUSTEDO desde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Diferencias clínicas (sin ajuste de dosis, mayor ocupación de VMAT2) y persistencia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INGREZZA para 2027 por debajo de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de VYKAT XR: cambio de etiqueta o frenazo de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y deterioro de parte de los 2.226 M de intangibles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riesgo de retención de líquidos ya está en la etiqueta; el Prader-Willi tiene mortalidad de base elevada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VYKAT XR en el 3T26 por debajo de 90 M o comunicación de la FDA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CRENESSITY crece menos de lo previsto (techo de pacientes o reembolso)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(bajista del motor: 113,35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dos años con reducción sostenida de corticoides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trimestrales que dejan de subir 25-30 M por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Fracaso de las fases 3 de 2027 (osavampator y direclidina)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(la proyección solo incluye 100-400 M de ventas nuevas desde 2030)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diversificada (CRF, VMAT2 de nueva generación, péptidos)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principales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de valbenazina antes de 2038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Acuerdos con todos los genéricos de 2023; 22 patentes listadas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certificaciones de Paragraph IV (Zydus por SPRINKLE)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Investigación del Departamento de Justicia sobre la promoción de INGREZZA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−4 % (acuerdos típicos de cientos de millones)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Coopera; sin acusación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Provisión o acuerdo en un 10-Q</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caras para sustituir a INGREZZA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Línea de crédito limitada a 1.000 M y caja de 482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 compra de más de 2.000 M antes de ver el retorno de Soleno</w:t>
            </w:r>
          </w:p>
        </w:tc>
      </w:tr>
    </w:tbl>
    <w:p>
      <w:pPr>
        <w:spacing w:after="160" w:before="0"/>
      </w:pPr>
    </w:p>
    <w:p>
      <w:pPr>
        <w:pStyle w:val="Heading2"/>
      </w:pPr>
      <w:r>
        <w:t xml:space="preserve">Pre-mortem</w:t>
      </w:r>
    </w:p>
    <w:p>
      <w:pPr>
        <w:spacing w:after="100"/>
      </w:pPr>
      <w:r>
        <w:t xml:space="preserve">Octubre de 2029: la acción cotiza a 80 USD. La historia empezó en 2027, cuando el precio negociado de AUSTEDO hizo que las aseguradoras de la Parte D exigieran a INGREZZA descuentos equivalentes: las ventas crecieron un 1 % pese al volumen. En febrero de 2027 CMS eligió INGREZZA y en noviembre publicó un precio un 40 % por debajo de la lista, más de lo que suponía el mercado. CRENESSITY siguió subiendo pero se estancó en 1.000 M, porque los endocrinólogos solo la usaban en los casos con peor control. La FDA añadió un recuadro de advertencia a VYKAT XR en 2027 y Neurocrine deterioró 1.200 M de intangibles. En 2027 osavampator no separó del placebo en dos de tres estudios. Con el BPA de 2029 en 7 USD en vez de 11 y un mercado que ya ponía precio a los genéricos de 2038, el PER bajó a 11 veces. Las señales que lo habrían anticipado: la guía de INGREZZA de febrero de 2027, las ventas trimestrales de CRENESSITY y VYKAT XR y los datos de fase 3.</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Oportunidad · </w:t>
      </w:r>
      <w:r>
        <w:rPr>
          <w:b/>
          <w:bCs/>
        </w:rPr>
        <w:t xml:space="preserve">Efecto en valor (3-5 años):</w:t>
      </w:r>
      <w:r>
        <w:t xml:space="preserve"> +3 % a 3-5 años</w:t>
      </w:r>
    </w:p>
    <w:p>
      <w:pPr>
        <w:spacing w:after="100"/>
      </w:pPr>
      <w:r>
        <w:t xml:space="preserve">La IA no puede sustituir lo que vende Neurocrine: un medicamento con patente para una enfermedad crónica, recetado por un médico y pagado por Medicare. Donde sí entra es en los costes: el I+D (1.016 M en 2025, el 36 % de las ventas) y la red comercial (1.156 M) [1]. En descubrimiento, la IA acorta la búsqueda de moléculas y el diseño de ensayos; dos consejeros de Neurocrine están en Iambic Therapeutics, que diseña fármacos con IA, y la empresa amplía su plataforma a péptidos y anticuerpos [1, 17]. El riesgo indirecto es que la IA abarate el descubrimiento para todos y aumente los competidores en sus dianas (VMAT2, CRF, M4), pero las barreras son clínicas y regulatorias. Lo valoramos como una mejora de la productividad del I+D de un 5-10 % a partir de 2028 (+3 % sobre el valor). Señal: el número de candidatos que pasan a fase 1 por año y el gasto de I+D por programa.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que mueve las cifras en ESG es el acceso y el precio de los medicamentos: la mayor parte de las ventas de INGREZZA las paga Medicare o Medicaid, y la presión política sobre los precios (IRA, nación más favorecida) es el riesgo regulatorio principal [1]. El segundo asunto es la seguridad del paciente (VYKAT XR) y el tercero la promoción comercial (investigación del Departamento de Justicia) [1, 12]. Las emisiones son irrelevantes: no fabrica [1].</w:t>
      </w:r>
    </w:p>
    <w:p>
      <w:pPr>
        <w:pStyle w:val="Heading2"/>
      </w:pPr>
      <w:r>
        <w:t xml:space="preserve">Controversias</w:t>
      </w:r>
    </w:p>
    <w:p>
      <w:pPr>
        <w:spacing w:after="100"/>
      </w:pPr>
      <w:r>
        <w:t xml:space="preserve">Investigación civil del Departamento de Justicia sobre la promoción de INGREZZA (ago-2025), abierta [1]. Alerta de las asociaciones de Prader-Willi sobre VYKAT XR (11-ago-2026: siete muertes y más de 100 acontecimientos graves notificados a la FDA, sin causalidad probada) [12]. Informe de un bajista de 2025 contra Soleno por los mismos riesgos [16]. Sin sanciones firmes en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netas de INGREZZA es de Medicare Parte D y cuál es la diferencia entre el precio neto actual en Medicare y el techo de «monopolio corto»?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cuánto cae INGREZZA en 2029: nuestro modelo supone −9,5 %.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AUSTEDO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puntos de precio neto ha cedido INGREZZA en los contratos de formularios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primera prueba del efecto del precio negociado de AUSTEDO.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CRENESSITY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pacientes hay en tratamiento y qué parte de la CAH clásica diagnosticada representan?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el techo de CRENESSITY es el supuesto más sensible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VYKAT XR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crecen las ventas desde el 4T25 y qué dicen las notificaciones de seguridad a la FDA?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Justifica o no los 2.226 M de intangibles.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Fase 3</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tamaño de efecto necesita osavampator para ser comercial y cuándo exactamente salen los datos?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sucesor de INGREZZA.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más compras antes de los datos de 2027 y con qué rentabilidad mínima?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primera compra grande no ha demostrado aún su retorno.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la recompra no reduce el número de acciones?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pagos en acciones son el 46 % del beneficio neto.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($NBIX)</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alcistas compran en las caídas (151-152 USD en agosto) y la ven como «crecimiento barato»; desde mediados de septiembre predominan los mensajes de desconcierto («¿qué está pasando con el precio?») sin una noticia concreta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autores mantienen compra tras Soleno («casa llena de opciones») pero señalan que VYKAT XR añade riesgo; la duda recurrente es el gasto comercial y el IRA de 2029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News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alerta de seguridad de VYKAT XR (siete muertes notificadas) reaviva el informe bajista de 2025 contra Soleno; algunos usuarios dudan del precio pagado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Zacks (comentarios y nota)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caída del 12 % en un mes se atribuye al mayor gasto y a la compra; se recomienda mantener [37].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de VYKAT XR y precio pagado por Soleno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el riesgo: VYKAT XR lleva tres trimestres plano (94 M pro forma) y su etiqueta ya avisa de retención de líquidos [4, 12]. Pero pesa poco: es el 8 % de nuestras ventas de 2028 y el bajista ya lo recoge.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frente al crecimiento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la regla: el PER de 15,1 veces nuestro BPA de 2027 está por debajo de cualquier año de su historia; la duda es si el mercado lo seguirá viendo como crecimiento con el IRA de 2029 a la vista.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Negociación de precios de Medicare (IRA) de INGREZZA en 2029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Está recogido: la proyección baja INGREZZA un 9,5 % en 2029 por el precio negociado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Fase 3 de osavampator y direclidina en 2027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Opción no incluida en el valor más allá de 100-400 M de ventas desde 2030; un éxito sería una subida no descontada.</w:t>
            </w:r>
          </w:p>
        </w:tc>
      </w:tr>
    </w:tbl>
    <w:p>
      <w:pPr>
        <w:spacing w:after="160" w:before="0"/>
      </w:pPr>
    </w:p>
    <w:p>
      <w:pPr>
        <w:spacing w:after="100"/>
      </w:pPr>
      <w:r>
        <w:t xml:space="preserve">El sentimiento ha pasado del entusiasmo de julio (máximos de 186 USD) al desconcierto: los particulares compran en las caídas pero no encuentran una razón para la bajada de septiembre, y la alerta de VYKAT XR ha dado argumentos a los bajistas [34, 36]. No es capitulación ni euforia. Va en contra de los analistas (29 con un objetivo medio de 206,81 USD, un 52 % por encima del precio) [22]. Aporta un riesgo que el informe ya recoge (VYKAT XR) y una confirmación: nadie habla de deterioro de INGREZZA o CRENESSITY, que son el 92 % de las ventas.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39 (16 primarias); citas distintas en el texto: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3,5 % frente a 2,8 % real: genera una variación de circulante de 56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(11,23) supone un 34,0 % anual desde 4,67 (2025): explícalo en valoracion.objetivo_12m.comentario o la confianza es baja. Explicación: El BPA de 2025 (4,67 USD) está deprimido por un tipo impositivo del 32 % y por los costes de lanzamiento de CRENESSITY, que en 2028 aporta 1.330 M de ventas con un margen incremental muy alto; el LTM de junio de 2026 ya es de 6,84 USD y nuestro 2026 normalizado de 8,0 coincide con el consenso ajustado una vez restados pagos en acciones y amortización. Es crecimiento de lanzamiento, no un supuesto de margen.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 fuentes (16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(solo resultado de explotación y BPA); 2) XBRL trimestral (sin depreciación trimestral); 3) 10-Q (depreciación solo semestral)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la empresa e informe de sostenibilidad; 2) MSCI y Sustainalytics públicos (no abren sin registro); 3) proxy 2026 (no las cita)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desglose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(solo «compra fuerte» agregada); 2) MarketScreener (no abre la ficha); 3) búsqueda web (sin desglose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anuales auditadas, notas de segmento, impuestos, bonos convertibles, litigios)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Neurocrine Biosciences,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https://www.sec.gov/Archives/edgar/data/914475/000091447526000007/nbix-20251231.htm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2T26 (balance a 30-jun-26, flujos del semestre, compra de Soleno, línea de crédito)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Neurocrine Biosciences,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https://www.sec.gov/Archives/edgar/data/914475/000091447526000037/nbix-20260630.htm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Neurocrine Biosciences,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https://www.sec.gov/Archives/edgar/data/914475/000091447526000026/nbix-20260331.htm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Neurocrine Biosciences Reports Second-Quarter 2026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Neurocrine Biosciences,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https://www.sec.gov/Archives/edgar/data/914475/000091447526000035/q2-2026xearningsrelease.htm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Neurocrine Biosciences Reports Fourth-Quarter and Full-Year 2025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Neurocrine Biosciences,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https://www.sec.gov/Archives/edgar/data/914475/000091447526000006/q4-2025xearningsrelease.htm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Neurocrine Biosciences Reports First-Quarter 2026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Neurocrine Biosciences,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https://www.sec.gov/Archives/edgar/data/914475/000091447526000025/q1-2026xearningsrelease.htm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Neurocrine (CIK 914475): cuenta, balance, flujos, valores negociables, bonos convertibles, I+D adquirida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https://data.sec.gov/api/xbrl/companyfacts/CIK0000914475.json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cierre de la compra de Soleno Therapeutics (2.900 M USD en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Neurocrine Biosciences,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https://www.sec.gov/Archives/edgar/data/914475/000119312526228013/d94926d8k.htm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Teva's Q4 earnings beat, branded drugs drive revenue growth (AUSTEDO 2025: 2.260 M USD; guía 2026 2.400-2.550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https://www.zacks.com/stock/news/2825449/teva-s-q4-earnings-beat-branded-drugs-drive-revenue-growth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Announces Part D Savings &amp; 2027 Maximum Fair Prices for 15 New Medicare-Negotiated Drugs (AUSTEDO: 6.623 USD de lista y 4.093 USD negociado, −38 %)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Ritter Insurance Marketing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https://ritterim.com/blog/cms-announces-part-d-savings-and-2027-maximum-fair-prices-for-15-new-medicare-negotiated-drugs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Obtains Meaningful Discounts for IPAY 2027 Selected Drugs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Manatt Health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https://www.manatt.com/insights/newsletters/health-highlights/cms-obtains-meaningful-discounts-for-ipay-2027-selected-drugs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Prader-Willi syndrome groups call attention to possible safety risks with Vykat XR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https://www.healio.com/news/endocrinology/20260813/praderwilli-syndrome-groups-call-attention-to-possible-safety-risks-with-vykat-xr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Soleno Therapeutics reports fourth quarter and full year 2025 financial results (VYKAT XR 190,4 M en 2025; 91,7 M en el 4T25; 859 pacientes en tratamiento)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Soleno Therapeutics (BioSpace)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https://www.biospace.com/press-releases/soleno-therapeutics-reports-fourth-quarter-and-full-year-2025-financial-results-and-provides-update-on-u-s-launch-of-vykat-xr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Incyte, United Therapeutics, Vertex, BioMarin, Jazz y Exelixis: estadísticas (capitalización, EV, márgenes, ROIC) a 14-oct-26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https://stockanalysis.com/stocks/incy/statistics/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Teva, after 3rd straight year of growth, expects downturn 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Fierce Pharma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https://www.fiercepharma.com/pharma/teva-third-year-growth-innovative-products-expects-downturn-2026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Neurocrine stands by blockbuster hopeful Vykat XR as Prader-Willi docs raise potential safety flags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Fierce Pharma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https://www.fiercepharma.com/pharma/neurocrines-blockbuster-hopeful-vykat-xr-tied-possible-safety-risks-prader-willi-clinicians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2025, accionistas, ratio de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Neurocrine Biosciences,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https://www.sec.gov/Archives/edgar/data/914475/000091447526000015/nbix-20260415.htm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27-may-2026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Neurocrine Biosciences,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https://www.sec.gov/Archives/edgar/data/914475/000091447526000029/nbix-20260527.htm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presentados entre el 15-oct-25 y el 15-oct-26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https://www.sec.gov/cgi-bin/browse-edgar?action=getcompany&amp;CIK=0000914475&amp;type=4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cambio de director médico (Eiry Roberts sustituye a Sanjay Keswani)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Neurocrine Biosciences,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https://www.sec.gov/Archives/edgar/data/914475/000091447526000045/nbix-20260925.htm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NBIX, SPY y XBI (herramientas/bolsa.mjs) hasta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https://finance.yahoo.com/quote/NBIX/history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NBIX: previsiones de los analistas (29 analistas, objetivo medio 206,81 USD; BPA ajustado 2026 de 10,19 y 2027 de 11,95; ventas 2026 de 3.900 M y 2027 de 4.560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https://stockanalysis.com/stocks/nbix/forecast/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NBIX: estadísticas (101,65 M de acciones, PER adelantado 12,0, posición corta 5,83 % del flotante)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https://stockanalysis.com/stocks/nbix/statistics/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(UTHR):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https://stockanalysis.com/stocks/uthr/statistics/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Vertex (VRTX):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https://stockanalysis.com/stocks/vrtx/statistics/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BioMarin (BMRN):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https://stockanalysis.com/stocks/bmrn/statistics/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Jazz Pharmaceuticals (JAZZ):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https://stockanalysis.com/stocks/jazz/statistics/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Exelixis (EXEL):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https://stockanalysis.com/stocks/exel/statistics/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 T12m with sustainable payout,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closes landmark Intra-Cellular Therapies acquisition (132 USD por acción, 14.600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https://www.jnj.com/media-center/press-releases/johnson-johnson-closes-landmark-intra-cellular-therapies-acquisition-to-solidify-neuroscience-leadership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Intra-Cellular Therapies (ingresos 2024: 680,9 M USD) y de GW Pharmaceuticals (ingresos 2020: 527,2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https://data.sec.gov/api/xbrl/companyfacts/CIK0001567514.json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Jazz Pharmaceuticals to acquire GW Pharmaceuticals (7.200 M USD, 220 USD por ADS)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Jazz Pharmaceuticals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https://investor.jazzpharma.com/news-releases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$NBIX (30 mensajes del 13-ago al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https://api.stocktwits.com/api/2/streams/symbol/NBIX.json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y artículos de NBIX (jul-oct 2026: «House Full Of Options», «Upholding A Buy Rating After M&amp;A Deal For Soleno», «Neurocrine slips as safety issues linked to Vykat XR resurface»)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https://seekingalpha.com/api/sa/combined/NBIX.xml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NBIX Stock Slips As $2.9B Soleno Deal Triggers Fresh Drug Safety Warnings (con comentarios de usuarios)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https://stocktwits.com/news-articles/markets/equity/nbix-stock-slips-as-2-9-b-soleno-deal-triggers-fresh-drug-safety-warnings/cZo8lijRJWD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NBIX stock dips 12% in a month: time to buy, hold or sell?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https://www.zacks.com/stock/news/2975712/nbix-stock-dips-12-in-a-month-time-to-buy-hold-or-sell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corta: biofarma de neurología y enfermedades raras en EE. UU. (sectores/biofarma-neurologia-2026-10-15.md)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sectores/biofarma-neurologia-2026-10-15.md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1,1195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88,7 %</w:t>
      </w:r>
      <w:r>
        <w:t xml:space="preserve"> · Secciones con menos del 60 % de campos cubiertos: </w:t>
      </w:r>
      <w:r>
        <w:rPr>
          <w:b/>
          <w:bCs/>
        </w:rPr>
        <w:t xml:space="preserve">ninguna</w:t>
      </w:r>
      <w:r>
        <w:t xml:space="preserve"> · Generado el 15 oct 2026.</w:t>
      </w:r>
    </w:p>
    <w:p>
      <w:pPr>
        <w:pStyle w:val="Nota"/>
        <w:spacing w:after="100"/>
      </w:pPr>
      <w:r>
        <w:t xml:space="preserve">Cuentas en USD y US GAAP. Precio: cierre del 14-oct-2026 en el Nasdaq (la sesión del 15-oct no había cerrado). Las cifras de 2021-2025 salen del XBRL de la SEC y se han contrastado con el 10-K 2025; el LTM de junio de 2026 se calcula con los 10-Q. La compra de Soleno (18-may-26) cambia el perímetro: el balance de junio la incluye y la cuenta solo desde el 18 de mayo. El consenso de BPA es ajustado (excluye pagos en acciones y amortización de intangibles) y lo comparamos con nuestro BPA publicado normalizado. Los comparables son de un solo proveedor (Stock Analysis) con PER sobre BPA ajustado. AUSTEDO 2024 (para la serie del mercado) es una estimación propia con el crecimiento del 34 % de 2025 publicado. Una acción cuesta unos 121,40 EUR (cambio del BCE del 14-oct, 1,1195) [39]: el 0,4 % de una cartera de 30.000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Neurocrine Biosciences, Inc. (NBIX)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135,91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(122,14 – 186,12)</c:v>
                </c:pt>
                <c:pt idx="1">
                  <c:v>Precio objetivo de los analistas (150,00 – 253,00)</c:v>
                </c:pt>
                <c:pt idx="2">
                  <c:v>Comparables: PER NTM (111,16 – 235,05)</c:v>
                </c:pt>
                <c:pt idx="3">
                  <c:v>DCF (WACC y g ± 0,5) (138,27 – 153,42)</c:v>
                </c:pt>
                <c:pt idx="4">
                  <c:v>Escenarios (bajista – alcista) (113,35 – 170,60)</c:v>
                </c:pt>
                <c:pt idx="5">
                  <c:v>DCF con la prima implícita del mercado (4,2 %)</c:v>
                </c:pt>
                <c:pt idx="6">
                  <c:v>Precio actual (135,91)</c:v>
                </c:pt>
              </c:strCache>
            </c:strRef>
          </c:cat>
          <c:val>
            <c:numRef>
              <c:f>Hoja1!$B$2:$B$8</c:f>
              <c:numCache>
                <c:formatCode>#,##0</c:formatCode>
                <c:ptCount val="7"/>
                <c:pt idx="0">
                  <c:v>122.14</c:v>
                </c:pt>
                <c:pt idx="1">
                  <c:v>150</c:v>
                </c:pt>
                <c:pt idx="2">
                  <c:v>111.16</c:v>
                </c:pt>
                <c:pt idx="3">
                  <c:v>138.27</c:v>
                </c:pt>
                <c:pt idx="4">
                  <c:v>113.35</c:v>
                </c:pt>
                <c:pt idx="5">
                  <c:v>151.76</c:v>
                </c:pt>
                <c:pt idx="6">
                  <c:v>135.23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(122,14 – 186,12)</c:v>
                </c:pt>
                <c:pt idx="1">
                  <c:v>Precio objetivo de los analistas (150,00 – 253,00)</c:v>
                </c:pt>
                <c:pt idx="2">
                  <c:v>Comparables: PER NTM (111,16 – 235,05)</c:v>
                </c:pt>
                <c:pt idx="3">
                  <c:v>DCF (WACC y g ± 0,5) (138,27 – 153,42)</c:v>
                </c:pt>
                <c:pt idx="4">
                  <c:v>Escenarios (bajista – alcista) (113,35 – 170,60)</c:v>
                </c:pt>
                <c:pt idx="5">
                  <c:v>DCF con la prima implícita del mercado (4,2 %)</c:v>
                </c:pt>
                <c:pt idx="6">
                  <c:v>Precio actual (135,91)</c:v>
                </c:pt>
              </c:strCache>
            </c:strRef>
          </c:cat>
          <c:val>
            <c:numRef>
              <c:f>Hoja1!$C$2:$C$8</c:f>
              <c:numCache>
                <c:formatCode>#,##0</c:formatCode>
                <c:ptCount val="7"/>
                <c:pt idx="0">
                  <c:v>63.980000000000004</c:v>
                </c:pt>
                <c:pt idx="1">
                  <c:v>103</c:v>
                </c:pt>
                <c:pt idx="2">
                  <c:v>123.89000000000001</c:v>
                </c:pt>
                <c:pt idx="3">
                  <c:v>15.149999999999977</c:v>
                </c:pt>
                <c:pt idx="4">
                  <c:v>57.25</c:v>
                </c:pt>
                <c:pt idx="5">
                  <c:v>13.810000000000002</c:v>
                </c:pt>
                <c:pt idx="6">
                  <c:v>1.3600000000000136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9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INGREZZA (valbenazina)</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1836</c:v>
                </c:pt>
                <c:pt idx="1">
                  <c:v>2313.5</c:v>
                </c:pt>
                <c:pt idx="2">
                  <c:v>2513.7</c:v>
                </c:pt>
              </c:numCache>
            </c:numRef>
          </c:val>
        </c:ser>
        <c:ser>
          <c:idx val="1"/>
          <c:order val="1"/>
          <c:tx>
            <c:strRef>
              <c:f>Hoja1!$C$1</c:f>
              <c:strCache>
                <c:ptCount val="1"/>
                <c:pt idx="0">
                  <c:v>CRENESSITY (crinecerfont)</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0</c:v>
                </c:pt>
                <c:pt idx="1">
                  <c:v>1.7</c:v>
                </c:pt>
                <c:pt idx="2">
                  <c:v>301.2</c:v>
                </c:pt>
              </c:numCache>
            </c:numRef>
          </c:val>
        </c:ser>
        <c:ser>
          <c:idx val="2"/>
          <c:order val="2"/>
          <c:tx>
            <c:strRef>
              <c:f>Hoja1!$D$1</c:f>
              <c:strCache>
                <c:ptCount val="1"/>
                <c:pt idx="0">
                  <c:v>Otros (ALKINDI, EFMODY, royalties de AbbVie y Tanabe)</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51.1</c:v>
                </c:pt>
                <c:pt idx="1">
                  <c:v>40.1</c:v>
                </c:pt>
                <c:pt idx="2">
                  <c:v>45.6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INGREZZA (valbenazina)</c:v>
                </c:pt>
                <c:pt idx="1">
                  <c:v>CRENESSITY (crinecerfont)</c:v>
                </c:pt>
                <c:pt idx="2">
                  <c:v>Otros (ALKINDI, EFMODY, royalties de AbbVie y Tanabe)</c:v>
                </c:pt>
              </c:strCache>
            </c:strRef>
          </c:cat>
          <c:val>
            <c:numRef>
              <c:f>Hoja1!$B$2:$B$4</c:f>
              <c:numCache>
                <c:formatCode>General</c:formatCode>
                <c:ptCount val="3"/>
                <c:pt idx="0">
                  <c:v>87.9</c:v>
                </c:pt>
                <c:pt idx="1">
                  <c:v>10.5</c:v>
                </c:pt>
                <c:pt idx="2">
                  <c:v>1.6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EE. UU.</c:v>
                </c:pt>
                <c:pt idx="1">
                  <c:v>Resto (royalties y Europa)</c:v>
                </c:pt>
              </c:strCache>
            </c:strRef>
          </c:cat>
          <c:val>
            <c:numRef>
              <c:f>Hoja1!$B$2:$B$3</c:f>
              <c:numCache>
                <c:formatCode>0"%"</c:formatCode>
                <c:ptCount val="2"/>
                <c:pt idx="0">
                  <c:v>98.4</c:v>
                </c:pt>
                <c:pt idx="1">
                  <c:v>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(ventas netas de INGREZZA + AUSTEDO))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2024</c:v>
                </c:pt>
                <c:pt idx="1">
                  <c:v>2025</c:v>
                </c:pt>
                <c:pt idx="2">
                  <c:v>2026e</c:v>
                </c:pt>
              </c:strCache>
            </c:strRef>
          </c:cat>
          <c:val>
            <c:numRef>
              <c:f>Hoja1!$B$2:$B$4</c:f>
              <c:numCache>
                <c:formatCode>#,##0</c:formatCode>
                <c:ptCount val="3"/>
                <c:pt idx="0">
                  <c:v>3998</c:v>
                </c:pt>
                <c:pt idx="1">
                  <c:v>4774</c:v>
                </c:pt>
                <c:pt idx="2">
                  <c:v>5325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Neurocrine</c:v>
                </c:pt>
                <c:pt idx="1">
                  <c:v>Teva (AUSTEDO / AUSTEDO XR)</c:v>
                </c:pt>
                <c:pt idx="2">
                  <c:v>Incyte</c:v>
                </c:pt>
                <c:pt idx="3">
                  <c:v>United Therapeutics</c:v>
                </c:pt>
                <c:pt idx="4">
                  <c:v>Jazz Pharmaceuticals</c:v>
                </c:pt>
                <c:pt idx="5">
                  <c:v>BioMarin</c:v>
                </c:pt>
                <c:pt idx="6">
                  <c:v>Exelixis</c:v>
                </c:pt>
              </c:strCache>
            </c:strRef>
          </c:cat>
          <c:val>
            <c:numRef>
              <c:f>Hoja1!$B$2:$B$8</c:f>
              <c:numCache>
                <c:formatCode>0.0"%"</c:formatCode>
                <c:ptCount val="7"/>
                <c:pt idx="0">
                  <c:v>21.6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1133.5</c:v>
                </c:pt>
                <c:pt idx="1">
                  <c:v>1488.7</c:v>
                </c:pt>
                <c:pt idx="2">
                  <c:v>1887.1</c:v>
                </c:pt>
                <c:pt idx="3">
                  <c:v>2355.3</c:v>
                </c:pt>
                <c:pt idx="4">
                  <c:v>2860.5</c:v>
                </c:pt>
                <c:pt idx="5">
                  <c:v>3925</c:v>
                </c:pt>
                <c:pt idx="6">
                  <c:v>4478</c:v>
                </c:pt>
                <c:pt idx="7">
                  <c:v>4868</c:v>
                </c:pt>
                <c:pt idx="8">
                  <c:v>4780</c:v>
                </c:pt>
                <c:pt idx="9">
                  <c:v>5081</c:v>
                </c:pt>
                <c:pt idx="10">
                  <c:v>5361</c:v>
                </c:pt>
                <c:pt idx="11">
                  <c:v>5602</c:v>
                </c:pt>
                <c:pt idx="12">
                  <c:v>5798</c:v>
                </c:pt>
                <c:pt idx="13">
                  <c:v>5972</c:v>
                </c:pt>
                <c:pt idx="14">
                  <c:v>6121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113.4</c:v>
                </c:pt>
                <c:pt idx="1">
                  <c:v>264.6</c:v>
                </c:pt>
                <c:pt idx="2">
                  <c:v>272.2</c:v>
                </c:pt>
                <c:pt idx="3">
                  <c:v>597.6</c:v>
                </c:pt>
                <c:pt idx="4">
                  <c:v>649.2</c:v>
                </c:pt>
                <c:pt idx="5">
                  <c:v>1060</c:v>
                </c:pt>
                <c:pt idx="6">
                  <c:v>1370</c:v>
                </c:pt>
                <c:pt idx="7">
                  <c:v>1660</c:v>
                </c:pt>
                <c:pt idx="8">
                  <c:v>1544</c:v>
                </c:pt>
                <c:pt idx="9">
                  <c:v>1743</c:v>
                </c:pt>
                <c:pt idx="10">
                  <c:v>1876</c:v>
                </c:pt>
                <c:pt idx="11">
                  <c:v>1989</c:v>
                </c:pt>
                <c:pt idx="12">
                  <c:v>2087</c:v>
                </c:pt>
                <c:pt idx="13">
                  <c:v>2150</c:v>
                </c:pt>
                <c:pt idx="14">
                  <c:v>2204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98.7</c:v>
                </c:pt>
                <c:pt idx="1">
                  <c:v>98.4</c:v>
                </c:pt>
                <c:pt idx="2">
                  <c:v>97.9</c:v>
                </c:pt>
                <c:pt idx="3">
                  <c:v>98.6</c:v>
                </c:pt>
                <c:pt idx="4">
                  <c:v>98.2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c:v>
                </c:pt>
                <c:pt idx="1">
                  <c:v>17.8</c:v>
                </c:pt>
                <c:pt idx="2">
                  <c:v>14.4</c:v>
                </c:pt>
                <c:pt idx="3">
                  <c:v>25.4</c:v>
                </c:pt>
                <c:pt idx="4">
                  <c:v>22.7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c:v>
                </c:pt>
                <c:pt idx="1">
                  <c:v>16.7</c:v>
                </c:pt>
                <c:pt idx="2">
                  <c:v>13.3</c:v>
                </c:pt>
                <c:pt idx="3">
                  <c:v>24.2</c:v>
                </c:pt>
                <c:pt idx="4">
                  <c:v>21.6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7.9</c:v>
                </c:pt>
                <c:pt idx="1">
                  <c:v>10.4</c:v>
                </c:pt>
                <c:pt idx="2">
                  <c:v>13.2</c:v>
                </c:pt>
                <c:pt idx="3">
                  <c:v>14.5</c:v>
                </c:pt>
                <c:pt idx="4">
                  <c:v>16.7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27.8</c:v>
                </c:pt>
                <c:pt idx="5">
                  <c:v>28.3</c:v>
                </c:pt>
                <c:pt idx="6">
                  <c:v>42.2</c:v>
                </c:pt>
                <c:pt idx="7">
                  <c:v>39.5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6">
                  <c:v>42.2</c:v>
                </c:pt>
                <c:pt idx="7">
                  <c:v>31.6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60</c:v>
                </c:pt>
                <c:pt idx="1">
                  <c:v>86</c:v>
                </c:pt>
                <c:pt idx="2">
                  <c:v>85</c:v>
                </c:pt>
                <c:pt idx="3">
                  <c:v>74</c:v>
                </c:pt>
                <c:pt idx="4">
                  <c:v>88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778</c:v>
                </c:pt>
                <c:pt idx="1">
                  <c:v>552</c:v>
                </c:pt>
                <c:pt idx="2">
                  <c:v>352</c:v>
                </c:pt>
                <c:pt idx="3">
                  <c:v>616</c:v>
                </c:pt>
                <c:pt idx="4">
                  <c:v>483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5763</c:v>
                </c:pt>
                <c:pt idx="1">
                  <c:v>5469</c:v>
                </c:pt>
                <c:pt idx="2">
                  <c:v>4126</c:v>
                </c:pt>
                <c:pt idx="3">
                  <c:v>4955</c:v>
                </c:pt>
                <c:pt idx="4">
                  <c:v>4724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233.1</c:v>
                </c:pt>
                <c:pt idx="1">
                  <c:v>322.9</c:v>
                </c:pt>
                <c:pt idx="2">
                  <c:v>361.59999999999997</c:v>
                </c:pt>
                <c:pt idx="3">
                  <c:v>557.1999999999999</c:v>
                </c:pt>
                <c:pt idx="4">
                  <c:v>748.7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89.6</c:v>
                </c:pt>
                <c:pt idx="1">
                  <c:v>154.5</c:v>
                </c:pt>
                <c:pt idx="2">
                  <c:v>249.7</c:v>
                </c:pt>
                <c:pt idx="3">
                  <c:v>341.3</c:v>
                </c:pt>
                <c:pt idx="4">
                  <c:v>478.6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20.7</c:v>
                </c:pt>
                <c:pt idx="1">
                  <c:v>35.1</c:v>
                </c:pt>
                <c:pt idx="2">
                  <c:v>29.7</c:v>
                </c:pt>
                <c:pt idx="3">
                  <c:v>55</c:v>
                </c:pt>
                <c:pt idx="4">
                  <c:v>56.6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10.6</c:v>
                </c:pt>
                <c:pt idx="1">
                  <c:v>10.6</c:v>
                </c:pt>
                <c:pt idx="2">
                  <c:v>10.6</c:v>
                </c:pt>
                <c:pt idx="3">
                  <c:v>10.6</c:v>
                </c:pt>
                <c:pt idx="4">
                  <c:v>10.6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6.5</c:v>
                </c:pt>
                <c:pt idx="1">
                  <c:v>10</c:v>
                </c:pt>
                <c:pt idx="2">
                  <c:v>12.7</c:v>
                </c:pt>
                <c:pt idx="3">
                  <c:v>14.2</c:v>
                </c:pt>
                <c:pt idx="4">
                  <c:v>16.4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-8.26</c:v>
                </c:pt>
                <c:pt idx="1">
                  <c:v>-4.23</c:v>
                </c:pt>
                <c:pt idx="2">
                  <c:v>-5.69</c:v>
                </c:pt>
                <c:pt idx="3">
                  <c:v>-3.04</c:v>
                </c:pt>
                <c:pt idx="4">
                  <c:v>-3.92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2031</c:v>
                </c:pt>
              </c:strCache>
            </c:strRef>
          </c:cat>
          <c:val>
            <c:numRef>
              <c:f>Hoja1!$B$2</c:f>
              <c:numCache>
                <c:formatCode>#,##0</c:formatCode>
                <c:ptCount val="1"/>
                <c:pt idx="0">
                  <c:v>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42.7</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300</c:v>
                </c:pt>
                <c:pt idx="4">
                  <c:v>167.7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Otro externo</c:v>
                </c:pt>
              </c:strCache>
            </c:strRef>
          </c:cat>
          <c:val>
            <c:numRef>
              <c:f>Hoja1!$B$2:$B$4</c:f>
              <c:numCache>
                <c:formatCode>0</c:formatCode>
                <c:ptCount val="3"/>
                <c:pt idx="0">
                  <c:v>9</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c:v>
                </c:pt>
                <c:pt idx="1">
                  <c:v>The Vanguard Group</c:v>
                </c:pt>
                <c:pt idx="2">
                  <c:v>Dodge &amp; Cox</c:v>
                </c:pt>
                <c:pt idx="3">
                  <c:v>JPMorgan Chase</c:v>
                </c:pt>
                <c:pt idx="4">
                  <c:v>Consejeros y directivos (20 personas)</c:v>
                </c:pt>
              </c:strCache>
            </c:strRef>
          </c:cat>
          <c:val>
            <c:numRef>
              <c:f>Hoja1!$B$2:$B$6</c:f>
              <c:numCache>
                <c:formatCode>0.0"%"</c:formatCode>
                <c:ptCount val="5"/>
                <c:pt idx="0">
                  <c:v>12</c:v>
                </c:pt>
                <c:pt idx="1">
                  <c:v>10.1</c:v>
                </c:pt>
                <c:pt idx="2">
                  <c:v>5.5</c:v>
                </c:pt>
                <c:pt idx="3">
                  <c:v>5.2</c:v>
                </c:pt>
                <c:pt idx="4">
                  <c:v>4.6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-31.6</c:v>
                </c:pt>
                <c:pt idx="1">
                  <c:v>100.5</c:v>
                </c:pt>
                <c:pt idx="2">
                  <c:v>-8</c:v>
                </c:pt>
                <c:pt idx="3">
                  <c:v>50.5</c:v>
                </c:pt>
                <c:pt idx="4">
                  <c:v>-10.8</c:v>
                </c:pt>
                <c:pt idx="5">
                  <c:v>-11.1</c:v>
                </c:pt>
                <c:pt idx="6">
                  <c:v>40.2</c:v>
                </c:pt>
                <c:pt idx="7">
                  <c:v>10.3</c:v>
                </c:pt>
                <c:pt idx="8">
                  <c:v>3.6</c:v>
                </c:pt>
                <c:pt idx="9">
                  <c:v>3.9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65.3</c:v>
                </c:pt>
                <c:pt idx="1">
                  <c:v>40.4</c:v>
                </c:pt>
                <c:pt idx="2">
                  <c:v>43.2</c:v>
                </c:pt>
                <c:pt idx="3">
                  <c:v>20.6</c:v>
                </c:pt>
                <c:pt idx="4">
                  <c:v>18.5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30.5</c:v>
                </c:pt>
                <c:pt idx="1">
                  <c:v>30.5</c:v>
                </c:pt>
                <c:pt idx="2">
                  <c:v>30.5</c:v>
                </c:pt>
                <c:pt idx="3">
                  <c:v>30.5</c:v>
                </c:pt>
                <c:pt idx="4">
                  <c:v>30.5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749</c:v>
                </c:pt>
                <c:pt idx="1">
                  <c:v>1031</c:v>
                </c:pt>
                <c:pt idx="2">
                  <c:v>1257</c:v>
                </c:pt>
                <c:pt idx="3">
                  <c:v>1186</c:v>
                </c:pt>
                <c:pt idx="4">
                  <c:v>1311</c:v>
                </c:pt>
                <c:pt idx="5">
                  <c:v>1395</c:v>
                </c:pt>
                <c:pt idx="6">
                  <c:v>1462</c:v>
                </c:pt>
                <c:pt idx="7">
                  <c:v>1513</c:v>
                </c:pt>
                <c:pt idx="8">
                  <c:v>1540</c:v>
                </c:pt>
                <c:pt idx="9">
                  <c:v>1560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7788</c:v>
                </c:pt>
                <c:pt idx="1">
                  <c:v>6720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135,91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113.35</c:v>
                </c:pt>
                <c:pt idx="1">
                  <c:v>145.26</c:v>
                </c:pt>
                <c:pt idx="2">
                  <c:v>170.6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135,91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(122,14 – 186,12)</c:v>
                </c:pt>
                <c:pt idx="1">
                  <c:v>Precio objetivo de los analistas (150,00 – 253,00)</c:v>
                </c:pt>
                <c:pt idx="2">
                  <c:v>Comparables: PER NTM (111,16 – 235,05)</c:v>
                </c:pt>
                <c:pt idx="3">
                  <c:v>DCF (WACC y g ± 0,5) (138,27 – 153,42)</c:v>
                </c:pt>
                <c:pt idx="4">
                  <c:v>Escenarios (bajista – alcista) (113,35 – 170,60)</c:v>
                </c:pt>
                <c:pt idx="5">
                  <c:v>DCF con la prima implícita del mercado (4,2 %)</c:v>
                </c:pt>
                <c:pt idx="6">
                  <c:v>Precio actual (135,91)</c:v>
                </c:pt>
              </c:strCache>
            </c:strRef>
          </c:cat>
          <c:val>
            <c:numRef>
              <c:f>Hoja1!$B$2:$B$8</c:f>
              <c:numCache>
                <c:formatCode>#,##0</c:formatCode>
                <c:ptCount val="7"/>
                <c:pt idx="0">
                  <c:v>122.14</c:v>
                </c:pt>
                <c:pt idx="1">
                  <c:v>150</c:v>
                </c:pt>
                <c:pt idx="2">
                  <c:v>111.16</c:v>
                </c:pt>
                <c:pt idx="3">
                  <c:v>138.27</c:v>
                </c:pt>
                <c:pt idx="4">
                  <c:v>113.35</c:v>
                </c:pt>
                <c:pt idx="5">
                  <c:v>151.76</c:v>
                </c:pt>
                <c:pt idx="6">
                  <c:v>135.23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(122,14 – 186,12)</c:v>
                </c:pt>
                <c:pt idx="1">
                  <c:v>Precio objetivo de los analistas (150,00 – 253,00)</c:v>
                </c:pt>
                <c:pt idx="2">
                  <c:v>Comparables: PER NTM (111,16 – 235,05)</c:v>
                </c:pt>
                <c:pt idx="3">
                  <c:v>DCF (WACC y g ± 0,5) (138,27 – 153,42)</c:v>
                </c:pt>
                <c:pt idx="4">
                  <c:v>Escenarios (bajista – alcista) (113,35 – 170,60)</c:v>
                </c:pt>
                <c:pt idx="5">
                  <c:v>DCF con la prima implícita del mercado (4,2 %)</c:v>
                </c:pt>
                <c:pt idx="6">
                  <c:v>Precio actual (135,91)</c:v>
                </c:pt>
              </c:strCache>
            </c:strRef>
          </c:cat>
          <c:val>
            <c:numRef>
              <c:f>Hoja1!$C$2:$C$8</c:f>
              <c:numCache>
                <c:formatCode>#,##0</c:formatCode>
                <c:ptCount val="7"/>
                <c:pt idx="0">
                  <c:v>63.980000000000004</c:v>
                </c:pt>
                <c:pt idx="1">
                  <c:v>103</c:v>
                </c:pt>
                <c:pt idx="2">
                  <c:v>123.89000000000001</c:v>
                </c:pt>
                <c:pt idx="3">
                  <c:v>15.149999999999977</c:v>
                </c:pt>
                <c:pt idx="4">
                  <c:v>57.25</c:v>
                </c:pt>
                <c:pt idx="5">
                  <c:v>13.810000000000002</c:v>
                </c:pt>
                <c:pt idx="6">
                  <c:v>1.3600000000000136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9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