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Moncler S.p.A.</w:t>
      </w:r>
    </w:p>
    <w:p>
      <w:pPr>
        <w:spacing w:after="60"/>
        <w:rPr>
          <w:color w:val="52514E"/>
          <w:sz w:val="22"/>
          <w:szCs w:val="22"/>
        </w:rPr>
      </w:pPr>
      <w:r>
        <w:rPr>
          <w:color w:val="52514E"/>
          <w:sz w:val="22"/>
          <w:szCs w:val="22"/>
        </w:rPr>
        <w:t xml:space="preserve">MONC · Euronext Milan (Borsa Italiana) · ISIN IT0004965148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42,94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51,63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+23,5 % (base +21,6 %)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45,66 EUR · mercado 53,03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11.663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Moncler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MONC / IT0004965148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Milan (Borsa Italiana)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MIB</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ropa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Milán · 1952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www.monclergroup.com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42,94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42,10 – 59,40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11.663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11.749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54,6 M EUR/día (3 meses; 1,19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51,63 EUR</w:t>
      </w:r>
      <w:r>
        <w:t xml:space="preserve"> frente a 42,94 · Rentabilidad a 12 meses </w:t>
      </w:r>
      <w:r>
        <w:rPr>
          <w:b/>
          <w:bCs/>
        </w:rPr>
        <w:t xml:space="preserve">+23,5 % (base +21,6 %)</w:t>
      </w:r>
      <w:r>
        <w:t xml:space="preserve"> · Valor intrínseco 45,66 EUR · con la prima implícita del mercado: 53,03 (+23,5 %) · Alcista / bajista +16,4 % / -33,9 %</w:t>
      </w:r>
    </w:p>
    <w:p>
      <w:pPr>
        <w:spacing w:after="100"/>
      </w:pPr>
      <w:r>
        <w:rPr>
          <w:b/>
        </w:rPr>
        <w:t xml:space="preserve">La recomendación y por qué.</w:t>
      </w:r>
      <w:r>
        <w:t xml:space="preserve"> Comprar, con convicción baja y a la espera del cierre del 22-oct. A 12 meses, con nuestra regla de múltiplos, el objetivo es de 51,63 EUR: +23,5 % ponderado y +21,6 % en el caso base, con dividendo, sobre el cierre de 42,94 EUR del 21-oct. El valor intrínseco (síntesis del DCF, los escenarios y los comparables) es de 45,66 EUR, un 6,3 % por encima: se cumplen las dos condiciones. La convicción es baja porque la compra es frágil: con el PER al cierre la rentabilidad baja al 14,7 % y con el BPA un 10 % más bajo al 11,5 %; el DCF solo (40,30 EUR) queda por debajo del precio.</w:t>
      </w:r>
    </w:p>
    <w:p>
      <w:pPr>
        <w:spacing w:after="100"/>
      </w:pPr>
      <w:r>
        <w:rPr>
          <w:b/>
        </w:rPr>
        <w:t xml:space="preserve">Qué ha cambiado con el 3T26 (21-oct, tras el cierre).</w:t>
      </w:r>
      <w:r>
        <w:t xml:space="preserve"> Trimestre flojo: ventas de 605,5 M, planas a tipos constantes y −1,6 % a tipos corrientes; la marca Moncler cae un 1 % (venta directa −2 %, EMEA −8 % por segundo trimestre, Asia frena al +5 %) y Stone Island sube un 5 % [5]. En nueve meses, 1.895,4 M (+6 % a tipos constantes). No da márgenes ni previsión. Bajamos 2026e al +1,5 % y dejamos nuestro BPA un 6-7 % por debajo del consenso, que aún no lo recoge [49]. Este análisis se rehace entero con fuentes primarias (el del 14-oct salió de extractos de búsqueda).</w:t>
      </w:r>
    </w:p>
    <w:p>
      <w:pPr>
        <w:spacing w:after="100"/>
      </w:pPr>
      <w:r>
        <w:rPr>
          <w:b/>
        </w:rPr>
        <w:t xml:space="preserve">El negocio.</w:t>
      </w:r>
      <w:r>
        <w:t xml:space="preserve"> Moncler vende abrigos de plumón de lujo: la marca Moncler es el 87 % de las ventas y Stone Island el resto, el 83 % en tiendas propias, con un margen bruto del 78 % y un margen EBIT del 29 % [7, 8]. ROIC del 19,3 % frente a un WACC del 9,14 %; la calidad sostiene el crecimiento proyectado (veredicto: Sí).</w:t>
      </w:r>
    </w:p>
    <w:p>
      <w:pPr>
        <w:spacing w:after="100"/>
      </w:pPr>
      <w:r>
        <w:rPr>
          <w:b/>
        </w:rPr>
        <w:t xml:space="preserve">Finanzas.</w:t>
      </w:r>
      <w:r>
        <w:t xml:space="preserve"> Caja neta de 1.112,4 M a jun-26 sin arrendamientos; con ellos, deuda neta de 86 M [6]. Altman Z de 5,35 y Piotroski de 7.</w:t>
      </w:r>
    </w:p>
    <w:p>
      <w:pPr>
        <w:spacing w:after="100"/>
      </w:pPr>
      <w:r>
        <w:rPr>
          <w:b/>
        </w:rPr>
        <w:t xml:space="preserve">Valoración.</w:t>
      </w:r>
      <w:r>
        <w:t xml:space="preserve"> Cotiza a 17,9 veces nuestro BPA de 2027e, frente a una mediana adelantada de 23,6 veces desde 2021 y a 24,9 de los comparables: el PER más bajo desde 2020. El DCF inverso pide un crecimiento del 5,4 % anual frente al 4,4 % de nuestro base; con la prima de riesgo del mercado el DCF sube a 50,93 EUR.</w:t>
      </w:r>
    </w:p>
    <w:p>
      <w:pPr>
        <w:spacing w:after="100"/>
      </w:pPr>
      <w:r>
        <w:rPr>
          <w:b/>
        </w:rPr>
        <w:t xml:space="preserve">Riesgos y catalizadores.</w:t>
      </w:r>
      <w:r>
        <w:t xml:space="preserve"> El primero, que el frenazo de la marca se alargue (bajista a 12 meses: 33,65 EUR, −18,4 %); el segundo, una sola categoría y una estación; el tercero, los cortos (3,65 % del capital) [56]. Catalizadores: el cierre del 22-oct, el invierno y el plan de la nueva dirección el 18-feb-2027.</w:t>
      </w:r>
    </w:p>
    <w:p>
      <w:pPr>
        <w:spacing w:after="100"/>
      </w:pPr>
      <w:r>
        <w:rPr>
          <w:b/>
        </w:rPr>
        <w:t xml:space="preserve">Qué cambiaría la decisión.</w:t>
      </w:r>
      <w:r>
        <w:t xml:space="preserve"> Compraríamos por debajo de 45,66 EUR (robusta por debajo de 41,65) y venderíamos por encima de 58,92 EUR. La convicción subiría si la venta directa de Moncler vuelve a crecer en el 4T.</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51,63 EUR</w:t>
      </w:r>
      <w:r>
        <w:t xml:space="preserve"> (rentabilidad +23,5 % (base +21,6 %)) · Valor intrínseco: 45,66 EUR (+6,3 % sobre 42,94) · con la prima implícita del mercado: 53,03 (+23,5 %)</w:t>
      </w:r>
    </w:p>
    <w:p>
      <w:pPr>
        <w:spacing w:after="100"/>
      </w:pPr>
      <w:r>
        <w:t xml:space="preserve">Moncler es la marca de abrigo de plumón de lujo, con un margen EBIT del 29 %, un ROIC del 19 % y caja neta [6, 7].</w:t>
      </w:r>
    </w:p>
    <w:p>
      <w:pPr>
        <w:spacing w:after="100"/>
      </w:pPr>
      <w:r>
        <w:t xml:space="preserve">El 3T26 enseña el frenazo: la marca cae un 1 % y Europa un 8 %. El precio (42,94 EUR, en mínimos de 52 semanas) ya descuenta un PER de 17,9 veces, el más bajo desde 2020.</w:t>
      </w:r>
    </w:p>
    <w:p>
      <w:pPr>
        <w:spacing w:after="100"/>
      </w:pPr>
      <w:r>
        <w:t xml:space="preserve">Para invertir hay que creer que el frenazo es de ciclo (turismo y China) y no de marca. A 12 meses la regla da +23,5 %, pero la compra es frágil y espera a la reacción del 22-oct.</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2,13 = 33,65 · 19,7x × 2,58 = 50,83 · 24,9x × 2,86 = 71,21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 / 21,6 %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58,74 (nuestro base -13,5 %)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 / -33,9 %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9,1 %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45,66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45,66 y 58,92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58,92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Cierre del 22-oct por encima de 45,66 EUR: Mantener.</w:t>
      </w:r>
    </w:p>
    <w:p>
      <w:pPr>
        <w:pStyle w:val="ListParagraph"/>
        <w:numPr>
          <w:ilvl w:val="0"/>
          <w:numId w:val="2"/>
        </w:numPr>
        <w:spacing w:after="60"/>
      </w:pPr>
      <w:r>
        <w:t xml:space="preserve">Precio por encima de 58,92 EUR: Vender o reducir.</w:t>
      </w:r>
    </w:p>
    <w:p>
      <w:pPr>
        <w:pStyle w:val="ListParagraph"/>
        <w:numPr>
          <w:ilvl w:val="0"/>
          <w:numId w:val="2"/>
        </w:numPr>
        <w:spacing w:after="60"/>
      </w:pPr>
      <w:r>
        <w:t xml:space="preserve">Venta directa de Moncler negativa en el 4T26: revisaríamos a la baja.</w:t>
      </w:r>
    </w:p>
    <w:p>
      <w:pPr>
        <w:pStyle w:val="ListParagraph"/>
        <w:numPr>
          <w:ilvl w:val="0"/>
          <w:numId w:val="2"/>
        </w:numPr>
        <w:spacing w:after="60"/>
      </w:pPr>
      <w:r>
        <w:t xml:space="preserve">Recompra con la caja neta: revisaríamos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5,4 % anual con nuestro coste de capital y un PER que no vuelve a su media; los analistas, más optimistas, apuntan a 58,74 EUR [50].</w:t>
      </w:r>
    </w:p>
    <w:p>
      <w:pPr>
        <w:keepNext/>
        <w:spacing w:after="100"/>
      </w:pPr>
      <w:r>
        <w:rPr>
          <w:b/>
          <w:bCs/>
        </w:rPr>
        <w:t xml:space="preserve">Lo que creemos nosotros.</w:t>
      </w:r>
    </w:p>
    <w:p>
      <w:pPr>
        <w:spacing w:after="100"/>
      </w:pPr>
      <w:r>
        <w:t xml:space="preserve">Más prudentes que el consenso en el beneficio (BPA de 2028e un 7 % más bajo) pero con un PER que recupera solo un 10 %: aun así la rentabilidad supera el 15 %.</w:t>
      </w:r>
    </w:p>
    <w:p>
      <w:pPr>
        <w:keepNext/>
        <w:spacing w:after="100"/>
      </w:pPr>
      <w:r>
        <w:rPr>
          <w:b/>
          <w:bCs/>
        </w:rPr>
        <w:t xml:space="preserve">Por qué podemos tener razón.</w:t>
      </w:r>
    </w:p>
    <w:p>
      <w:pPr>
        <w:spacing w:after="100"/>
      </w:pPr>
      <w:r>
        <w:t xml:space="preserve">El precio ha caído un 22 % en seis meses y el múltiplo está en mínimos; basta con que el beneficio no baje [48].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42,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PER en mínimos</w:t>
      </w:r>
      <w:r>
        <w:t xml:space="preserve">: 17,9 veces frente a una mediana adelantada de 23,6 desde 2021.</w:t>
      </w:r>
    </w:p>
    <w:p>
      <w:pPr>
        <w:pStyle w:val="ListParagraph"/>
        <w:numPr>
          <w:ilvl w:val="0"/>
          <w:numId w:val="2"/>
        </w:numPr>
        <w:spacing w:after="60"/>
      </w:pPr>
      <w:r>
        <w:rPr>
          <w:b/>
        </w:rPr>
        <w:t xml:space="preserve">Caja neta</w:t>
      </w:r>
      <w:r>
        <w:t xml:space="preserve"> de 1.112 M y sin deuda financiera [6].</w:t>
      </w:r>
    </w:p>
    <w:p>
      <w:pPr>
        <w:pStyle w:val="ListParagraph"/>
        <w:numPr>
          <w:ilvl w:val="0"/>
          <w:numId w:val="2"/>
        </w:numPr>
        <w:spacing w:after="60"/>
      </w:pPr>
      <w:r>
        <w:rPr>
          <w:b/>
        </w:rPr>
        <w:t xml:space="preserve">Margen bruto del 78 %</w:t>
      </w:r>
      <w:r>
        <w:t xml:space="preserve"> y EBIT del 29 % estable en el frenazo [7].</w:t>
      </w:r>
    </w:p>
    <w:p>
      <w:pPr>
        <w:pStyle w:val="ListParagraph"/>
        <w:numPr>
          <w:ilvl w:val="0"/>
          <w:numId w:val="2"/>
        </w:numPr>
        <w:spacing w:after="60"/>
      </w:pPr>
      <w:r>
        <w:rPr>
          <w:b/>
        </w:rPr>
        <w:t xml:space="preserve">Rentabilidad a 12 meses del 23,5 %</w:t>
      </w:r>
      <w:r>
        <w:t xml:space="preserve"> con la regla común.</w:t>
      </w:r>
    </w:p>
    <w:p>
      <w:pPr>
        <w:pStyle w:val="Heading2"/>
      </w:pPr>
      <w:r>
        <w:t xml:space="preserve">En contra</w:t>
      </w:r>
    </w:p>
    <w:p>
      <w:pPr>
        <w:pStyle w:val="ListParagraph"/>
        <w:numPr>
          <w:ilvl w:val="0"/>
          <w:numId w:val="2"/>
        </w:numPr>
        <w:spacing w:after="60"/>
      </w:pPr>
      <w:r>
        <w:rPr>
          <w:b/>
        </w:rPr>
        <w:t xml:space="preserve">3T26 flojo</w:t>
      </w:r>
      <w:r>
        <w:t xml:space="preserve">: marca Moncler −1 %, EMEA −8 % [5].</w:t>
      </w:r>
    </w:p>
    <w:p>
      <w:pPr>
        <w:pStyle w:val="ListParagraph"/>
        <w:numPr>
          <w:ilvl w:val="0"/>
          <w:numId w:val="2"/>
        </w:numPr>
        <w:spacing w:after="60"/>
      </w:pPr>
      <w:r>
        <w:rPr>
          <w:b/>
        </w:rPr>
        <w:t xml:space="preserve">Compra frágil</w:t>
      </w:r>
      <w:r>
        <w:t xml:space="preserve">: 14,7 % con el PER al cierre y 11,5 % con el BPA −10 %.</w:t>
      </w:r>
    </w:p>
    <w:p>
      <w:pPr>
        <w:pStyle w:val="ListParagraph"/>
        <w:numPr>
          <w:ilvl w:val="0"/>
          <w:numId w:val="2"/>
        </w:numPr>
        <w:spacing w:after="60"/>
      </w:pPr>
      <w:r>
        <w:rPr>
          <w:b/>
        </w:rPr>
        <w:t xml:space="preserve">Cortos del 3,65 %</w:t>
      </w:r>
      <w:r>
        <w:t xml:space="preserve"> del capital [56].</w:t>
      </w:r>
    </w:p>
    <w:p>
      <w:pPr>
        <w:pStyle w:val="ListParagraph"/>
        <w:numPr>
          <w:ilvl w:val="0"/>
          <w:numId w:val="2"/>
        </w:numPr>
        <w:spacing w:after="60"/>
      </w:pPr>
      <w:r>
        <w:rPr>
          <w:b/>
        </w:rPr>
        <w:t xml:space="preserve">Existencias +14,6 %</w:t>
      </w:r>
      <w:r>
        <w:t xml:space="preserve"> en 2025 con ventas planas [7].</w:t>
      </w:r>
    </w:p>
    <w:p>
      <w:pPr>
        <w:pStyle w:val="Heading2"/>
      </w:pPr>
      <w:r>
        <w:t xml:space="preserve">Qué tiene que pasar para que la tesis funcione</w:t>
      </w:r>
    </w:p>
    <w:p>
      <w:pPr>
        <w:spacing w:after="100"/>
      </w:pPr>
      <w:r>
        <w:t xml:space="preserve">La tesis depende de que la marca Moncler vuelva a crecer en 2027 sin rebajas. La señal de que no se cumple: venta directa de Moncler negativa en el 4T26 o existencias por encima del 18 % de las ventas.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 de la marca Moncler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demanda de la marca.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EMEA (marca Moncler)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Turismo y Europa.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señal de rebajas.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9,1x / 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 / 17,1x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Moncler nació en 1952 en Monestier-de-Clermont, un pueblo de montaña cerca de Grenoble: René Ramillon y André Vincent fabricaban sacos de dormir acolchados, capas y tiendas para trabajadores de alta montaña, y sus plumíferos equiparon la expedición italiana al K2 de 1954 [8]. Remo Ruffini compró la marca en 2003 y la llevó al lujo; salió a bolsa en Milán el 16 de diciembre de 2013, a 10,2 EUR por acción [8]. En 2018 lanzó Genius, su plataforma de colaboraciones, y el 31 de marzo de 2021 cerró la compra de Stone Island [8]. En 2024 LVMH entró con un 10 % en Double R, la sociedad de Ruffini que es primer accionista [17]. Desde el 1 de abril de 2026 Leo Rongone, que venía de Bottega Veneta, es consejero delegado y Ruffini, presidente ejecutivo con la dirección creativa [1,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Monestier-de-Clermont (Francia) como fabricante de sacos de dormir, capas y tiendas para la montaña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 plumíferos equipan la expedición italiana al K2; en 1968 es proveedor del equipo francés de descenso en los Juegos de Grenoble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Remo Ruffini compra la marca e inicia el giro al lujo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Milán el 16 de diciembre, a 10,2 EUR por acción; sube más de un 40 % el primer día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Moncler Genius, colaboraciones con diseñadores externos que mantienen la marca en la conversación de moda todo el año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Stone Island, valorada en 1.150 M EUR por el 100 % (13,5 veces el EBITDA de 2021), anunciada en diciembre de 2020 y consolidada desde el 31 de marzo de 2021 [4,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 compra el 10 % de Double R, el vehículo de Ruffini (≈15,8 % de Moncler), con opción de llegar al ≈22 %; Double R puede subir hasta el 18,5 % de Moncler y LVMH nombra un consejero de Moncler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Rongone, consejero delegado desde el 1 de abril; Ruffini, presidente ejecutivo. En julio dimiten del consejo Alexandre Arnault y un consejero independiente [1,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Moncler vende ropa de lujo con dos marcas. </w:t>
      </w:r>
      <w:r>
        <w:rPr>
          <w:b/>
        </w:rPr>
        <w:t xml:space="preserve">Moncler</w:t>
      </w:r>
      <w:r>
        <w:t xml:space="preserve"> (84 % de las ventas de los nueve meses de 2026) es sobre todo abrigo de plumón de alta gama, con el punto como segunda categoría y calzado y accesorios detrás; </w:t>
      </w:r>
      <w:r>
        <w:rPr>
          <w:b/>
        </w:rPr>
        <w:t xml:space="preserve">Stone Island</w:t>
      </w:r>
      <w:r>
        <w:t xml:space="preserve"> (16 %) es ropa de hombre de inspiración técnica e investigación textil, con un cliente más joven [8, 31]. Vende sobre todo por su red propia: al 30 de junio de 2026 tenía 298 tiendas Moncler y 95 de Stone Island, más tienda online y concesiones electrónicas; el canal directo hizo el 81 % de las ventas del 1S26 y la venta mayorista pesa cada vez menos en Moncler (14 %) aunque sigue siendo el 45 % de Stone Island [2]. Diseña, compra la materia prima y controla la calidad en casa: el corte y confección del abrigo se reparte entre talleres externos de Europa del Este y plantas propias en Rumanía (más de 2.200 personas) y Padua, y en 2024 abrió una planta propia de punto en el Véneto [8].</w:t>
      </w:r>
    </w:p>
    <w:p>
      <w:pPr>
        <w:pStyle w:val="Heading2"/>
      </w:pPr>
      <w:r>
        <w:t xml:space="preserve">Cómo gana dinero</w:t>
      </w:r>
    </w:p>
    <w:p>
      <w:pPr>
        <w:spacing w:after="100"/>
      </w:pPr>
      <w:r>
        <w:t xml:space="preserve">Precio alto sobre un coste de producto bajo: margen bruto del 78 % y margen EBIT entre el 28 % y el 30 % de 2021 a 2025 (29,2 % en 2025), con caja neta de 1.458 M a cierre de 2025 [1, 26]. El negocio es muy estacional: el cuarto trimestre trajo el 41 % de las ventas de 2025 (1.291 de 3.132 M) y el primer semestre apenas cubre los costes fijos (margen EBIT del 19,0 % en el 1S26 frente al 29,2 % del año) [1, 2]. La venta directa da más margen pero carga alquileres (pasivos por arrendamiento de 1.199 M en junio de 2026) y existencias, así que el apalancamiento operativo es alto: con el 3T26 plano a tipos constantes, el cuarto trimestre decide el año [2, 31]. Nada es recurrente: depende de que el plumífero siga de moda, del cliente chino y del turista asiático en Europa.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Stone Island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Stone Island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 final de renta alta, sin concentración: el 82,6 % de las ventas de 2025 fue venta directa al consumidor [1]. Pesa mucho Asia (China, Japón y Corea): el 54 % de las ventas de la marca Moncler en el 1S26, frente al 32 % de EMEA y el 13 % de América [2]. El turista asiático en Europa es el punto débil: EMEA cayó un 8 % a tipos constantes en el 2T26 y otro 8 % en el 3T26, mientras Asia pasó de +22 % en el 1T26 a +5 % en el 3T26 [2, 25, 32]. Poder de precios demostrado: el margen EBIT se ha mantenido entre el 28 % y el 30 % durante cinco años, con las ventas planas en 2024-2025, y la empresa subió precios en 2025 para compensar los aranceles de EE. UU. [24, 26]. Las ventas comparables de tiendas abiertas más de un año crecieron un 7 % en el 1S26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de Moncler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Aperturas en la Quinta Avenida (Nueva York), Las Vegas y Sídney; Américas pasa de 51 a 58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de Stone Island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estable; traslado del buque insignia de Roma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de Moncler (CSSG)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Tiendas con más de 52 semanas y web propia; el 3T26 se frenó (venta directa −2 % a tipos constantes) [1,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 de Moncler, crecimiento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(9M26); −2 %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+14 % del 1T26 al −2 % del 3T26 [1, 5,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circulante neto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(jun-26, sobre ventas LTM)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adelantada de materias primas clave (plumón) y otra secuencia de producción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neta (capex)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(2025 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tiendas y nueva sede; la dirección espera ≈6 % en 2026 [1, 2].</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el de </w:t>
      </w:r>
      <w:r>
        <w:rPr>
          <w:b/>
        </w:rPr>
        <w:t xml:space="preserve">bienes personales de lujo</w:t>
      </w:r>
      <w:r>
        <w:t xml:space="preserve"> a escala mundial (ropa, marroquinería, calzado, joyería, relojería, gafas y belleza de gama alta), medido por Bain y Altagamma a precio de venta al público: 358.000 M EUR en 2025 [19, 20]. Moncler compite dentro en ropa de lujo y sobre todo en abrigo de plumón, una categoría sin estadística pública propia; por eso la cuota se mide sobre el total. La serie es la de Bain de junio de 2026 (1996-2025), contrastada con la edición de diciembre de 2025 [19, 20]. El TCAC histórico va de 2019 a 2025 para no partir del valle de 2020; el previsto (3,5 %) es estimación propia a partir del +2/4 % que Bain prevé para 2026 y de su horizonte de 525.000-640.000 M en 2035 [19, 20]. El CR5 es estimación propia: lujo personal de LVMH (moda, joyería y perfumes), Richemont, Chanel, Hermès y Kering sobre el total de Bain [21, 22, 27, 35,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365.000-373.000 M EUR previstos para 2026 en el escenario central de Bain (+2/4 % a tipos constantes) [19,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asiático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Moncler en EMEA cayeron un 8 % a tipos constantes en el 2T26 y otro 8 % en el 3T26 por la debilidad local y el menor turismo asiático; −5 % en los nueve meses [2, 32]. Bain sitúa a Europa como la región rezagada de 2026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Consumidor chino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de la marca Moncler: +22 % en el 1T26, +12 % en el 2T26 y +5 % en el 3T26 [2, 25, 32]. LVMH cita la desaceleración de China en el 3T26 (Moda y Marroquinería −5 % orgánico) [33]. En China la ropa crece el doble que la marroquinería según Bain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tras las subidas de 2021-2024</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personal cayó en 2024 y 2025 (364.000 y 358.000 M) y unos 20 millones de clientes salieron del mercado en 2025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(USD, JPY y CNY frente al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negativo de 6 puntos en el 1T26, 4 en el 1S26 y 3 en los nueve meses (+6 % a tipos constantes, +3 % a corrientes) [2, 25,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Riqueza de los clientes de alto patrimonio y consumo local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prevé un crecimiento del lujo personal hasta 525.000-640.000 M en 2035 y ve a América como la región que tira en 2026 [19, 20]; Moncler en América +5 % en los nueve meses [32].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casas venden también abrigo de plumón y las marcas de gama alta compiten por el mismo cliente, pero Moncler sostiene un margen EBIT del 29 % frente al 22,7 % de Prada, el 16,2 % de Brunello Cucinelli o el 5,8 % de Canada Goose [23, 26, 28,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final atomizado: el 82,6 % de las ventas de 2025 fue venta directa; la mayorista es pequeña en Moncler (13 %) y la empresa la está reduciendo a propósito (de 56 a 44 tiendas mayoristas monomarca entre 2024 y junio de 2026)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300 proveedores de materia prima (los 36 primeros, más del 80 % de las compras) y 125 talleres de confección (los 30 primeros, ≈80 %); plumón comprado directamente en Europa, Norteamérica y Asia y producción propia creciente en Rumanía e Italia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Construir una marca de abrigo de lujo con casi 300 tiendas propias lleva décadas; la marca es la barrera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plumífero de lujo es una categoría de moda: el gasto puede ir a experiencias (+2/6 % en lo que va de 2026 frente al +2/4 % del lujo personal) o a joyería (+4/6 % en 2025 frente a −1/+1 % de la ropa) [19, 20].</w:t>
            </w:r>
          </w:p>
        </w:tc>
      </w:tr>
    </w:tbl>
    <w:p>
      <w:pPr>
        <w:spacing w:after="160" w:before="0"/>
      </w:pPr>
    </w:p>
    <w:p>
      <w:pPr>
        <w:pStyle w:val="Heading2"/>
      </w:pPr>
      <w:r>
        <w:t xml:space="preserve">Ciclo</w:t>
      </w:r>
    </w:p>
    <w:p>
      <w:pPr>
        <w:spacing w:after="100"/>
      </w:pPr>
      <w:r>
        <w:t xml:space="preserve">El lujo personal cayó dos años seguidos (364.000 M en 2024 y 358.000 M en 2025) y Bain prevé un +2 % a +4 % a tipos constantes en 2026 [20]. La recuperación es tibia y se frena en el 3T26: Moncler plano a tipos constantes y LVMH +1 % orgánico, con Moda y Marroquinería −5 % [31, 33]. El sector cayó un 8 % en 2009 y un 21 % en 2020, con rebote del 31 % en 2021 [20]. Moncler facturó 1.440 M en 2020 y creció un 27 % en 2022 y un 15 % en 2023 con la reapertura china [26].</w:t>
      </w:r>
    </w:p>
    <w:p>
      <w:pPr>
        <w:pStyle w:val="Heading2"/>
      </w:pPr>
      <w:r>
        <w:t xml:space="preserve">Regulación</w:t>
      </w:r>
    </w:p>
    <w:p>
      <w:pPr>
        <w:spacing w:after="100"/>
      </w:pPr>
      <w:r>
        <w:rPr>
          <w:b/>
        </w:rPr>
        <w:t xml:space="preserve">Aranceles de EE. UU.</w:t>
      </w:r>
      <w:r>
        <w:t xml:space="preserve">: Moncler subió precios en 2025 y dijo que podía retrasar aperturas si la demanda empeoraba [24]. </w:t>
      </w:r>
      <w:r>
        <w:rPr>
          <w:b/>
        </w:rPr>
        <w:t xml:space="preserve">Fiscalidad</w:t>
      </w:r>
      <w:r>
        <w:t xml:space="preserve">: tipo efectivo del 29,4 % en 2025; Hacienda italiana discute los precios de transferencia de la filial Industries en 2016-2018, que la empresa recurre con procedimientos amistosos para evitar la doble imposición [1, 8]. </w:t>
      </w:r>
      <w:r>
        <w:rPr>
          <w:b/>
        </w:rPr>
        <w:t xml:space="preserve">Cadena de suministro</w:t>
      </w:r>
      <w:r>
        <w:t xml:space="preserve">: en julio de 2026 la fiscalía de Milán pidió a nueve casas, Moncler entre ellas, sus modelos de organización y las auditorías de proveedores de dos años, sin ninguna investigada [34]. </w:t>
      </w:r>
      <w:r>
        <w:rPr>
          <w:b/>
        </w:rPr>
        <w:t xml:space="preserve">Bienestar animal</w:t>
      </w:r>
      <w:r>
        <w:t xml:space="preserve">: plumón certificado con el protocolo DIST propio desde 2016 y compromiso de no usar piel (Fur-Free Retailer) [8].</w:t>
      </w:r>
    </w:p>
    <w:p>
      <w:pPr>
        <w:pStyle w:val="Heading2"/>
      </w:pPr>
      <w:r>
        <w:t xml:space="preserve">Tendencias y disrupción</w:t>
      </w:r>
    </w:p>
    <w:p>
      <w:pPr>
        <w:spacing w:after="100"/>
      </w:pPr>
      <w:r>
        <w:t xml:space="preserve">El gasto de lujo se desplaza a experiencias y a joyería, y la ropa es una categoría intermedia; en China, en cambio, la ropa crece el doble que la marroquinería [19, 20]. Moncler gana cuando el frío y la moda empujan al plumífero y pierde si el abrigo se vuelve una prenda de uso, más barata. La marca intenta romper la estacionalidad con punto (fábrica propia desde 2024), calzado y colaboraciones (Genius), y Stone Island aporta un cliente más joven y crece más rápido (+8 % en los nueve meses) [8, 31]. En el canal, el comercio físico sigue mejor que el online [2].</w:t>
      </w:r>
    </w:p>
    <w:p>
      <w:pPr>
        <w:pStyle w:val="Heading1"/>
      </w:pPr>
      <w:r>
        <w:t xml:space="preserve">4. Posición competitiva y foso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abrigo de plumón de lujo; ≈0,9 % del mercado total de bienes personales de lujo (3.132 M sobre ≈358.000 M en 2025, estimación propia) [1, 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(Moda y Marroquinería)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Dior y Loewe: ventas del segmento −8 % en 2025 (41.060 → 37.770 M) y margen del 37,1 % al 35,0 % [21]. En el 3T26, −5 % orgánico por China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referencia de escasez y poder de precio: 16.002 M EUR y 6.569 M de EBIT en 2025, creciendo un 5,5 % mientras el mercado caía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y margen recurrente del 14,5 % al 11,1 %: lo que pasa cuando una marca pierde al cliente aspiracional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2025 con Miu Miu; consolida Versace desde diciembre de 2025. Vende también plumíferos de lujo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discreto italiano de ropa, +10,1 % en 2025; el comparable más cercano por origen, tamaño y categoría, con la mitad del margen de Moncler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Canada Goose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rival directo en plumíferos, un escalón de precio por debajo. Ejercicio a 29-3-2026: 1.528 M CAD (+13 %) y resultado operativo de 88,8 M CAD (9,7 % ajustado), convertidos a 1,6022 CAD/EUR del 31-3-2026 [29,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marca de ropa.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puede cambiar de marca sin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28-30 % cinco años seguidos y subida de precios en 2025 sin perder margen; por debajo de Hermès (41 %) pero muy por encima de Kering (11 %), Cucinelli (16 %) o Canada Goose (6 %) [14, 15, 7, 16, 17].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directa de plumón, producción propia creciente (Rumanía, Padua y la planta de punto del Véneto) y escala en la categoría; no hay coste unitario publicado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Categoría de nicho, pero con rivales grandes que pueden entrar.</w:t>
            </w:r>
          </w:p>
        </w:tc>
      </w:tr>
    </w:tbl>
    <w:p>
      <w:pPr>
        <w:spacing w:after="160" w:before="0"/>
      </w:pPr>
    </w:p>
    <w:p>
      <w:pPr>
        <w:pStyle w:val="Heading2"/>
      </w:pPr>
      <w:r>
        <w:t xml:space="preserve">Amenazas</w:t>
      </w:r>
    </w:p>
    <w:p>
      <w:pPr>
        <w:spacing w:after="100"/>
      </w:pPr>
      <w:r>
        <w:t xml:space="preserve">La amenaza principal es de moda, no de competidor: que el plumífero de lujo deje de ser la prenda de invierno de referencia; Canada Goose, en la gama de debajo, ya gana solo un 5,8 % de margen operativo [29]. Segunda, que las grandes casas (Prada, Dior, Louis Vuitton) ganen cuota en abrigo de lujo, donde ya venden. Tercera, la dependencia del cliente asiático, dentro y fuera de Asia: el 54 % de las ventas de la marca está en Asia y su crecimiento ha bajado del +22 % al +5 % en tres trimestres [2, 32]. Probabilidad media a cinco años; el margen estable del 29 % dice que aún no ocurre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2021-2025: ingresos </w:t>
      </w:r>
      <w:r>
        <w:rPr>
          <w:b/>
          <w:bCs/>
        </w:rPr>
        <w:t xml:space="preserve">11,2 %</w:t>
      </w:r>
      <w:r>
        <w:t xml:space="preserve">, EBITDA </w:t>
      </w:r>
      <w:r>
        <w:rPr>
          <w:b/>
          <w:bCs/>
        </w:rPr>
        <w:t xml:space="preserve">10,1 %</w:t>
      </w:r>
      <w:r>
        <w:t xml:space="preserve">, BPA </w:t>
      </w:r>
      <w:r>
        <w:rPr>
          <w:b/>
          <w:bCs/>
        </w:rPr>
        <w:t xml:space="preserve">12,0 %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2.046 M EUR en 2021 a 3.132 M en 2025, pero casi todo el crecimiento es de 2021-2023 (Stone Island desde abril de 2021 y salida de la pandemia en Asia); desde 2024 el grupo crece poco: +4 % en 2024 y +1 % publicado en 2025 (+3 % a tipos constantes) [1, 7, 9]. El margen EBIT publicado se ha movido entre el 28,3 % (2021, con 23,9 M de costes de la compra de Stone Island) y el 30,0 % (2023), y en 2025 quedó en el 29,2 % con un margen bruto estable del 78,1 % [1, 9]. En 2026 el año se ha ido frenando: +12 % a tipos constantes en el 1T, +5 % en el 2T y plano en el 3T (605,5 M, −1,6 % publicado), con 9M26 en 1.895,4 M (+6 % a tipos constantes, +3 % publicado), frente a un 9M25 plano (1.841,3 M) [2, 5, 10, 11]. El 1S26 mejoró el margen EBIT al 19,0 % (18,3 % en el 1S25) pese a 8,0 M de costes únicos por el cambio de cúpula [2]. Moncler no publica EBITDA: el de este informe es EBIT más todas las amortizaciones (incluidas las de derechos de uso: 215,1 M en 2025) [7].</w:t>
      </w:r>
    </w:p>
    <w:p>
      <w:pPr>
        <w:pStyle w:val="Heading2"/>
      </w:pPr>
      <w:r>
        <w:t xml:space="preserve">Ajustes y partidas no recurrentes</w:t>
      </w:r>
    </w:p>
    <w:p>
      <w:pPr>
        <w:spacing w:after="100"/>
      </w:pPr>
      <w:r>
        <w:t xml:space="preserve">Cifras publicadas NIIF, de los informes anuales ESEF [7, 13, 14, 15, 16]. 2021: la empresa publicó un EBIT ajustado de 603,1 M y un beneficio de 411,4 M, sin los ajustes de la asignación del precio de compra (PPA) y otros costes de la compra de Stone Island; los publicados son 579,2 M y 393,5 M. La diferencia de EBIT (23,9 M) va como no recurrente dentro del EBITDA (estimación propia: suponemos que todo es revalorización de existencias y costes de la operación) [9, 13]. 2022: el beneficio incluye un ingreso fiscal único de 92,3 M por la revalorización fiscal de la marca Stone Island (tipo efectivo del 18,8 %); no está en el EBITDA, pero infla el BPA de 2022 [9]. 2024: 7,5 M de ingreso único por la indemnización del seguro del ciberataque de 2021, en gastos generales (va en negativo) [1]. LTM jun-26: 8,0 M de costes únicos de la nueva estructura de gobierno (unos 10 M en el año) [2]. Acciones diluidas de 2021-2023 calculadas como beneficio entre BPA diluido; en 2024-2025, la media ponderada publicada (sin dilución apreciable) [7].</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8"/>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3T26 (21-oct-2026, tras el cierre)</w:t>
      </w:r>
      <w:r>
        <w:t xml:space="preserve">: ventas de 605,5 M EUR, planas a tipos constantes (−1,6 % publicado); Moncler −1 % con la venta directa −2 %, y Stone Island +5 % [5]. EMEA volvió a caer un 8 % en la marca Moncler «por una demanda local más floja y el turismo, sobre todo asiático, todavía débil»; Asia se frenó al +5 % (+12 % en el 2T) y América al +2 % [5]. Ruffini habla de un entorno «extremadamente complejo». El comunicado no da márgenes ni previsiones, y el consejo aplazó la cooptación de un consejero independiente [5]. La transcripción de la conferencia del 21-oct aún no estaba publicada a la fecha de corte.</w:t>
      </w:r>
    </w:p>
    <w:p>
      <w:pPr>
        <w:spacing w:after="100"/>
      </w:pPr>
      <w:r>
        <w:rPr>
          <w:b/>
        </w:rPr>
        <w:t xml:space="preserve">1S26 (22-jul-2026)</w:t>
      </w:r>
      <w:r>
        <w:t xml:space="preserve">: el director financiero, Luciano Santel, explicó que el 2T creció por precio con volumen plano o algo negativo, que abril y mayo fueron muy buenos y junio mucho más flojo por la caída del tráfico en todas las regiones, y que los clientes compran cada vez más «para ponérselo ya», lo que retrasa la compra de otoño-invierno [12]. Preguntado por el margen del año (el consenso solo esperaba +10 puntos básicos), no dio cifra: depende de las ventas del segundo semestre y la aspiración sigue siendo un margen EBIT «del 29 % o más» [12]. Para 2027 adelantó un 4 % de crecimiento por superficie y subidas de precio de un dígito bajo a medio [12]. El discurso pasó de «aceleración» en el 1T (+12 %) a prudencia en julio; el 3T confirmó el frenazo. Es el primer año de Leo Rongone como consejero delegado (desde el 1-abr-2026) con Ruffini de presidente ejecutivo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Stone Island consolidada desde el 1-abr-2021: el balance la recoge entera y la cuenta solo nueve meses (221,9 M EUR de ventas).).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sin deuda financiera y con caja creciente: la caja neta sin arrendamientos pasó de 729,6 M a dic-21 a 1.458,0 M a dic-25, después de pagar 1.129 M en dividendos de 2022 a 2025 [1, 3, 9]. Con los arrendamientos, la posición neta total fue de +348,9 M a dic-25 [7]. El circulante neto ha empeorado: 7,0 % de las ventas en 2021, 8,2 % en 2024, 9,7 % en 2025 y 10,0 % a jun-26, sobre todo por existencias (538,8 M a dic-25, +14,6 % con ventas +0,7 %), por la compra adelantada de plumón y otras materias primas [1, 2, 9]. Las cifras de caja de este informe incluyen las inversiones financieras a corto (251,1 M en 2025) para que cuadren con la posición financiera neta publicada; la deuda financiera de 2021-2023 se obtiene restando de los pasivos financieros del balance los arrendamientos publicados [9, 13, 14, 15]. Las reservas de 2021-2023 no se han separado.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2.530</w:t>
      </w:r>
      <w:r>
        <w:t xml:space="preserve">, conversión </w:t>
      </w:r>
      <w:r>
        <w:rPr>
          <w:b/>
          <w:bCs/>
        </w:rPr>
        <w:t xml:space="preserve">88 %</w:t>
      </w:r>
      <w:r>
        <w:t xml:space="preserve"> del beneficio neto; adquisiciones 551, dividendos 1.249, recompras 48.</w:t>
      </w:r>
    </w:p>
    <w:p>
      <w:pPr>
        <w:spacing w:after="100"/>
      </w:pPr>
      <w:r>
        <w:t xml:space="preserve">La conversión de beneficio en caja es alta: el flujo de caja libre que publica Moncler (tras capex, arrendamientos e impuestos) fue de 550,3 M EUR en 2021, 327,7 M en 2022 (lastrado por 124,1 M del impuesto sustitutivo de la revalorización de la marca Stone Island), 587,5 M en 2024 y 529,0 M en 2025, un 84 % del beneficio de 2025 [1, 3, 9]. La caída de 2025 viene del capex (220,1 M brutos, 6,9 % de las ventas en neto) y de 48,1 M más de circulante [1, 7]. El primer semestre es estacionalmente casi nulo (34,0 M en el 1S26 frente a 15,0 M en el 1S25) porque el grueso del abrigo se cobra en el 4T [2]. De los 215,6 M de capex neto de 2025, 136,3 M fueron red de tiendas y 79,3 M infraestructura (incluida la nueva sede) [1]; la empresa no separa mantenimiento y crecimiento. La «adquisición» de 2021 es la salida de caja por Stone Island en la posición financiera neta (551,2 M); el resto se pagó con acciones nuevas [9]. Los intereses de arrendamientos van dentro de su pago (financiación); los cobros por intereses, en explotación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S.p.A.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las cuentas consolidadas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y limpias: un solo segmento a efectos de la NIIF 8 (las dos marcas se agregan), cuenta por función, sin deuda y con el auditor (Deloitte, nombrado en 2021 para 2022-2030) dando opinión favorable; su cuestión clave es la prueba de deterioro de marcas y fondo de comercio (1.602,8 M, el 27 % del activo) [7, 8]. No hay deterioros ni reestructuraciones en 2021-2025. Los no recurrentes son pocos y están explicados: costes de la compra de Stone Island en 2021 (23,9 M), ingreso fiscal de 92,3 M en 2022, indemnización del seguro de 7,5 M en 2024 y 8,0 M de costes de gobierno en el 1S26 [1, 2, 9]. Los pagos en acciones cuestan 33,4 M (2025; 47,0 M en 2024), un 5 % del beneficio, y se tratan como gasto [7]. Lo que hay que vigilar es el circulante: existencias +14,6 % con ventas +0,7 % en 2025 y circulante en el 10 % de las ventas a jun-26 [1, 2]. Altman y Piotroski deberían salir muy sólidos (caja neta, ROA alto); si el Beneish M da alerta, mirar el índice de días de cobro y el de gastos generales de 2021, deformados por Stone Island.</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538,8 M a dic-25 (+14,6 %) con ventas +0,7 %; la empresa lo explica por la compra adelantada de plumón y otra secuencia de producción. Con el 3T26 plano, el riesgo es tener que rebajar en 2027 [1, 2,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2022 inflado por un ingreso fiscal único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92,3 M por la revalorización fiscal de la marca Stone Island: el BPA de 2022 (2,24) no es comparable; sin él sería ≈1,90 (estimación propia)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Cifras ajustadas de 2021 distintas de las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dio EBIT de 603,1 M y beneficio de 411,4 M sin los costes de la compra; aquí se usan los publicados NIIF (579,2 M y 393,5 M) [9, 13].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603 M en 2025 (el 18 % del capital invertido medio); ha subido más de un 5 % en 0 de 4 años: sin compras. ROIC publicado 19,3 %; sin fondo de comercio, 23,5 %. Sin compras relevantes: el publicado ya es el ROIC del negocio.</w:t>
      </w:r>
    </w:p>
    <w:p>
      <w:pPr>
        <w:spacing w:after="100"/>
      </w:pPr>
      <w:r>
        <w:rPr>
          <w:b/>
          <w:bCs/>
        </w:rPr>
        <w:t xml:space="preserve">ROIC incremental</w:t>
      </w:r>
      <w:r>
        <w:t xml:space="preserve"> (variación del NOPAT sobre variación del capital invertido en el periodo): 25,1 % · </w:t>
      </w:r>
      <w:r>
        <w:rPr>
          <w:b/>
          <w:bCs/>
        </w:rPr>
        <w:t xml:space="preserve">WACC</w:t>
      </w:r>
      <w:r>
        <w:t xml:space="preserve">: 9,1 %.</w:t>
      </w:r>
    </w:p>
    <w:p>
      <w:pPr>
        <w:spacing w:after="100"/>
      </w:pPr>
      <w:r>
        <w:t xml:space="preserve">Moncler crea valor con holgura: con un EBIT de 913 M y un tipo del 29,4 %, el NOPAT de 2025 (≈645 M) da un ROIC del ≈18 % sobre un capital invertido de 3.537 M que incluye 1.018 M de derechos de uso, 999 M de marcas y 603 M de fondo de comercio (estimación propia con el balance reclasificado de la empresa) [1]. Sin marcas ni fondo de comercio, el rendimiento del negocio operativo pasa del 30 %. Lo mueve el margen (EBIT del 29 %), no la rotación: el capital invertido crece por los arrendamientos de tiendas nuevas (de 773,5 M de derechos de uso en 2022 a 1.018,3 M en 2025) y por el circulante [1, 9]. El ROIC incremental es más pobre: de 2022 a 2025 el NOPAT subió unos 95 M (estimación propia) con ≈575 M más de capital invertido, ≈16 %, porque las tiendas nuevas y la sede no han traído ventas al ritmo anterior [1, 9]. El motor da el ROIC con su propia definición; la comparación con los competidores, en la nota de comparables.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de 1.477,4 M EUR a 31-dic-2025 (caja 1.226,3 M + 251,1 M de deuda pública y depósitos a corto) frente a 19,1 M de deuda financiera: caja neta de 1.458,0 M sin arrendamientos [1, 7]. A 30-jun-2026, tras pagar 374,1 M de dividendo, caja neta de 1.112,4 M; con los arrendamientos (1.198,6 M), deuda neta de 86,2 M [2,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bonos ni deuda bancaria relevante)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El único pasivo asimilable a deuda que pesa es el de arrendamientos de tiendas (NIIF 16): 1.109,1 M EUR a dic-25 y 1.198,6 M a jun-26, frente a 805,2 M a dic-23, por nuevas tiendas y renovaciones; sus pagos futuros sin descontar suman 1.375,3 M (219,7 M a un año, 594,6 M de uno a cinco y 560,9 M a más de cinco) [2, 7]. Los intereses de esos arrendamientos fueron 40,6 M en 2025 [1]. La «deuda financiera» restante (19,1 M) son deudas a corto y compromisos con terceros no bancarios, valorados a valor razonable [7]. Provisiones y pensiones: 36,4 M a dic-25 [1]. No hay covenants ni bonos. En el balance hay 999,4 M de marcas y 603,4 M de fondo de comercio (Moncler y Stone Island), con prueba de deterioro anual que el auditor trata como cuestión clave [1, 8].</w:t>
      </w:r>
    </w:p>
    <w:p>
      <w:pPr>
        <w:pStyle w:val="Heading1"/>
      </w:pPr>
      <w:r>
        <w:t xml:space="preserve">12. Asignación de capital</w:t>
      </w:r>
    </w:p>
    <w:p>
      <w:pPr>
        <w:pStyle w:val="Confianza"/>
        <w:spacing w:after="100"/>
      </w:pPr>
      <w:r>
        <w:t xml:space="preserve">Confianza: Alta</w:t>
      </w:r>
    </w:p>
    <w:p>
      <w:pPr>
        <w:spacing w:after="100"/>
      </w:pPr>
      <w:r>
        <w:t xml:space="preserve">Dividendo creciente con un reparto del 50-61 % del beneficio: 0,60 EUR con cargo a 2021, 1,12 a 2022, 1,15 a 2023, 1,30 a 2024 y 1,40 a 2025 (380,2 M aprobados, 374,1 M pagados en mayo de 2026; reparto del 61 %) [1, 2, 9]. La junta de abril de 2026 renovó la autorización para comprar hasta el 10 % del capital durante 18 meses, pero no hay recompra en marcha; la única reciente fue en 2022 (48,4 M) [1, 9]. Autocartera: 2.816.227 acciones (1,0 %) a jun-26 [6]. Prioridades declaradas: invertir en la red de tiendas y la logística (capex ≈6 % de las ventas en 2026) y mantener caja neta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 (Sportswear Company S.p.A.),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(hasta 748 M) y acciones nuevas de Moncler a 37,51 EUR para la familia Rivetti y Temasek</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221,9 M en nueve meses de 2021, 401,1 M en 2022 y 411,2 M en 2025: planas desde 2022; en 9M26 +8 % a tipos constantes. Sin deterioros del fondo de comercio (603,4 M sin cambios) [1, 4, 5,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 restante de Stone Island Japan (socio japonés)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Internaliza la distribución en Japón (empresa conjunta creada en 2022 con el 80 %) [1, 9].</w:t>
            </w:r>
          </w:p>
        </w:tc>
      </w:tr>
    </w:tbl>
    <w:p>
      <w:pPr>
        <w:spacing w:after="160" w:before="0"/>
      </w:pPr>
    </w:p>
    <w:p>
      <w:pPr>
        <w:spacing w:after="100"/>
      </w:pPr>
      <w:r>
        <w:t xml:space="preserve">Asignación de capital prudente y algo perezosa. Una sola compra grande en diez años, Stone Island, a 13,5 veces el EBITDA esperado de 2021 [4]: no ha generado deterioros, pero sus ventas llevan planas desde 2022 (401-411 M), lejos de lo que justificaba el precio, y solo en 2026 vuelven a crecer [1, 5]. El resto de la caja se ha ido al dividendo (1.129 M pagados en 2022-2025) y a una recompra pequeña en 2022 [1, 3, 9]. La caja neta (1.458 M a dic-25, más del 12 % de la capitalización a 42,94 EUR) sigue sin uso pese a tener autorizada la recompra del 10 % y con la acción en mínimos de 52 semanas [1]. El capex ha subido al 6,9 % de las ventas por la sede y las tiendas con un ROIC incremental de ≈16 %, todavía por encima del coste de capital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Remo Ruffini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(presidente y consejero delegado hasta el 31-mar-2026)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Moncler en 2003, la reposicionó como marca de lujo y la sacó a bolsa en 2013; en 2025 el grupo facturó 3.132,1 M EUR con un margen EBIT del 29,2 % [1, 37]. Desde el 1-abr-2026 es presidente ejecutivo y conserva la dirección creativa [2]. Su participación es del 18,23 % a través de Double R y del 0,11 % directa (fecha de registro de la junta de 2026)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Bartolomeo (Leo) Rongone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Empezó en Fendi en 2001 y pasó más de diez años en el grupo LVMH; en 2012 fue a Kering como director de operaciones de Yves Saint Laurent y de 2019 a marzo de 2026 fue consejero delegado de Bottega Veneta [45]. Cooptado al consejo el 19-feb-2026, consejero delegado desde el 1-abr-2026 y confirmado por la junta del 21-abr-2026 [2, 37]. Sin acciones propias a cierre de 2025; tiene concedidas hasta 50.000 acciones restringidas a tres años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Luciano Santel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Chief Corporate &amp; Supply Officer y responsable de la información financiera (dirigente preposto)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finanzas, legal, cumplimiento, personas, sistemas y cadena de suministro desde 2013; antes fue consejero delegado de Stefanel (2009-2013) y Chief Corporate Officer de Geox (2001-2009) [37]. Tenía 130.434 acciones a cierre de 2025 tras recibir 92.087 del plan de 2022 y vender 39.732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Lance Triefus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 de Stone Island (directivo estratégico)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Stone Island, que vendió 411,2 M EUR en 2025 (+4 % a tipo constante) y 306,2 M EUR en los nueve meses de 2026 (+8 %) [1, 5]. Su contrato vence con las cuentas de 2026 de la filial y prevé una indemnización de 1,2 M EUR por cese sin justa causa o no renovación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neta en torno al 7 % de las ventas (dada con el primer semestre)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neta de 215,6 M EUR, el 6,9 % de las ventas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de marketing en torno al 7 % de las ventas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Marketing de 219,4 M EUR, el 7,0 % de las ventas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Moncler no da objetivos de ventas ni de margen: solo orienta el peso de la inversión y del marketing, y eso lo cumple (6,9 % y 7,0 % en 2025 [1, 42]). Para 2026 orienta una inversión del 6 % de las ventas, marketing del 7 % y unos 10 M EUR de costes no recurrentes por el nuevo gobierno [2]. La credibilidad descansa en Ruffini, que sostuvo el margen EBIT en el 29-30 % en 2024 y 2025 [1]. El cambio de 2026 es la primera sucesión: Rongone, que viene de Bottega Veneta, como consejero delegado, y Ruffini como presidente ejecutivo con la dirección creativa, de modo que el poder sigue en el fundador [2, 37]. Llama la atención que el comentario de los resultados de nueve meses lo firme Ruffini y no el consejero delegado [5]. En el primer trimestre de 2026 salió además Roberto Eggs, el responsable de negocio y mercados [2].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Remo Ruffini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Marco De Benedetti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Riesgos y Sostenibilidad (desde abr-2026)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Bartolomeo (Leo) Rongone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Luciano Santel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Eggs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hasta feb-2026)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Diva Moriani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Sidney Toledano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(cooptado el 22-jul-2026 en el puesto de Alexandre Arnault)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Alessandra Gritti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Control, Riesgos y Sostenibilidad y Nombramientos y Retribuciones; Partes Vinculadas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Cesare Conti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Partes Vinculadas; Control, Riesgos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Bettina Fetzer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Partes Vinculadas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Zanardi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François-Henri Bennahmias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Sue Nabi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Maria Sharapova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Marco De Benedetti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las cuentas consolidadas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Double R S.r.l. (Remo Ruffini a través de Ruffini Partecipazioni Holding; LVMH tiene una parte minoritaria de Double 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hecho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16,87 % en abr-2025 al 18,23 % en abr-2026: compró 4,77 millones de acciones en 2025 con dinero de LVMH, hasta cerrar el programa el 11-sep-2025 [38, 40, 41,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Remo Ruffini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297.032 acciones a cierre de 2025: recibió 145.038 de los planes y vendió 63.275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Morgan Stanley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entre las juntas de 2025 y 2026 [40,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4,96 % al 5,21 % entre las juntas de 2025 y 2026 [40,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5,00 % al 5,14 % entre las juntas de 2025 y 2026 [40,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Temasek (Venezio Investments)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en el 4,5 % [40,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3.237.238 acciones (1,2 %) en abr-2025 a 2.819.999 (1,0 %) en abr-2026, usadas para entregar acciones de los planes [40, 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Ruffini, todavía presidente y consejero delegado, devengó 4,34 M EUR: 1,54 M de fijo, 0,70 M de bonus anual (cobró el 70 % del objetivo, frente al 133 % de 2024), 0,02 M en especie y 2,08 M de valor razonable de acciones [38]. Es 83 veces el coste medio por empleado (416,5 M EUR entre 7.947 empleados medios) [7]; la empresa da 124 veces la mediana [8]. Para Rongone la política de 2026 fija 2,5 M de fijo, bonus objetivo de 2,5 M (tope 5 M: 55 % EBIT, 30 % flujo de caja libre, 15 % ESG) y 7 M en acciones: 4,5 M en acciones de rendimiento a tres años (70 % beneficio neto, 15 % flujo de caja libre, 15 % ESG) y </w:t>
      </w:r>
      <w:r>
        <w:rPr>
          <w:b/>
        </w:rPr>
        <w:t xml:space="preserve">2,5 M en acciones restringidas sin objetivos</w:t>
      </w:r>
      <w:r>
        <w:t xml:space="preserve">, que compensan lo que dejó en Kering [38]. Hay recuperación (malus y clawback), indemnización de 24 meses y un pacto de no competencia de 2,5 M que, por excepción a la política, pueden superar juntos las dos anualidades [38]. </w:t>
      </w:r>
      <w:r>
        <w:rPr>
          <w:b/>
        </w:rPr>
        <w:t xml:space="preserve">La junta de 2026 aprobó la política con solo el 68,6 % a favor y el 31,4 % en contra; el plan de acciones restringidas, con el 25,7 % en contra</w:t>
      </w:r>
      <w:r>
        <w:t xml:space="preserve"> [39]. Sin los votos de Double R, el rechazo a la política llega al 40 % del capital libre presente.</w:t>
      </w:r>
    </w:p>
    <w:p>
      <w:pPr>
        <w:pStyle w:val="Heading2"/>
      </w:pPr>
      <w:r>
        <w:t xml:space="preserve">Operaciones vinculadas, estructura de control y defensas</w:t>
      </w:r>
    </w:p>
    <w:p>
      <w:pPr>
        <w:spacing w:after="100"/>
      </w:pPr>
      <w:r>
        <w:t xml:space="preserve">Ruffini controla de hecho Moncler, como la propia empresa reconoce: Double R, que él controla a través de su sociedad, tiene el 18,23 % y su lista sacó 13 de los 15 consejeros en 2025 (58,4 % del capital presente frente al 41,1 % de la lista de los fondos) [37, 40]. LVMH compró en 2024 el 10 % de Double R y financió sus compras de acciones hasta un máximo cercano al 22 % de Double R (en torno al 4 % indirecto de Moncler), con derecho a un consejero en Moncler [44, 46]. El pacto sigue vigente aunque las compras terminaron el 11-sep-2025 [43]. Alexandre Arnault dejó el consejo el 22-jul-2026 y entró Sidney Toledano, antiguo consejero delegado de Dior [2, 46]. Una acción, un voto, sin voto doble por lealtad ni límites de voto [37]. Las operaciones vinculadas son menores [7]. La lectura: un socio estratégico que podría acabar siendo comprador.</w:t>
      </w:r>
    </w:p>
    <w:p>
      <w:pPr>
        <w:pStyle w:val="Heading2"/>
      </w:pPr>
      <w:r>
        <w:t xml:space="preserve">Señales de alerta</w:t>
      </w:r>
    </w:p>
    <w:p>
      <w:pPr>
        <w:pStyle w:val="ListParagraph"/>
        <w:numPr>
          <w:ilvl w:val="0"/>
          <w:numId w:val="2"/>
        </w:numPr>
        <w:spacing w:after="60"/>
      </w:pPr>
      <w:r>
        <w:t xml:space="preserve">Rechazo de la política de remuneración de 2026: 31,4 % en contra en la junta (40 % del capital libre presente), frente al 10,3 % de 2025; también el 25,7 % en contra del plan de acciones restringidas del consejero delegado, que no exige objetivos [39, 41].</w:t>
      </w:r>
    </w:p>
    <w:p>
      <w:pPr>
        <w:pStyle w:val="ListParagraph"/>
        <w:numPr>
          <w:ilvl w:val="0"/>
          <w:numId w:val="2"/>
        </w:numPr>
        <w:spacing w:after="60"/>
      </w:pPr>
      <w:r>
        <w:t xml:space="preserve">Sucesión del fundador a medias: Rongone es consejero delegado desde el 1-abr-2026, pero Ruffini sigue de presidente ejecutivo y es quien firma el comentario de los resultados de nueve meses [2, 5].</w:t>
      </w:r>
    </w:p>
    <w:p>
      <w:pPr>
        <w:pStyle w:val="ListParagraph"/>
        <w:numPr>
          <w:ilvl w:val="0"/>
          <w:numId w:val="2"/>
        </w:numPr>
        <w:spacing w:after="60"/>
      </w:pPr>
      <w:r>
        <w:t xml:space="preserve">Consejo incompleto: van Raemdonck (independiente) dimitió el 22-jul-2026 y el 21-oct-2026 el consejo volvió a aplazar la cooptación de su sustituto [2, 5].</w:t>
      </w:r>
    </w:p>
    <w:p>
      <w:pPr>
        <w:pStyle w:val="ListParagraph"/>
        <w:numPr>
          <w:ilvl w:val="0"/>
          <w:numId w:val="2"/>
        </w:numPr>
        <w:spacing w:after="60"/>
      </w:pPr>
      <w:r>
        <w:t xml:space="preserve">Rotación en la cúpula: salida de Galateri (abr-2026), de Eggs como ejecutivo (mar-2026) y de Alexandre Arnault (jul-2026), con unos 10 M EUR de costes no recurrentes del nuevo gobierno en 2026 [2,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Moncler no da guía cuantitativa de ventas, margen ni capex. En los resultados del 1S26 (22-jul-2026) dijo que el entorno geopolítico y macroeconómico sigue siendo «muy incierto y volátil» y que seguirá invirtiendo en la organización y en las marcas: Moncler Grenoble todo el año, Moncler Collection y Genius, y Stone Island con el producto como protagonista [2]. Con las ventas de los nueve meses (21-oct-2026) no cambió el mensaje: Ruffini habla de un entorno «extremadamente complejo» y de disciplina, sin cifras [5]. El calendario de 2027 fija las cuentas de 2026 para el 18-feb-2027 y avisa de que aún no hay decisión sobre el dividendo de 2026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21-oct-2026, antes de las ventas del 3T (25 analistas)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21-oct-2026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 9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46,60 – 70,00</w:t>
            </w:r>
          </w:p>
        </w:tc>
      </w:tr>
    </w:tbl>
    <w:p>
      <w:pPr>
        <w:spacing w:after="160" w:before="0"/>
      </w:pPr>
    </w:p>
    <w:p>
      <w:pPr>
        <w:pStyle w:val="Heading2"/>
      </w:pPr>
      <w:r>
        <w:t xml:space="preserve">Revisiones de estimaciones</w:t>
      </w:r>
    </w:p>
    <w:p>
      <w:pPr>
        <w:spacing w:after="100"/>
      </w:pPr>
      <w:r>
        <w:t xml:space="preserve">El consenso de MarketScreener del 21-oct (aún sin las ventas del 3T) da un beneficio neto de 641, 696 y 755 M en 2026-2028, frente a 650, 707 y 770 M en agosto: recortes del 1,3-1,9 % [49]. Equita bajó en septiembre las ventas de 2026 un 0,5 %, el EBIT un 1 % y su objetivo de 65 a 63 EUR; Bernstein subió a Comprar (57,50 EUR) y JP Morgan mantuvo Sobreponderar (70 EUR) [52]. Tras el 1S26, Deutsche Bank (58 EUR) y Jefferies (53 EUR) siguieron en Mantener [53]. El objetivo medio es de 58,74 EUR en MarketScreener y en Investing (16 Comprar y 9 Mantener) [50, 51]. Vienen más recortes: para llegar a los 3.236 M de 2026e, el 4T tendría que crecer un 3,9 % a tipos corrientes, y el 3T se quedó plano a tipos constantes y cayó un 1,6 % a tipos corrientes (605,5 M frente a 615,6 M) [2, 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bl>
    <w:p>
      <w:pPr>
        <w:spacing w:after="160" w:before="0"/>
      </w:pPr>
    </w:p>
    <w:p>
      <w:pPr>
        <w:spacing w:after="100"/>
      </w:pPr>
      <w:r>
        <w:t xml:space="preserve">Moncler fue una de las mejores acciones del lujo europeo hasta 2021: un 12,2 % anual en diez años, por encima del FTSE MIB [48]. Desde entonces se ha quedado atrás. En tres años pierde un 4,4 % anual, frente al +22 % del índice y el +3,5 % del sector, y en lo que va de 2026 cae un 19,5 % [48]. La razón es el negocio: las ventas apenas crecieron en 2024-2025 y en 2026 se frenó la venta directa en Europa por la falta de turistas. Llegó al −7,9 % el 23-jul con el 2T y está en mínimos de 52 semanas desde el 19-oct (42,10 EUR) [2, 48, 53]. Las posiciones cortas declaradas a la Consob suman un 3,65 % del capital: Ilex Capital tiene el 2,23 % (19-oct), Two Sigma el 0,91 % y AQR el 0,51 % [56]. La beta mensual a cinco años frente al FTSE MIB es de 1,10; la semanal a dos años, de 0,90 [48].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 -10,4 % / -21,9 % / -17,4 %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-26,7 % / +1,3 %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Hasta el cierre del 22-oct-2026, que recoge las ventas del 3T26 publicadas tras el cierre del 21-oct.</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publicados el 22-jul tras el cierre: la marca Moncler creció solo un 3 % a tipos constantes en el 2T (+9 % en el semestre) por el frenazo de la venta directa en EMEA y la caída del turismo. El FTSE MIB y el sector cayeron un 2,8 % ese día [2, 48, 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2026-03-03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general: ese día el FTSE MIB perdió un 3,9 % y el índice europeo de consumo discrecional un 4,0 %. No hubo noticia propia de Moncler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2026-05-11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sin noticia propia identificada: el sector bajó un 2,0 % y el FTSE MIB subió un 0,8 %. El dividendo de 1,40 EUR se descontó más tarde, el 18-may [48]. Estimación propia: es una caída del sector amplificada por la beta de la acción.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los nueve meses publicadas tras el cierre: 1.895,4 M EUR, +6 % a tipos constantes y +3 % a tipos corrientes. En el 3T el grupo se quedó plano (605,5 M), con la marca Moncler al −1 % (venta directa −2 %, EMEA −8 %) y Stone Island al +5 % [5]. El precio del informe (42,94 EUR) aún no lo recoge.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cierre del 22-oct-2026, la primera sesión que cotiza las ventas del 3T.</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aplaza la cooptación de un consejero independiente, que sustituirá a Geoffroy van Raemdonck, para completar su evaluación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Ilex Capital Partners declara a la Consob una posición corta neta del 2,23 % del capital; con Two Sigma (0,91 %) y AQR (0,51 %), los cortos declarados suman el 3,65 % [56].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sube a Comprar (57,50 EUR), JP Morgan mantiene Sobreponderar (70 EUR) y Equita mantiene Comprar y baja su objetivo de 65 a 63 EUR. La acción sube un 2,8 % [52].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1S26, Equita sigue en Comprar (65 EUR) y Deutsche Bank (58 EUR), Jefferies (53 EUR) y Bernstein (57,50 EUR) se quedan en Mantener [53].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Dimiten Alexandre Arnault, el consejero de LVMH, socio de Double R, por compromisos profesionales, y el independiente Geoffroy van Raemdonck. El consejo coopta a Sidney Toledano, que no tiene acciones de Moncler [2]. No se ha anunciado ningún cambio en la participación de LVMH en Double 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Gino Fisanotti, directivo con responsabilidades estratégicas, vende acciones recibidas con los planes de performance shares (comunicado al mercado) [57].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lleva seis meses a la baja: −21,9 %, y cotiza un 14,8 % por debajo de la media de 200 sesiones, en mínimos de 52 semanas [48]. El 23-jul, con el 2T, cayó un 7,9 %. Las otras dos caídas de más del 5 % (3-mar y 11-may) vinieron del mercado o del sector [48]. El hecho pendiente es la reacción a las ventas del 3T, publicadas el 21-oct tras el cierre. El trimestre fue plano y la marca Moncler cayó un 1 % a tipos constantes [5]. El precio del informe (42,94 EUR) es anterior a esa noticia, y la reacción puede pasar del 5 % en cualquier sentido, así que el veredicto es retrasar hasta el cierre del 22-oct. Los cortos declarados (3,65 %) son altos para Moncler [56].</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Los precios son los últimos cierres de cada año de Yahoo Finance (el de 2025, del 30-dic: 54,92 EUR) [48]. Excluimos dos años. En 2020 el beneficio por acción se hundió por la pandemia (1,18 EUR). El de 2021 solo recoge nueve meses de Stone Island, y el precio de cierre (64,02 EUR) estaba en plena euforia de la reapertura. En ese año el PER de los últimos 12 meses fue de 43,6 veces [7, 13, 48]. En 2022-2025 cerró cada año a 21,6-24,6 veces el beneficio de ese año (2022: 22,1; 2023: 24,6; 2024: 21,6; 2025: 23,8). Hoy cotiza a 18,6 veces el de 2025 (2,31 EUR) y a 17,0 veces el consenso de los próximos 12 meses [49]. El mercado ha dejado de pagar crecimiento: las ventas crecieron un 4,2 % en 2024 y un 0,7 % en 2025 [7].</w:t>
      </w:r>
    </w:p>
    <w:p>
      <w:pPr>
        <w:pStyle w:val="Heading1"/>
      </w:pPr>
      <w:r>
        <w:t xml:space="preserve">18. Comparables cotizados</w:t>
      </w:r>
    </w:p>
    <w:p>
      <w:pPr>
        <w:pStyle w:val="Confianza"/>
        <w:spacing w:after="100"/>
      </w:pPr>
      <w:r>
        <w:t xml:space="preserve">Confianza: Media</w:t>
      </w:r>
    </w:p>
    <w:p>
      <w:pPr>
        <w:spacing w:after="100"/>
      </w:pPr>
      <w:r>
        <w:t xml:space="preserve">Seis grupos europeos de lujo en NIIF, todos con venta directa mayoritaria: LVMH, Hermès, Richemont y Kering, los grandes, y Prada y Brunello Cucinelli, italianos de tamaño parecido. Las estimaciones son de MarketScreener, leídas el 21-oct-2026 [58, 59, 60, 61, 62, 63]. El precio es el cierre del 21-oct (el de Prada, del 20-oct, en Hong Kong), convertido a euros con el BCE [48, 64]. Quedan fuera L'Oréal y Pernod (otros negocios), Canada Goose (sin consenso gratuito y con un modelo mayorista) y Burberry (ejercicio a marzo, en libras y en pérdidas). Ninguna es especialista en abrigo.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11,1x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12,9x / 16,8x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 / 24,9x / 28,1x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3,7x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(6 comparables): múltiplo = 8,9 + 0,34 × crecimiento; R² = 0,13. El crecimiento explica poco los múltiplos de estos comparables (R² &lt; 0,3): la regresión no se usa en la valoración.</w:t>
      </w:r>
    </w:p>
    <w:p>
      <w:pPr>
        <w:spacing w:after="100"/>
      </w:pPr>
      <w:r>
        <w:t xml:space="preserve">Hay dos grupos. Hermès (28,7 veces el beneficio de los próximos 12 meses), Cucinelli (33,2) y Richemont (23,4) cotizan con prima por crecimiento o por exclusividad. LVMH (16,5) y Prada (13,8) cotizan con descuento [58, 59, 60, 61, 62, 63]. Moncler, con el consenso de MarketScreener, cotiza a 17,0 veces el beneficio y a 7,3 veces el EBITDA. Está en el grupo barato, aunque tiene el segundo margen EBITDA más alto (41 %) y caja neta [49]. La mediana del PER de las comparables es de 24,9 veces, pero la infla Kering (26,3), porque su beneficio de 2026 está hundido; sin Kering, la mediana es de 23,4. Cuidado con el EV/EBITDA: MarketScreener no trata igual los arrendamientos en todas, y el de Moncler (1.283 M en 2025) es un 2,6 % mayor que el de las cuentas (1.250 M) [7, 49]. Que Moncler cotice con descuento frente a Hermès o Cucinelli se explica porque no crece. El descuento frente a la mediana sería excesivo si recupera el 5-7 % de crecimiento que espera el consenso.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 (Sportswear Company)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la hizo la propia Moncler: el 100 % por 1.150 M EUR (contraprestación de la asignación del precio de compra), con hasta 748 M en caja y el resto en acciones nuevas [4, 13]. Las ventas del ejercicio a oct-2020 fueron de 240 M, con un margen EBITDA del 28 %. El múltiplo publicado es de 13,5 veces el EBITDA de 2021. El de 17,1 veces el EBITDA de 2020 es estimación propia (1.150 ÷ (240 × 28 %)), y el patrimonio adquirido fue de 129 M [4,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100 % a 131,50 USD por acción: 13.574 M EUR por las acciones, más 1.199 M de deuda neta y 1.788 M de arrendamientos. Las ventas de 2021 fueron de 4.321 M EUR. Estimación del informe de LVMH de este repositorio, con la nota 2.3 de sus cuentas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1.250 M EUR, libre de caja y deuda [68]. Versace vendió 821 M USD en el ejercicio a mar-2025 y perdía dinero [67]. Es una compra de recuperación: se paga la marca, no el beneficio.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3.200 M USD, con un EBITDA ajustado de 140 M USD [66]. Excluida: hoteles y trenes de lujo, un negocio de activos inmobiliarios que no se parece al de Moncler.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(Michael Kors, Versace, Jimmy Choo)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a 57 USD por acción, a 9 veces el EBITDA ajustado [69]. Excluida: la FTC la bloqueó y no llegó a cerrarse, y era moda accesible, no lujo.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32,05 – 50,40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marcas de lujo con múltiplo publicado se pagaron entre 1,7 y 4,8 veces las ventas. Stone Island, la única de ropa de lujo de inspiración técnica, costó 13,5 veces el EBITDA del año siguiente [4, 13]. Hoy Moncler cotiza a 3,3 veces las ventas y 7,3 veces el EBITDA del consenso, menos de lo que ella misma pagó por Stone Island [49]. Que Moncler sea objeto de una operación es posible, pero no inmediato. Ruffini controla la junta con Double R (15,8 % en 2024), y LVMH es socio de Double R con un compromiso de no superar juntos el 20 % (nota de gobierno de este análisis). La salida de Alexandre Arnault del consejo en julio no indica, por ahora, un cambio en ese pacto [2]. Las transacciones no deben pesar en el valor: llevan prima de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+1,5 %: los nueve meses crecen un 3 % a tipos corrientes y el 3T26 cae un 1,6 % (plano a tipos constantes) [5]; suponemos un 4T, el mayor del año, un 1 % por debajo del de 2025 con la divisa en contra. El consenso (+3,3 %, antes del 3T) necesita un 4T del +3,9 % [49]. 2027e +4 % y 2028e +5,5 %: el consenso da +7 % [49]; Moncler creció un 11,2 % anual en 2021-2025, pero solo un 0,7 % en 2025 [1]. Luego baja hasta el 3 % de 2035e, por debajo del 3,5 % que estimamos para el lujo personal [20].</w:t>
      </w:r>
    </w:p>
    <w:p>
      <w:pPr>
        <w:keepNext/>
        <w:spacing w:after="100"/>
      </w:pPr>
      <w:r>
        <w:rPr>
          <w:b/>
          <w:bCs/>
        </w:rPr>
        <w:t xml:space="preserve">Márgenes.</w:t>
      </w:r>
    </w:p>
    <w:p>
      <w:pPr>
        <w:spacing w:after="100"/>
      </w:pPr>
      <w:r>
        <w:t xml:space="preserve">Margen EBITDA del 39,5 % en 2026e y 2027e (39,9 % en 2025; 40,1 % en los últimos 12 meses) por ventas planas y unos 10 M de costes del nuevo gobierno [2, 7], que vuelve al 40-40,5 %, el de 2022-2025 [A]. Margen bruto del 78 %, el más alto del sector tras Hermès [8].</w:t>
      </w:r>
    </w:p>
    <w:p>
      <w:pPr>
        <w:keepNext/>
        <w:spacing w:after="100"/>
      </w:pPr>
      <w:r>
        <w:rPr>
          <w:b/>
          <w:bCs/>
        </w:rPr>
        <w:t xml:space="preserve">Inversión y circulante.</w:t>
      </w:r>
    </w:p>
    <w:p>
      <w:pPr>
        <w:spacing w:after="100"/>
      </w:pPr>
      <w:r>
        <w:t xml:space="preserve">Capex del 13 % de las ventas: inversión neta (6,9 % en 2025; guía de ≈6 % en 2026) más altas de derechos de uso de tiendas, porque con NIIF 16 el EBITDA no paga el alquiler (240,9 M en 2025) [2, 7]. Baja al 12 %, por encima de la amortización (10,8 %). Circulante del 10 % de las ventas, el de jun-26 (7 % en 2021): las existencias crecieron un 14,6 % en 2025 con ventas planas [A].</w:t>
      </w:r>
    </w:p>
    <w:p>
      <w:pPr>
        <w:keepNext/>
        <w:spacing w:after="100"/>
      </w:pPr>
      <w:r>
        <w:rPr>
          <w:b/>
          <w:bCs/>
        </w:rPr>
        <w:t xml:space="preserve">Coste del capital.</w:t>
      </w:r>
    </w:p>
    <w:p>
      <w:pPr>
        <w:spacing w:after="100"/>
      </w:pPr>
      <w:r>
        <w:t xml:space="preserve">Tasa libre del 3,47 %, el Bund a 10 años del 21-oct-2026 [54]. Beta de 1,15: la de la acción frente al índice (1,1) [48], algo más alta por la concentración en una categoría y una estación. Prima de mercado del 5,5 %; sin prima adicional (la familia Ruffini controla de hecho, pero el consejo tiene 7 independientes de 14 y no hay operaciones vinculadas relevantes) [37]. Deuda = arrendamientos, ≈9 % del valor, al 3,5 %. WACC del 9,14 %; con la prima implícita del mercado (4,20 %), el 7,78 % [55].</w:t>
      </w:r>
    </w:p>
    <w:p>
      <w:pPr>
        <w:keepNext/>
        <w:spacing w:after="100"/>
      </w:pPr>
      <w:r>
        <w:rPr>
          <w:b/>
          <w:bCs/>
        </w:rPr>
        <w:t xml:space="preserve">Valor terminal.</w:t>
      </w:r>
    </w:p>
    <w:p>
      <w:pPr>
        <w:spacing w:after="100"/>
      </w:pPr>
      <w:r>
        <w:t xml:space="preserve">Crecimiento a perpetuidad del 2,5 %: inflación del euro y algo de crecimiento real, por debajo de la tasa libre.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 (reinvierte el 61 %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(histórico: 25,1 %)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frente al 4,2 %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 (hoy: 0,9 %)</w:t>
            </w:r>
          </w:p>
        </w:tc>
      </w:tr>
    </w:tbl>
    <w:p>
      <w:pPr>
        <w:spacing w:after="160" w:before="0"/>
      </w:pPr>
    </w:p>
    <w:p>
      <w:pPr>
        <w:spacing w:after="100"/>
      </w:pPr>
      <w:r>
        <w:t xml:space="preserve">La proyección apenas necesita inversión neta de la amortización (reinversión acumulada de 777 M, el 9 % del NOPAT, con un capex bruto medio del 12,4 % de las ventas). En un negocio de activos ligeros, el crecimiento medio del 4,2 % tiene que salir de subir precios y de ganar volumen sin capital nuevo, y la prueba es el poder de precios y la cuota (0,9 % del mercado en 2035e, frente al 0,9 %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de ≈3-4 % (aranceles en EE. UU. y lista de 2026) y volumen plano; −2,5 puntos de divisa [5,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3 % y algo de volumen con Stone Island (+5 % en el 3T26)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del turismo a Europa y de China: volumen del 2,5 %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Lujo personal al +3,5 % anual (estimación propia sobre Bain)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al mercado.</w:t>
            </w:r>
          </w:p>
        </w:tc>
      </w:tr>
    </w:tbl>
    <w:p>
      <w:pPr>
        <w:spacing w:after="160" w:before="0"/>
      </w:pPr>
    </w:p>
    <w:p>
      <w:pPr>
        <w:spacing w:after="100"/>
      </w:pPr>
      <w:r>
        <w:t xml:space="preserve">Sí. La proyección (4,2 % anual) pide menos de lo que Moncler ha hecho en cualquier periodo de cinco años desde su salida a bolsa y apenas mueve su cuota del lujo personal [A, B5]. La reinversión es baja (9 % del beneficio operativo después de impuestos): el crecimiento depende del poder de precio, demostrado con un margen EBIT del 29-30 % estable durante el frenazo de 2024-2025 [7]. La duda no es de calidad sino de demanda: la marca Moncler cayó un 1 % en el 3T26 y EMEA un 8 % por segundo trimestre [5]. Por eso el bajista resta 5 puntos de crecimiento en 2027.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42,3 % (base: 40,5 %)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9,1 %)</w:t>
            </w:r>
          </w:p>
        </w:tc>
      </w:tr>
    </w:tbl>
    <w:p>
      <w:pPr>
        <w:spacing w:after="160" w:before="0"/>
      </w:pPr>
    </w:p>
    <w:p>
      <w:pPr>
        <w:spacing w:after="100"/>
      </w:pPr>
      <w:r>
        <w:t xml:space="preserve">El DCF da 40,30 EUR por acción, un 6,1 % por debajo de 42,94 EUR, con un WACC del 9,14 % y un 58 % del valor en el terminal. El DCF inverso dice que el precio descuenta un crecimiento del 5,4 % anual, frente al 4,4 % de nuestro base, o una rentabilidad del 8,7 % con nuestras cifras: algo menos que nuestro coste de capital. Con la prima implícita del mercado (4,20 %) el DCF sube a 50,93 EUR: la conclusión depende de la tasa, no de las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del 3T26 sigue: Europa sin turistas, China débil y el abrigo de plumón pasado de moda; las ventas caen en 2027 y el margen pierde 3 puntos, como Burberry o Canada Goose [29].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2026 plano y vuelta a crecer un 4-5,5 % en 2027-2028 con precios y Stone Island, con el margen en el 40 %.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y Europa vuelven en 2027, la nueva dirección (Rongone) acelera Stone Island y la venta directa: crecimiento de 2,5 puntos más y 1,5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42,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39,74 EUR (-7,5 %).</w:t>
      </w:r>
    </w:p>
    <w:p>
      <w:pPr>
        <w:spacing w:after="100"/>
      </w:pPr>
      <w:r>
        <w:t xml:space="preserve">El DCF da 28,40 EUR en el bajista (−33,9 %), 40,30 en el base (−6,1 %) y 49,97 en el alcista (+16,4 %): asimetría desfavorable con nuestro WACC del 9,14 %; el ponderado (39,74 EUR) queda un 7,5 % por debajo del precio. A 12 meses, con el PER, el cuadro cambia: el bajista pierde un 18,4 % y el alcista gana un 69,1 %, porque el precio ya descuenta un PER de 17,9 veces, el más bajo desde 2020. Las dos lecturas no se contradicen: la acción está barata frente a su historia y justa frente a un coste de capital del 9 %.</w:t>
      </w:r>
    </w:p>
    <w:p>
      <w:pPr>
        <w:pStyle w:val="Heading1"/>
      </w:pPr>
      <w:r>
        <w:t xml:space="preserve">22. Suma de partes</w:t>
      </w:r>
    </w:p>
    <w:p>
      <w:pPr>
        <w:pStyle w:val="Confianza"/>
        <w:spacing w:after="100"/>
      </w:pPr>
      <w:r>
        <w:t xml:space="preserve">Confianza: Alta</w:t>
      </w:r>
    </w:p>
    <w:p>
      <w:pPr>
        <w:spacing w:after="100"/>
      </w:pPr>
      <w:r>
        <w:t xml:space="preserve">No aplica: Moncler y Stone Island son el mismo negocio (ropa de lujo con venta directa) y comparten estructura; Stone Island pesa un 13 % de las ventas.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42,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45,66 EUR (+6,3 % sobre 42,94).</w:t>
      </w:r>
    </w:p>
    <w:p>
      <w:pPr>
        <w:spacing w:after="100"/>
      </w:pPr>
      <w:r>
        <w:t xml:space="preserve">Pesos: DCF 40 %, comparables 30 % y escenarios 30 %. El DCF no pesa más porque el valor depende mucho de la tasa (40,30 EUR con la nuestra, 50,93 con la del mercado). Los comparables pesan un 30 % pese a la muestra frágil porque el lujo se valora por múltiplos: Moncler cotiza a 8,6 veces el EBITDA de los próximos 12 meses y 17,1 veces el beneficio, frente a medianas de 11,1 y 24,9 veces [58, 59, 60, 61, 62, 63]. Las transacciones (44,76 EUR de mediana) no pesan: llevan prima de control y Ruffini controla de hecho con el 18,2 % y el pacto con LVMH [37, 43]. El valor intrínseco es de 45,66 EUR (+6,3 %).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(17.9x) × 1.1 (tope: la mediana de 5 años, 23.6x,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+69,1 %</w:t>
            </w:r>
          </w:p>
        </w:tc>
      </w:tr>
    </w:tbl>
    <w:p>
      <w:pPr>
        <w:spacing w:after="160" w:before="0"/>
      </w:pPr>
    </w:p>
    <w:p>
      <w:pPr>
        <w:spacing w:after="100"/>
      </w:pPr>
      <w:r>
        <w:rPr>
          <w:b/>
          <w:bCs/>
        </w:rPr>
        <w:t xml:space="preserve">Objetivo a 12 meses (ponderado):</w:t>
      </w:r>
      <w:r>
        <w:t xml:space="preserve"> 51,63 EUR · rentabilidad +23,5 % (base +21,6 %) · señal Comprar.</w:t>
      </w:r>
    </w:p>
    <w:p>
      <w:pPr>
        <w:spacing w:after="100"/>
      </w:pPr>
      <w:r>
        <w:t xml:space="preserve">Para comparar, con la regla v2 (historia al cierre, mismo precio): 15,2x / 17,9x / 23,3x, 14,7 % Mantener; con el tope anterior del base (×1,3, 14-oct mediodía): 26,9 %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objetivo a 12 meses (51,63 EUR) queda un 12 % por debajo del objetivo medio de los analistas (58,74 EUR; 46,6-70) [50]. Nuestro BPA de 2028e (2,58 EUR) es un 7 % menor que el del consenso (2,765), que aún no recoge el 3T26 [49]; y el múltiplo base (19,7 veces) queda por debajo de los 21-23 veces que implican sus objetivos.</w:t>
      </w:r>
    </w:p>
    <w:p>
      <w:pPr>
        <w:keepNext/>
        <w:spacing w:after="100"/>
      </w:pPr>
      <w:r>
        <w:rPr>
          <w:b/>
          <w:bCs/>
        </w:rPr>
        <w:t xml:space="preserve">Del valor intrínseco al objetivo a 12 meses.</w:t>
      </w:r>
    </w:p>
    <w:p>
      <w:pPr>
        <w:spacing w:after="100"/>
      </w:pPr>
      <w:r>
        <w:t xml:space="preserve">Objetivo ponderado de 51,63 EUR (+23,5 % con dividendo; base +21,6 %). El base sube el PER actual (17,9 veces nuestro BPA de 2027e) solo un 10 %, el tope, aunque la mediana adelantada de cinco años es de 23,6 veces. Con el PER de cierre (v2) la rentabilidad baja al 14,7 % y con el BPA un 10 % más bajo al 11,5 %: la compra es frágil.</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sesión tras las 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Moncler −1 % y EMEA −8 %: si la acción cae, la compra mejora; la señal espera a este cierre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(nov-dic)</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invierno, el 40 % de las ventas del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2026 acaba plano o en el +3 %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primer plan de la nueva dirección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Rongone como consejero delegado; posible uso de la caja neta (recompras autorizadas del 10 %) [45, 47]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pacto de Ruffini con LVMH</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tiene hasta el 22 % de Double R: cualquier cambio de control movería el precio hacia las transacciones [43, 44]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frenazo de la marca Moncler (−1 % en el 3T26) se alarga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−33,9 %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al alza y caja neta de 1.112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de Moncler negativa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categoría y una estación: abrigo de plumón y el 4T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con un invierno cálido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 punto y Grenoble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por encima del 18 %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turistas y China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 crece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EMEA por debajo del −5 % en el 4T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Posiciones cortas del 3,65 % del capital (Ilex 2,23 %)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Volatilidad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Cortos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31,4 % de la junta contra la remuneración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la mitad de independientes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voto en contra por encima del 30 % [39]</w:t>
            </w:r>
          </w:p>
        </w:tc>
      </w:tr>
    </w:tbl>
    <w:p>
      <w:pPr>
        <w:spacing w:after="160" w:before="0"/>
      </w:pPr>
    </w:p>
    <w:p>
      <w:pPr>
        <w:pStyle w:val="Heading2"/>
      </w:pPr>
      <w:r>
        <w:t xml:space="preserve">Pre-mortem</w:t>
      </w:r>
    </w:p>
    <w:p>
      <w:pPr>
        <w:spacing w:after="100"/>
      </w:pPr>
      <w:r>
        <w:t xml:space="preserve">Octubre de 2027: la acción ha caído un 25 %. La historia más probable: el invierno de 2026 es cálido en Europa, el turista chino no vuelve y la marca Moncler encadena cuatro trimestres de caída en venta directa; las existencias, que ya subían un 14,6 % en 2025, obligan a rebajar precios y el margen EBIT baja del 29 % al 25 %. La nueva dirección no tiene historia que contar hasta 2028.</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(tercer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tercer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 2025</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90/100, máxima puntuación de su industria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4,4/5; incluida por primera vez</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Lo material para Moncler es, primero, la </w:t>
      </w:r>
      <w:r>
        <w:rPr>
          <w:b/>
        </w:rPr>
        <w:t xml:space="preserve">cadena de suministro</w:t>
      </w:r>
      <w:r>
        <w:t xml:space="preserve">: 125 talleres de confección, sobre todo en Europa del Este, y la presión de la fiscalía de Milán sobre las casas de lujo por la explotación laboral en subcontratas, que en julio de 2026 pidió a Moncler sus auditorías de proveedores [8, 34]. Segundo, el </w:t>
      </w:r>
      <w:r>
        <w:rPr>
          <w:b/>
        </w:rPr>
        <w:t xml:space="preserve">bienestar animal y la trazabilidad del plumón</w:t>
      </w:r>
      <w:r>
        <w:t xml:space="preserve">: todo el plumón está certificado con su protocolo DIST desde 2016 y la empresa no usa piel [8]. Tercero, el </w:t>
      </w:r>
      <w:r>
        <w:rPr>
          <w:b/>
        </w:rPr>
        <w:t xml:space="preserve">clima</w:t>
      </w:r>
      <w:r>
        <w:t xml:space="preserve">: en 2025 había reducido un 46 % sus emisiones directas y de energía frente a 2021 (objetivo del 70 % en 2030), pero las de la cadena de valor subían un 3 % frente a un objetivo de −52 % por unidad, y toda su electricidad propia es renovable [8]. Ninguno tiene hoy coste cuantificado en las cuentas.</w:t>
      </w:r>
    </w:p>
    <w:p>
      <w:pPr>
        <w:pStyle w:val="Heading2"/>
      </w:pPr>
      <w:r>
        <w:t xml:space="preserve">Controversias</w:t>
      </w:r>
    </w:p>
    <w:p>
      <w:pPr>
        <w:spacing w:after="100"/>
      </w:pPr>
      <w:r>
        <w:t xml:space="preserve">Sin multas relevantes en los últimos tres años. Dos asuntos abiertos: la fiscalía de Milán pidió en julio de 2026 a nueve casas, Moncler incluida, sus modelos de organización y las auditorías de proveedores de bolsas y fundas de los dos últimos años, sin que ninguna esté investigada [34]; y Hacienda italiana discute los precios de transferencia de la filial Industries en 2016-2018, que Moncler recurre [8]. Las campañas animalistas sobre el plumón son recurrentes y no han tenido efecto medible en las ventas.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−2 % de la venta directa de Moncler en el 3T26 es tráfico y qué parte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frenazo es de marca o de turismo.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usan la recompra del 10 % autorizada con la acción en mínimos y 1.112 M de caja neta?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del 5 % subiría el BPA un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(+14,6 % en 2025) son compra estratégica de plumón o producto sin vender?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señal de rebajas.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hará Double R al terminar el pacto con LVMH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cambio de control llevaría el precio hacia las transacciones.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Italia, foro de Moncler (noche del 21-oct, tras las ventas de los nueve meses)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Alivio porque el trimestre «aguanta mejor de lo que esperaba el mercado» y llamadas a comprar en la caída, frente a quienes ven un trimestre plano con tendencia a la baja y esperan que la acción pierda los 40 EUR; la mayoría de los mensajes son ruido (apuestas para el día siguiente, bromas)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Italia, foro de Moncler (semana previa a las ventas, 12-20 de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Predomina la desconfianza: se culpa de las caídas a «un fondo extranjero» con una gran posición corta, se aconseja no comprar y se toma 50 EUR como nivel para vender, no para entrar [71].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Italia, foro de Moncler (agosto, tras la caída de finales de julio)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Pequeños inversores atrapados tras perder los 47 EUR a final de julio: lamentan no haber vendido en 52 y temen una bajada a 45-43, con una minoría que acumula en 46,5 [72].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turistas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y no mejora: EMEA de la marca Moncler cayó un 8 % a tipos constantes en el 2T26 y otro 8 % en el 3T26, y deja los nueve meses en −5 %, con un 34,4 % de las ventas de la marca [2, 73].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 trimestre «mejor de lo temido»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Exageran: las ventas del 3T26 (605,5 M EUR, planas a tipos constantes) superan el consenso recogido por la prensa (596,8 M), pero la marca Moncler cae un 1 % y su venta directa un 2 %, la primera caída del año, y Asia baja del +12 % del 2T al +5 % [2, 32, 73].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bajistas detrás de las caídas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 algo real que el análisis no recogía: las posiciones cortas publicadas por la Consob suman un 3,65 % del capital (Ilex Capital 2,23 % al 19-oct, Two Sigma 0,91 %, AQR 0,51 %); Ilex tenía un 0,43 % el 20-abr y ha subido sin pausa desde mayo. No es «manipulación»: es una apuesta declarada contra la venta directa, que con un trimestre aceptable puede forzar recompras [56].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Barata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analistas la defienden más que los foros: Bernstein subió a Sobreponderar en septiembre (57,50 EUR), JP Morgan mantiene Sobreponderar (70 EUR) y Equita Comprar (63 EUR), con un PER ajustado adelantado de ≈17,5 veces frente a 24,5 de media histórica [52].</w:t>
            </w:r>
          </w:p>
        </w:tc>
      </w:tr>
    </w:tbl>
    <w:p>
      <w:pPr>
        <w:spacing w:after="160" w:before="0"/>
      </w:pPr>
    </w:p>
    <w:p>
      <w:pPr>
        <w:spacing w:after="100"/>
      </w:pPr>
      <w:r>
        <w:t xml:space="preserve">El particular italiano está más pesimista que los analistas desde el verano: la acción ha pasado de 57,54 EUR tras el 1T (22-abr) a 42,94, y los foros llegan a las ventas cansados y desconfiados [52, 71, 72, 75]. La señal más útil no viene de los foros sino de la Consob: los cortos declarados han pasado de menos del 1 % del capital en abril al 3,65 %, con Ilex aumentando hasta el 19-oct [56]. El alivio de la noche del 21-oct es de corto plazo: los datos de fondo (EMEA −8 %, venta directa de la marca −2 %, Asia frenando) dan la razón a los bajistas [2, 73]. No hay euforia ni capitulación. Los textos de análisis en inglés han desaparecido: Seeking Alpha no publica ninguno sobre Moncler desde febrero, aparte de las transcripciones [74]. Para la decisión: el riesgo de un 4T flojo está en el precio y en los cortos, y un abrigo que se venda bien puede provocar una cobertura rápida.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75 (44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0,9 % en 2035e frente al 0,9 %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9,7 % real: genera una variación de circulante de 14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0,13: el crecimiento no explica los múltiplos de estos comparables; no uses el valor de la regresión. Explicación: Con seis empresas, el crecimiento no explica los múltiplos (R² de 0,13): en el lujo pesa más la marca que el crecimiento de un año.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8,7x a 13,4x según qué comparable se quite (43,26 a 66,80 por acción): la muestra es frágil; explícalo y no le des mucho peso. Explicación: Seis grupos de lujo muy distintos (de Kering, con el beneficio hundido, a Hermès): la mediana del EV/EBITDA NTM va de 8,7 a 13,4 veces según cuál se quite. Por eso los comparables pesan un 30 % y su PER solo es el techo del alcista a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14,7 %: para comprar o ampliar hace falta motivo de negocio propio; para mantener basta la vigente. Explicación: La v2 (PER al cierre) da 14,7 %, justo por debajo del 15 %: la compra es frágil. El motivo de negocio es que el precio está en mínimos de 52 semanas con el PER más bajo desde la salida a bolsa y caja neta; aun así, la señal espera al cierre del 22-oct.</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fuentes (44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resultado por marca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6 del informe anual 2025: un único segmento NIIF 8 (las dos marcas se agregan); 2) comunicados de resultados 2022-2025: solo ventas por marca; 3) informe semestral 2026: igual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ingresos por marca)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EBIT/EBITDA trimestral, crecimiento publicado de 4T24-3T25 y comparación con 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(1T26, 9M25, 9M26): solo ventas; 2) búsqueda del consenso previo al 3T26 en prensa italiana (Teleborsa, Borsa Italiana): artículos sin texto o de 2023; 3) cálculo desde semestres: solo da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(beneficios no distribuidos) 2021-2023 y calendario de vencimientos de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de 2021-2023: solo etiqueta el resultado del año dentro de las reservas; 2) estado de cambios del patrimonio del semestral 2026: solo 2024-2025; 3) nota de deuda: no hay deuda con vencimientos (solo arrendamientos, descritos en otros pasivos)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en abrigo de plumón de lujo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Bain-Altagamma (dic-2025 y jun-2026): no publica la categoría de abrigo, solo ropa en conjunto; 2) informe anual 2025 de Moncler: no da cuota de categoría; 3) cálculo con Canada Goose y Moncler: no hay tamaño de la categoría para dividir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consejeros y directivos de los últimos 12 meses (internal dealing)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internal dealing de monclergroup.com: 403 con WebFetch y con curl; 2) eMarket Storage por búsqueda (prefijo de emisor 1218): solo comunicados de 2025, ninguno de 2026 con detalle; financialfilings.com pide registro; 3) tabla 4 del informe de remuneraciones 2026: da las compras y ventas de 2025 por consejero, pero sin fechas, así que no se puede separar lo de los últimos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en el texto se citan las variaciones de 2025 de la tabla 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remuneración en la junta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se buscó el rendiconto de 2024 por presupuesto; 2) se leyeron las de 2026 (68,6 % a favor) y 2025 (89,3 % a favor); 3) la de 2026 es casi con seguridad la más baja de las 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 el mínimo de 2025-2026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flotante (free_float_pct) y capitalización 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Consob, assetti proprietari: la página no abre (404); 2) informe anual 2025 ESEF: da el capital y la autocartera, pero no las participaciones; 3) MarketScreener e Investing: no publican el flotante en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ESEF 2025: sin el dato etiquetado; 2) comunicado del 1S26: no lo da; 3) notas A-C de este análisis: no lo traen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distintos de Investing.com: Reddit, Stocktwits, FinanzaOnline, Investireoggi, Simply Wall St, getquin, foros alemanes)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(búsqueda y r/ItaliaPersonalFinance) y Stocktwits (API para MONRY, MONRF y MONC.MI): 403 y 404; 2) foros italianos FinanzaOnline e Investireoggi y comunidad de Simply Wall St: 403; getquin abre pero sin mensajes; Boursorama no tiene hilo de Moncler; 3) foros alemanes: el de Ariva tiene su último mensaje el 20-feb-2026 y el de wallstreet-online no tiene hilo localizable; Seeking Alpha sin análisis desde febrero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se usa el foro de Investing.com Italia (tres tramos de fechas) con prensa y datos de la Consob de contraste</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Group: risultati consolidati 2025 (comunicato stampa, 19-feb-2026)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https://www.emarketstorage.it/sites/default/files/comunicati/2026-02/20260219_177665.pdf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Group: risultati del primo semestre 2026 (comunicato stampa, 22-jul-2026)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https://www.emarketstorage.it/sites/default/files/comunicati/2026-07/20260722_187106.pdf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risultati consolidati 2024 (comunicato stampa)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https://emarketstorage.it/sites/default/files/comunicati/2025-02/20250213_160658.pdf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9M 2026 Interim Management Statement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https://www.emarketstorage.it/sites/default/files/comunicati/2026-10/20261021_190891.pdf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as of 30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https://www.emarketstorage.it/sites/default/files/comunicati/2026-07/20260724_187232.pdf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finanziaria annuale al 31 dicembre 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https://filings.xbrl.org/815600EBD7FB00525B20/2025-12-31/ESEF/IT/0/moncler-2025-12-31-0-IT/reports/moncler-2025-12-31-0-IT.xhtml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(informe de gestión, cuentas e informe del auditor, en inglés)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https://www.monclergroup.com/v3/assets/blt61bda6b71f29a239/blte87f9e4fabfa4855/6a18387ccd325850993e4122/Moncler-Group-Annual-Report-2025_Sustainability.pdf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Financial Results (comunicato stampa, 28-feb-2023)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https://www.emarketstorage.it/sites/default/files/comunicati/2023-06/20230228_126075.pdf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Interim Management Statement (21-abr-2026)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https://www.emarketstorage.it/sites/default/files/comunicati/2026-04/20260421_182523.pdf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Press Release 9M 2025 (28-oct-2025)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https://www.monclergroup.com/v3/assets/blt61bda6b71f29a239/bltf918207c92bab566/690b64c396cc598759a0dd60/Moncler-Group-Press-Release-9M-2025.pdf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Half 2026 Financial Results Conference Call: transcripción (22-jul-2026)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https://www.monclergroup.com/v3/assets/blt61bda6b71f29a239/blt9f19d7b37de1ae0d/6a6a26b0b9f960d7813aefa8/Moncler_Group_Transcript_H1_2026.pdf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finanziaria annuale 2021 (ESEF,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https://filings.xbrl.org/815600EBD7FB00525B20/2021-12-31/ESEF/IT/0/moncler-2021-12-31AR/reports/moncler-2021-12-31AR.xhtml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finanziaria annuale 2022 (ESEF,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https://filings.xbrl.org/815600EBD7FB00525B20/2022-12-31/ESEF/IT/0/moncler-2022-12-31-IT/reports/moncler-2022-12-31-IT.xhtml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finanziaria annuale 2023 (ESEF,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https://filings.xbrl.org/815600EBD7FB00525B20/2023-12-31/ESEF/IT/0/moncler-2023-12-31-IT/reports/moncler-2023-12-31-IT.xhtml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finanziaria annuale 2024 (ESEF,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https://filings.xbrl.org/815600EBD7FB00525B20/2024-12-31/ESEF/IT/1/moncler-2024-12-31-0-IT/reports/moncler-2024-12-31-0-IT.xhtml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Remo Ruffini partners with LVMH (comunicado sobre la entrada en Double 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https://www.lvmh.com/en/publications/remo-ruffini-partners-with-lvmh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appoints Leo Rongone as CEO in leadership shake-up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9colonne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https://www.9colonne.it/586456/moncler-appoints-leo-rongone-as-ceo-in-leadership-shake-up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documento de registro universal 2025 (información por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raises prices on tariffs, may postpone store openings if downturn worsens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vía NBC San Diego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https://www.nbcsandiego.com/news/business/money-report/moncler-raises-prices-on-tariffs-may-postpone-store-openings-if-downturn-worsens/3875312/?amp=1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comunicato stampa ricavi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https://www.monclergroup.com/v3/assets/blt61bda6b71f29a239/blt12d95ec437e21017/69e79bfae367316d066076d0/Moncler-Group-Comunicato-Stampa-Q1-2026.pdf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informes financieros anuales 2020-2025 en formato ESEF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https://filings.xbrl.org/api/filings?filter[entity.identifier]=815600EBD7FB00525B20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https://mfn.se/one/a/hermes/hermes-international-2025-full-year-results-a01f2a5e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Consolidated Financial Statements 2025 including Consolidated Sustainability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https://investor.brunellocucinelli.com/yep-content/media/Consolidated_Financial_Statements_2025_including_Consolidated_Sustainability_Report.pdf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Canada Goose Reports Fourth Quarter and Full Year Fiscal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Canada Goose Holdings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https://s203.q4cdn.com/764564379/files/doc_financials/2026/q4/Q4-2026-Press-Release-Final.pdf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CAD a 31-3-2026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ricavi 9 mesi sfiorano 1,9 miliardi di euro nonostante rallentamento nel terzo trimestre (resumen del comunicado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https://www.teleborsa.it/News/2026/10/21/moncler-ricavi-9-mesi-sfiorano-1-9-miliardi-di-euro-nonostante-rallentamento-nel-terzo-trimestre-253.html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 to consumer e Asia sostengono i conti di Moncler. Nove mesi a 1,9 miliardi (+6%)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https://www.milanofinanza.it/fashion/direct-to-consumer-e-asia-sostengono-i-conti-di-moncler-nove-mesi-a-1-9-miliardi-6-202610211833261517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Continued growth in the third quarter of 2026 (ventas del 3T y de los nueve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https://lvmh-com.cdn.prismic.io/lvmh-com/Y6AfTE0Y7WFnyftQ_LVMH2026ThirdQuarterRevenue.pdf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 Milano, acquisizioni di atti presso nove case di moda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https://www.milanofinanza.it/fashion/pm-milano-acquisizioni-di-atti-presso-nove-case-di-moda-202607161854071180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 (cifra tomada del informe de LVMH de este repositorio,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 (cifra tomada del informe de LVMH de este repositorio,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sul governo societario e gli assetti proprietari, esercizio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https://www.emarketstorage.it/sites/default/files/comunicati/2026-03/20260320_179463.pdf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Relazione sulla politica in materia di remunerazione e sui compensi corrisposti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https://www.emarketstorage.it/sites/default/files/comunicati/2026-03/20260320_179499.pdf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Ordinary Shareholders' Meeting held on 21 April 2026: summary account of the votes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https://www.monclergroup.com/v3/assets/blt61bda6b71f29a239/blt4fa65fbc7b0f59da/69e8d76ac209ea672d358834/Moncler_rendiconto_sintetico_2026_Eng.pdf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Ordinary Shareholders' Meeting of 21 April 2026 (English courtesy translation)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https://www.emarketstorage.it/sites/default/files/comunicati/2026-05/20260519_184568.pdf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AGM 2025 (English courtesy translation)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https://www.monclergroup.com/v3/assets/blt61bda6b71f29a239/blt7d2499f1f4075880/69ef300db0f42b8ddc449946/Minutes_of_the_AGM_2025_-_English_courtesy_translation.pdf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2025 Financial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https://www.emarketstorage.it/sites/default/files/comunicati/2025-07/20250723_170178.pdf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Investment Agreement relating to Moncler S.p.A. – notice pursuant to Art. 131 Consob Regulation 11971/1999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https://www.emarketstorage.it/sites/default/files/comunicati/2025-09/20250913_172151.pdf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Remo Ruffini partners with LVMH to increase his stake in Moncler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https://fashionunited.uk/news/business/remo-ruffini-partners-with-lvmh-to-increase-his-stake-in-moncler/2024092777798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 Rongone appointed new CEO of Moncler, effective April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https://fashionunited.uk/news/people/bartolomeo-rongone-new-ceo-of-moncler-from-april-first/2026012185836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Alexandre Arnault lascia il board Moncler, al suo posto arriva Sidney Toledano (ex Dior)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MF 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https://www.milanofinanza.it/fashion/alexandre-arnault-lascia-il-board-moncler-al-suo-posto-arriva-sidney-toledano-ex-dior-202607221858251175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Financial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(eMarket Storage, SDIR)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https://www.emarketstorage.it/sites/default/files/comunicati/2026-10/20261021_190893.pdf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MONC.MI, FTSEMIB.MI y EXH7.DE (cierre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https://finance.yahoo.com/quote/MONC.MI/history/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financieras 2024-2028 (ventas, EBITDA, EBIT, beneficio, BPA,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(MONC): consenso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https://www.investing.com/equities/moncler-spa-consensus-estimates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Azioni Moncler protagonista sulla spinta del giudizio degli analisti (Bernstein, JP Morgan, Equita)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https://www.orafinanza.it/it/azioni-moncler-protagonista-sulla-spinta-del-giudizio-degli-analisti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Moncler's results slip as sales slow and the outlook remains cautious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 (edición en inglés)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https://en.ilsole24ore.com/art/monclers-results-slip-as-sales-slow-and-the-outlook-remains-cautious-AJxFOET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(21-oct-2026: 3,47 %)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Posizioni nette corte in essere (PncPubbl.xlsx), Moncler SpA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https://www.consob.it/documents/11973/395154/PncPubbl.xlsx/fbefe0a2-795b-bad3-9369-beccbeb14f27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Gino Fisanotti, Dirigente Strategico: cessione di azioni nell'ambito dei Piani di Performance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(eMarket Storage, SDIR)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https://www.emarketstorage.it/sites/default/files/comunicati/2026-05/20260508_183714.pdf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estimaciones financieras 2025-2027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 estimaciones y valoración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https://www.marketscreener.com/quote/stock/COMPAGNIE-FINANCIERE-RICH-14354614/finances/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https://www.marketscreener.com/quote/stock/PRADA-S-P-A-8235601/finances/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https://www.marketscreener.com/quote/stock/BRUNELLO-CUCINELLI-S-P-A-10446678/finances/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(21-oct-2026: CHF 0,9256; HKD 8,8155)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2023 (nota 2.3, adquisición de Tiffany)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resultados del 4T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https://www.sec.gov/Archives/edgar/data/1530721/000153072125000046/cpri8-k03292025exhibit991.htm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forum e commenti (páginas 1-2, reacción a las ventas de los nueve meses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https://it.investing.com/equities/moncler-spa-commentary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forum e commenti (página 8, 12-20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https://it.investing.com/equities/moncler-spa-commentary/8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forum e commenti (página 45,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Italia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https://it.investing.com/equities/moncler-spa-commentary/45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9M 2026 Interim Management Statement (comunicato stampa, 21-ott-2026)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vía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https://www.emarketstorage.it/sites/default/files/comunicati/2026-10/20261021_190890.pdf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 — News and Analysis (feed RSS de MONRF/MONRY)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https://seekingalpha.com/api/sa/combined/MONRF.xml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Trimestrale Moncler, ricavi in crescita ma accoglienza fredda da mercato e analisti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https://www.orafinanza.it/it/trimestrale-azioni-moncler-ricavi-in-crescita-ma-accoglienza-fredda-da-mercato-e-analisti</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88,5 %</w:t>
      </w:r>
      <w:r>
        <w:t xml:space="preserve"> · Secciones con menos del 60 % de campos cubiertos: </w:t>
      </w:r>
      <w:r>
        <w:rPr>
          <w:b/>
          <w:bCs/>
        </w:rPr>
        <w:t xml:space="preserve">riesgos</w:t>
      </w:r>
      <w:r>
        <w:t xml:space="preserve"> · Generado el 21 oct 2026.</w:t>
      </w:r>
    </w:p>
    <w:p>
      <w:pPr>
        <w:pStyle w:val="Nota"/>
        <w:spacing w:after="100"/>
      </w:pPr>
      <w:r>
        <w:t xml:space="preserve">Análisis rehecho entero con fuentes primarias (comunicados, informes anuales en ESEF, Consob y eMarket Storage); el del 14-oct salió de extractos de búsqueda. </w:t>
      </w:r>
      <w:r>
        <w:rPr>
          <w:b/>
        </w:rPr>
        <w:t xml:space="preserve">Precio</w:t>
      </w:r>
      <w:r>
        <w:t xml:space="preserve">: cierre del 21-oct-2026 en Milán (42,94 EUR), anterior a las ventas de los nueve meses, que se publicaron tras el cierre: la reacción del mercado no está en el precio [5, 48]. </w:t>
      </w:r>
      <w:r>
        <w:rPr>
          <w:b/>
        </w:rPr>
        <w:t xml:space="preserve">EBITDA</w:t>
      </w:r>
      <w:r>
        <w:t xml:space="preserve">: Moncler no lo publica; es EBIT más todas las amortizaciones (con NIIF 16) [7]. </w:t>
      </w:r>
      <w:r>
        <w:rPr>
          <w:b/>
        </w:rPr>
        <w:t xml:space="preserve">Arrendamientos</w:t>
      </w:r>
      <w:r>
        <w:t xml:space="preserve"> de tiendas (1.198,6 M a jun-26) en el puente y altas de derechos de uso dentro del capex del DCF [6]. Moncler no publica márgenes trimestrales: el 3T26 solo trae ventas [5]. Acciones: 271,6 M (274,8 M emitidas menos 3,2 M de autocartera) [7].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Moncler S.p.A. (MONC)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42,94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(42,10 – 59,40)</c:v>
                </c:pt>
                <c:pt idx="1">
                  <c:v>Precio objetivo de los analistas (46,60 – 70,00)</c:v>
                </c:pt>
                <c:pt idx="2">
                  <c:v>Comparables: EV/EBITDA NTM (42,51 – 66,80)</c:v>
                </c:pt>
                <c:pt idx="3">
                  <c:v>Comparables: PER NTM (45,80 – 70,62)</c:v>
                </c:pt>
                <c:pt idx="4">
                  <c:v>Transacciones precedentes (EV/ventas) (32,05 – 50,40)</c:v>
                </c:pt>
                <c:pt idx="5">
                  <c:v>DCF (WACC y g ± 0,5) (35,95 – 46,14)</c:v>
                </c:pt>
                <c:pt idx="6">
                  <c:v>Escenarios (bajista – alcista) (28,40 – 49,97)</c:v>
                </c:pt>
                <c:pt idx="7">
                  <c:v>DCF con la prima implícita del mercado (4,2 %)</c:v>
                </c:pt>
                <c:pt idx="8">
                  <c:v>Precio actual (42,94)</c:v>
                </c:pt>
              </c:strCache>
            </c:strRef>
          </c:cat>
          <c:val>
            <c:numRef>
              <c:f>Hoja1!$B$2:$B$10</c:f>
              <c:numCache>
                <c:formatCode>#,##0.0</c:formatCode>
                <c:ptCount val="9"/>
                <c:pt idx="0">
                  <c:v>42.1</c:v>
                </c:pt>
                <c:pt idx="1">
                  <c:v>46.6</c:v>
                </c:pt>
                <c:pt idx="2">
                  <c:v>42.51</c:v>
                </c:pt>
                <c:pt idx="3">
                  <c:v>45.8</c:v>
                </c:pt>
                <c:pt idx="4">
                  <c:v>32.05</c:v>
                </c:pt>
                <c:pt idx="5">
                  <c:v>35.95</c:v>
                </c:pt>
                <c:pt idx="6">
                  <c:v>28.4</c:v>
                </c:pt>
                <c:pt idx="7">
                  <c:v>46.43</c:v>
                </c:pt>
                <c:pt idx="8">
                  <c:v>42.73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(42,10 – 59,40)</c:v>
                </c:pt>
                <c:pt idx="1">
                  <c:v>Precio objetivo de los analistas (46,60 – 70,00)</c:v>
                </c:pt>
                <c:pt idx="2">
                  <c:v>Comparables: EV/EBITDA NTM (42,51 – 66,80)</c:v>
                </c:pt>
                <c:pt idx="3">
                  <c:v>Comparables: PER NTM (45,80 – 70,62)</c:v>
                </c:pt>
                <c:pt idx="4">
                  <c:v>Transacciones precedentes (EV/ventas) (32,05 – 50,40)</c:v>
                </c:pt>
                <c:pt idx="5">
                  <c:v>DCF (WACC y g ± 0,5) (35,95 – 46,14)</c:v>
                </c:pt>
                <c:pt idx="6">
                  <c:v>Escenarios (bajista – alcista) (28,40 – 49,97)</c:v>
                </c:pt>
                <c:pt idx="7">
                  <c:v>DCF con la prima implícita del mercado (4,2 %)</c:v>
                </c:pt>
                <c:pt idx="8">
                  <c:v>Precio actual (42,94)</c:v>
                </c:pt>
              </c:strCache>
            </c:strRef>
          </c:cat>
          <c:val>
            <c:numRef>
              <c:f>Hoja1!$C$2:$C$10</c:f>
              <c:numCache>
                <c:formatCode>#,##0.0</c:formatCode>
                <c:ptCount val="9"/>
                <c:pt idx="0">
                  <c:v>17.299999999999997</c:v>
                </c:pt>
                <c:pt idx="1">
                  <c:v>23.4</c:v>
                </c:pt>
                <c:pt idx="2">
                  <c:v>24.29</c:v>
                </c:pt>
                <c:pt idx="3">
                  <c:v>24.820000000000007</c:v>
                </c:pt>
                <c:pt idx="4">
                  <c:v>18.35</c:v>
                </c:pt>
                <c:pt idx="5">
                  <c:v>10.189999999999998</c:v>
                </c:pt>
                <c:pt idx="6">
                  <c:v>21.57</c:v>
                </c:pt>
                <c:pt idx="7">
                  <c:v>9.939999999999998</c:v>
                </c:pt>
                <c:pt idx="8">
                  <c:v>0.4200000000000017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Moncler</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1824.2</c:v>
                </c:pt>
                <c:pt idx="1">
                  <c:v>2201.8</c:v>
                </c:pt>
                <c:pt idx="2">
                  <c:v>2573.2</c:v>
                </c:pt>
                <c:pt idx="3">
                  <c:v>2707.3</c:v>
                </c:pt>
                <c:pt idx="4">
                  <c:v>2720.9</c:v>
                </c:pt>
              </c:numCache>
            </c:numRef>
          </c:val>
        </c:ser>
        <c:ser>
          <c:idx val="1"/>
          <c:order val="1"/>
          <c:tx>
            <c:strRef>
              <c:f>Hoja1!$C$1</c:f>
              <c:strCache>
                <c:ptCount val="1"/>
                <c:pt idx="0">
                  <c:v>Stone Island</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221.9</c:v>
                </c:pt>
                <c:pt idx="1">
                  <c:v>401.1</c:v>
                </c:pt>
                <c:pt idx="2">
                  <c:v>411.1</c:v>
                </c:pt>
                <c:pt idx="3">
                  <c:v>401.6</c:v>
                </c:pt>
                <c:pt idx="4">
                  <c:v>411.2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Moncler</c:v>
                </c:pt>
                <c:pt idx="1">
                  <c:v>Stone Island</c:v>
                </c:pt>
              </c:strCache>
            </c:strRef>
          </c:cat>
          <c:val>
            <c:numRef>
              <c:f>Hoja1!$B$2:$B$3</c:f>
              <c:numCache>
                <c:formatCode>General</c:formatCode>
                <c:ptCount val="2"/>
                <c:pt idx="0">
                  <c:v>86.9</c:v>
                </c:pt>
                <c:pt idx="1">
                  <c:v>13.1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Asia (con Japón y Corea)</c:v>
                </c:pt>
                <c:pt idx="1">
                  <c:v>EMEA</c:v>
                </c:pt>
                <c:pt idx="2">
                  <c:v>América</c:v>
                </c:pt>
              </c:strCache>
            </c:strRef>
          </c:cat>
          <c:val>
            <c:numRef>
              <c:f>Hoja1!$B$2:$B$4</c:f>
              <c:numCache>
                <c:formatCode>0"%"</c:formatCode>
                <c:ptCount val="3"/>
                <c:pt idx="0">
                  <c:v>48.9</c:v>
                </c:pt>
                <c:pt idx="1">
                  <c:v>37.8</c:v>
                </c:pt>
                <c:pt idx="2">
                  <c:v>13.3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Moncler</c:v>
                </c:pt>
                <c:pt idx="1">
                  <c:v>LVMH (Moda y Marroquinería)</c:v>
                </c:pt>
                <c:pt idx="2">
                  <c:v>Hermès</c:v>
                </c:pt>
                <c:pt idx="3">
                  <c:v>Kering</c:v>
                </c:pt>
                <c:pt idx="4">
                  <c:v>Prada</c:v>
                </c:pt>
                <c:pt idx="5">
                  <c:v>Brunello Cucinelli</c:v>
                </c:pt>
                <c:pt idx="6">
                  <c:v>Canada Goose</c:v>
                </c:pt>
              </c:strCache>
            </c:strRef>
          </c:cat>
          <c:val>
            <c:numRef>
              <c:f>Hoja1!$B$2:$B$8</c:f>
              <c:numCache>
                <c:formatCode>0.0"%"</c:formatCode>
                <c:ptCount val="7"/>
                <c:pt idx="0">
                  <c:v>29.2</c:v>
                </c:pt>
                <c:pt idx="1">
                  <c:v>35</c:v>
                </c:pt>
                <c:pt idx="2">
                  <c:v>41.1</c:v>
                </c:pt>
                <c:pt idx="3">
                  <c:v>11.1</c:v>
                </c:pt>
                <c:pt idx="4">
                  <c:v>22.7</c:v>
                </c:pt>
                <c:pt idx="5">
                  <c:v>16.2</c:v>
                </c:pt>
                <c:pt idx="6">
                  <c:v>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0</c:v>
                </c:pt>
                <c:pt idx="2">
                  <c:v>4</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2046.1</c:v>
                </c:pt>
                <c:pt idx="1">
                  <c:v>2602.9</c:v>
                </c:pt>
                <c:pt idx="2">
                  <c:v>2984.2</c:v>
                </c:pt>
                <c:pt idx="3">
                  <c:v>3108.9</c:v>
                </c:pt>
                <c:pt idx="4">
                  <c:v>3132.1</c:v>
                </c:pt>
                <c:pt idx="5">
                  <c:v>3179</c:v>
                </c:pt>
                <c:pt idx="6">
                  <c:v>3306</c:v>
                </c:pt>
                <c:pt idx="7">
                  <c:v>3488</c:v>
                </c:pt>
                <c:pt idx="8">
                  <c:v>3680</c:v>
                </c:pt>
                <c:pt idx="9">
                  <c:v>3864</c:v>
                </c:pt>
                <c:pt idx="10">
                  <c:v>4057</c:v>
                </c:pt>
                <c:pt idx="11">
                  <c:v>4240</c:v>
                </c:pt>
                <c:pt idx="12">
                  <c:v>4409</c:v>
                </c:pt>
                <c:pt idx="13">
                  <c:v>4564</c:v>
                </c:pt>
                <c:pt idx="14">
                  <c:v>4701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849.6</c:v>
                </c:pt>
                <c:pt idx="1">
                  <c:v>1039.4</c:v>
                </c:pt>
                <c:pt idx="2">
                  <c:v>1185.5</c:v>
                </c:pt>
                <c:pt idx="3">
                  <c:v>1215.6</c:v>
                </c:pt>
                <c:pt idx="4">
                  <c:v>1250.1</c:v>
                </c:pt>
                <c:pt idx="5">
                  <c:v>1256</c:v>
                </c:pt>
                <c:pt idx="6">
                  <c:v>1306</c:v>
                </c:pt>
                <c:pt idx="7">
                  <c:v>1395</c:v>
                </c:pt>
                <c:pt idx="8">
                  <c:v>1483</c:v>
                </c:pt>
                <c:pt idx="9">
                  <c:v>1565</c:v>
                </c:pt>
                <c:pt idx="10">
                  <c:v>1643</c:v>
                </c:pt>
                <c:pt idx="11">
                  <c:v>1717</c:v>
                </c:pt>
                <c:pt idx="12">
                  <c:v>1786</c:v>
                </c:pt>
                <c:pt idx="13">
                  <c:v>1848</c:v>
                </c:pt>
                <c:pt idx="14">
                  <c:v>1904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76.6</c:v>
                </c:pt>
                <c:pt idx="1">
                  <c:v>76.4</c:v>
                </c:pt>
                <c:pt idx="2">
                  <c:v>77.1</c:v>
                </c:pt>
                <c:pt idx="3">
                  <c:v>78.1</c:v>
                </c:pt>
                <c:pt idx="4">
                  <c:v>78.1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41.5</c:v>
                </c:pt>
                <c:pt idx="1">
                  <c:v>39.9</c:v>
                </c:pt>
                <c:pt idx="2">
                  <c:v>39.7</c:v>
                </c:pt>
                <c:pt idx="3">
                  <c:v>39.1</c:v>
                </c:pt>
                <c:pt idx="4">
                  <c:v>39.9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29.5</c:v>
                </c:pt>
                <c:pt idx="1">
                  <c:v>29.8</c:v>
                </c:pt>
                <c:pt idx="2">
                  <c:v>30</c:v>
                </c:pt>
                <c:pt idx="3">
                  <c:v>29.2</c:v>
                </c:pt>
                <c:pt idx="4">
                  <c:v>29.2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19.2</c:v>
                </c:pt>
                <c:pt idx="1">
                  <c:v>23.3</c:v>
                </c:pt>
                <c:pt idx="2">
                  <c:v>20.5</c:v>
                </c:pt>
                <c:pt idx="3">
                  <c:v>20.6</c:v>
                </c:pt>
                <c:pt idx="4">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4">
                  <c:v>3.8</c:v>
                </c:pt>
                <c:pt idx="5">
                  <c:v>6.2</c:v>
                </c:pt>
                <c:pt idx="6">
                  <c:v>3.2</c:v>
                </c:pt>
                <c:pt idx="7">
                  <c:v>-1.6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8</c:v>
                </c:pt>
                <c:pt idx="3">
                  <c:v>-1</c:v>
                </c:pt>
                <c:pt idx="4">
                  <c:v>7</c:v>
                </c:pt>
                <c:pt idx="5">
                  <c:v>12</c:v>
                </c:pt>
                <c:pt idx="6">
                  <c:v>5</c:v>
                </c:pt>
                <c:pt idx="7">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42</c:v>
                </c:pt>
                <c:pt idx="1">
                  <c:v>42</c:v>
                </c:pt>
                <c:pt idx="2">
                  <c:v>40</c:v>
                </c:pt>
                <c:pt idx="3">
                  <c:v>38</c:v>
                </c:pt>
                <c:pt idx="4">
                  <c:v>34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201</c:v>
                </c:pt>
                <c:pt idx="1">
                  <c:v>224</c:v>
                </c:pt>
                <c:pt idx="2">
                  <c:v>242</c:v>
                </c:pt>
                <c:pt idx="3">
                  <c:v>251</c:v>
                </c:pt>
                <c:pt idx="4">
                  <c:v>287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266</c:v>
                </c:pt>
                <c:pt idx="1">
                  <c:v>286</c:v>
                </c:pt>
                <c:pt idx="2">
                  <c:v>288</c:v>
                </c:pt>
                <c:pt idx="3">
                  <c:v>289</c:v>
                </c:pt>
                <c:pt idx="4">
                  <c:v>281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587.2</c:v>
                </c:pt>
                <c:pt idx="1">
                  <c:v>322.20000000000005</c:v>
                </c:pt>
                <c:pt idx="2">
                  <c:v>537.7</c:v>
                </c:pt>
                <c:pt idx="3">
                  <c:v>583.5999999999999</c:v>
                </c:pt>
                <c:pt idx="4">
                  <c:v>499.5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393.5</c:v>
                </c:pt>
                <c:pt idx="1">
                  <c:v>606.7</c:v>
                </c:pt>
                <c:pt idx="2">
                  <c:v>611.9</c:v>
                </c:pt>
                <c:pt idx="3">
                  <c:v>639.6</c:v>
                </c:pt>
                <c:pt idx="4">
                  <c:v>626.7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17.2</c:v>
                </c:pt>
                <c:pt idx="1">
                  <c:v>23.3</c:v>
                </c:pt>
                <c:pt idx="2">
                  <c:v>21.3</c:v>
                </c:pt>
                <c:pt idx="3">
                  <c:v>20.7</c:v>
                </c:pt>
                <c:pt idx="4">
                  <c:v>19.3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15.7</c:v>
                </c:pt>
                <c:pt idx="1">
                  <c:v>22.5</c:v>
                </c:pt>
                <c:pt idx="2">
                  <c:v>20</c:v>
                </c:pt>
                <c:pt idx="3">
                  <c:v>18.8</c:v>
                </c:pt>
                <c:pt idx="4">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-0.02</c:v>
                </c:pt>
                <c:pt idx="1">
                  <c:v>0.02</c:v>
                </c:pt>
                <c:pt idx="2">
                  <c:v>-0.19</c:v>
                </c:pt>
                <c:pt idx="3">
                  <c:v>-0.32</c:v>
                </c:pt>
                <c:pt idx="4">
                  <c:v>-0.28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551.2</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120.7</c:v>
                </c:pt>
                <c:pt idx="1">
                  <c:v>161</c:v>
                </c:pt>
                <c:pt idx="2">
                  <c:v>303.4</c:v>
                </c:pt>
                <c:pt idx="3">
                  <c:v>311</c:v>
                </c:pt>
                <c:pt idx="4">
                  <c:v>353.2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48.4</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Otro externo</c:v>
                </c:pt>
                <c:pt idx="2">
                  <c:v>Dominical</c:v>
                </c:pt>
                <c:pt idx="3">
                  <c:v>Independiente</c:v>
                </c:pt>
              </c:strCache>
            </c:strRef>
          </c:cat>
          <c:val>
            <c:numRef>
              <c:f>Hoja1!$B$2:$B$5</c:f>
              <c:numCache>
                <c:formatCode>0</c:formatCode>
                <c:ptCount val="4"/>
                <c:pt idx="0">
                  <c:v>3</c:v>
                </c:pt>
                <c:pt idx="1">
                  <c:v>3</c:v>
                </c:pt>
                <c:pt idx="2">
                  <c:v>1</c:v>
                </c:pt>
                <c:pt idx="3">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Double R S.r.l. (Remo Ruffini a través de Ruffini Partecipazioni Holding; LVMH tiene una parte minoritaria de Double R)</c:v>
                </c:pt>
                <c:pt idx="1">
                  <c:v>Remo Ruffini (directa)</c:v>
                </c:pt>
                <c:pt idx="2">
                  <c:v>Morgan Stanley Investment Management</c:v>
                </c:pt>
                <c:pt idx="3">
                  <c:v>Capital Research and Management</c:v>
                </c:pt>
                <c:pt idx="4">
                  <c:v>BlackRock</c:v>
                </c:pt>
                <c:pt idx="5">
                  <c:v>Temasek (Venezio Investments)</c:v>
                </c:pt>
                <c:pt idx="6">
                  <c:v>Autocartera</c:v>
                </c:pt>
              </c:strCache>
            </c:strRef>
          </c:cat>
          <c:val>
            <c:numRef>
              <c:f>Hoja1!$B$2:$B$8</c:f>
              <c:numCache>
                <c:formatCode>0.0"%"</c:formatCode>
                <c:ptCount val="7"/>
                <c:pt idx="0">
                  <c:v>18.23</c:v>
                </c:pt>
                <c:pt idx="1">
                  <c:v>0.11</c:v>
                </c:pt>
                <c:pt idx="2">
                  <c:v>8.58</c:v>
                </c:pt>
                <c:pt idx="3">
                  <c:v>5.21</c:v>
                </c:pt>
                <c:pt idx="4">
                  <c:v>5.14</c:v>
                </c:pt>
                <c:pt idx="5">
                  <c:v>4.51</c:v>
                </c:pt>
                <c:pt idx="6">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29.1</c:v>
                </c:pt>
                <c:pt idx="1">
                  <c:v>59.1</c:v>
                </c:pt>
                <c:pt idx="2">
                  <c:v>11.7</c:v>
                </c:pt>
                <c:pt idx="3">
                  <c:v>40.1</c:v>
                </c:pt>
                <c:pt idx="4">
                  <c:v>25.1</c:v>
                </c:pt>
                <c:pt idx="5">
                  <c:v>28.8</c:v>
                </c:pt>
                <c:pt idx="6">
                  <c:v>-21.6</c:v>
                </c:pt>
                <c:pt idx="7">
                  <c:v>14.5</c:v>
                </c:pt>
                <c:pt idx="8">
                  <c:v>-6.8</c:v>
                </c:pt>
                <c:pt idx="9">
                  <c:v>10.2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-10.2</c:v>
                </c:pt>
                <c:pt idx="1">
                  <c:v>13.6</c:v>
                </c:pt>
                <c:pt idx="2">
                  <c:v>-16.1</c:v>
                </c:pt>
                <c:pt idx="3">
                  <c:v>28.3</c:v>
                </c:pt>
                <c:pt idx="4">
                  <c:v>-5.4</c:v>
                </c:pt>
                <c:pt idx="5">
                  <c:v>23</c:v>
                </c:pt>
                <c:pt idx="6">
                  <c:v>-13.3</c:v>
                </c:pt>
                <c:pt idx="7">
                  <c:v>28</c:v>
                </c:pt>
                <c:pt idx="8">
                  <c:v>12.6</c:v>
                </c:pt>
                <c:pt idx="9">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1">
                  <c:v>20.1</c:v>
                </c:pt>
                <c:pt idx="2">
                  <c:v>12.9</c:v>
                </c:pt>
                <c:pt idx="3">
                  <c:v>12.5</c:v>
                </c:pt>
                <c:pt idx="4">
                  <c:v>11</c:v>
                </c:pt>
                <c:pt idx="5">
                  <c:v>11.6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12.1</c:v>
                </c:pt>
                <c:pt idx="1">
                  <c:v>12.1</c:v>
                </c:pt>
                <c:pt idx="2">
                  <c:v>12.1</c:v>
                </c:pt>
                <c:pt idx="3">
                  <c:v>12.1</c:v>
                </c:pt>
                <c:pt idx="4">
                  <c:v>12.1</c:v>
                </c:pt>
                <c:pt idx="5">
                  <c:v>12.1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Moncler</c:v>
                </c:pt>
                <c:pt idx="1">
                  <c:v>LVMH</c:v>
                </c:pt>
                <c:pt idx="2">
                  <c:v>Hermès</c:v>
                </c:pt>
                <c:pt idx="3">
                  <c:v>Richemont</c:v>
                </c:pt>
                <c:pt idx="4">
                  <c:v>Kering</c:v>
                </c:pt>
                <c:pt idx="5">
                  <c:v>Prada</c:v>
                </c:pt>
                <c:pt idx="6">
                  <c:v>Brunello Cucinelli</c:v>
                </c:pt>
              </c:strCache>
            </c:strRef>
          </c:cat>
          <c:val>
            <c:numRef>
              <c:f>Hoja1!$B$2:$B$8</c:f>
              <c:numCache>
                <c:formatCode>0.0"x"</c:formatCode>
                <c:ptCount val="7"/>
                <c:pt idx="0">
                  <c:v>8.6</c:v>
                </c:pt>
                <c:pt idx="1">
                  <c:v>8.7</c:v>
                </c:pt>
                <c:pt idx="2">
                  <c:v>16.5</c:v>
                </c:pt>
                <c:pt idx="3">
                  <c:v>13.4</c:v>
                </c:pt>
                <c:pt idx="4">
                  <c:v>8.5</c:v>
                </c:pt>
                <c:pt idx="5">
                  <c:v>6.6</c:v>
                </c:pt>
                <c:pt idx="6">
                  <c:v>13.4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Moncler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8.6</c:v>
                </c:pt>
              </c:numCache>
            </c:numRef>
          </c:yVal>
          <c:smooth val="0"/>
        </c:ser>
        <c:ser>
          <c:idx val="1"/>
          <c:order val="1"/>
          <c:tx>
            <c:strRef>
              <c:f>Hoja1!$A$3</c:f>
              <c:strCache>
                <c:ptCount val="1"/>
                <c:pt idx="0">
                  <c:v>LVMH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c:v>
                </c:pt>
              </c:numCache>
            </c:numRef>
          </c:xVal>
          <c:yVal>
            <c:numRef>
              <c:f>Hoja1!$C$3</c:f>
              <c:numCache>
                <c:formatCode>0.0"x"</c:formatCode>
                <c:ptCount val="1"/>
                <c:pt idx="0">
                  <c:v>8.7</c:v>
                </c:pt>
              </c:numCache>
            </c:numRef>
          </c:yVal>
          <c:smooth val="0"/>
        </c:ser>
        <c:ser>
          <c:idx val="2"/>
          <c:order val="2"/>
          <c:tx>
            <c:strRef>
              <c:f>Hoja1!$A$4</c:f>
              <c:strCache>
                <c:ptCount val="1"/>
                <c:pt idx="0">
                  <c:v>Hermès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5.7</c:v>
                </c:pt>
              </c:numCache>
            </c:numRef>
          </c:xVal>
          <c:yVal>
            <c:numRef>
              <c:f>Hoja1!$C$4</c:f>
              <c:numCache>
                <c:formatCode>0.0"x"</c:formatCode>
                <c:ptCount val="1"/>
                <c:pt idx="0">
                  <c:v>16.5</c:v>
                </c:pt>
              </c:numCache>
            </c:numRef>
          </c:yVal>
          <c:smooth val="0"/>
        </c:ser>
        <c:ser>
          <c:idx val="3"/>
          <c:order val="3"/>
          <c:tx>
            <c:strRef>
              <c:f>Hoja1!$A$5</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10.8</c:v>
                </c:pt>
              </c:numCache>
            </c:numRef>
          </c:xVal>
          <c:yVal>
            <c:numRef>
              <c:f>Hoja1!$C$5</c:f>
              <c:numCache>
                <c:formatCode>0.0"x"</c:formatCode>
                <c:ptCount val="1"/>
                <c:pt idx="0">
                  <c:v>13.4</c:v>
                </c:pt>
              </c:numCache>
            </c:numRef>
          </c:yVal>
          <c:smooth val="0"/>
        </c:ser>
        <c:ser>
          <c:idx val="4"/>
          <c:order val="4"/>
          <c:tx>
            <c:strRef>
              <c:f>Hoja1!$A$6</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2.3</c:v>
                </c:pt>
              </c:numCache>
            </c:numRef>
          </c:xVal>
          <c:yVal>
            <c:numRef>
              <c:f>Hoja1!$C$6</c:f>
              <c:numCache>
                <c:formatCode>0.0"x"</c:formatCode>
                <c:ptCount val="1"/>
                <c:pt idx="0">
                  <c:v>8.5</c:v>
                </c:pt>
              </c:numCache>
            </c:numRef>
          </c:yVal>
          <c:smooth val="0"/>
        </c:ser>
        <c:ser>
          <c:idx val="5"/>
          <c:order val="5"/>
          <c:tx>
            <c:strRef>
              <c:f>Hoja1!$A$7</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8.7</c:v>
                </c:pt>
              </c:numCache>
            </c:numRef>
          </c:xVal>
          <c:yVal>
            <c:numRef>
              <c:f>Hoja1!$C$7</c:f>
              <c:numCache>
                <c:formatCode>0.0"x"</c:formatCode>
                <c:ptCount val="1"/>
                <c:pt idx="0">
                  <c:v>6.6</c:v>
                </c:pt>
              </c:numCache>
            </c:numRef>
          </c:yVal>
          <c:smooth val="0"/>
        </c:ser>
        <c:ser>
          <c:idx val="6"/>
          <c:order val="6"/>
          <c:tx>
            <c:strRef>
              <c:f>Hoja1!$A$8</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10.5</c:v>
                </c:pt>
              </c:numCache>
            </c:numRef>
          </c:xVal>
          <c:yVal>
            <c:numRef>
              <c:f>Hoja1!$C$8</c:f>
              <c:numCache>
                <c:formatCode>0.0"x"</c:formatCode>
                <c:ptCount val="1"/>
                <c:pt idx="0">
                  <c:v>13.4</c:v>
                </c:pt>
              </c:numCache>
            </c:numRef>
          </c:yVal>
          <c:smooth val="0"/>
        </c:ser>
        <c:axId val="10"/>
        <c:axId val="20"/>
      </c:scatterChart>
      <c:valAx>
        <c:axId val="10"/>
        <c:scaling>
          <c:orientation val="minMax"/>
          <c:max val="1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Stone Island (Sportswear Company)</c:v>
                </c:pt>
                <c:pt idx="1">
                  <c:v>Tiffany &amp; Co.</c:v>
                </c:pt>
                <c:pt idx="2">
                  <c:v>Versace</c:v>
                </c:pt>
                <c:pt idx="3">
                  <c:v>Belmond</c:v>
                </c:pt>
                <c:pt idx="4">
                  <c:v>Capri Holdings (Michael Kors, Versace, Jimmy Choo)</c:v>
                </c:pt>
              </c:strCache>
            </c:strRef>
          </c:cat>
          <c:val>
            <c:numRef>
              <c:f>Hoja1!$B$2:$B$6</c:f>
              <c:numCache>
                <c:formatCode>0.0"x"</c:formatCode>
                <c:ptCount val="5"/>
                <c:pt idx="0">
                  <c:v>17.1</c:v>
                </c:pt>
                <c:pt idx="3">
                  <c:v>22.9</c:v>
                </c:pt>
                <c:pt idx="4">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564</c:v>
                </c:pt>
                <c:pt idx="1">
                  <c:v>588</c:v>
                </c:pt>
                <c:pt idx="2">
                  <c:v>628</c:v>
                </c:pt>
                <c:pt idx="3">
                  <c:v>689</c:v>
                </c:pt>
                <c:pt idx="4">
                  <c:v>731</c:v>
                </c:pt>
                <c:pt idx="5">
                  <c:v>788</c:v>
                </c:pt>
                <c:pt idx="6">
                  <c:v>825</c:v>
                </c:pt>
                <c:pt idx="7">
                  <c:v>860</c:v>
                </c:pt>
                <c:pt idx="8">
                  <c:v>892</c:v>
                </c:pt>
                <c:pt idx="9">
                  <c:v>921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4663</c:v>
                </c:pt>
                <c:pt idx="1">
                  <c:v>6367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42,94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28.4</c:v>
                </c:pt>
                <c:pt idx="1">
                  <c:v>40.3</c:v>
                </c:pt>
                <c:pt idx="2">
                  <c:v>49.97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42,94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(42,10 – 59,40)</c:v>
                </c:pt>
                <c:pt idx="1">
                  <c:v>Precio objetivo de los analistas (46,60 – 70,00)</c:v>
                </c:pt>
                <c:pt idx="2">
                  <c:v>Comparables: EV/EBITDA NTM (42,51 – 66,80)</c:v>
                </c:pt>
                <c:pt idx="3">
                  <c:v>Comparables: PER NTM (45,80 – 70,62)</c:v>
                </c:pt>
                <c:pt idx="4">
                  <c:v>Transacciones precedentes (EV/ventas) (32,05 – 50,40)</c:v>
                </c:pt>
                <c:pt idx="5">
                  <c:v>DCF (WACC y g ± 0,5) (35,95 – 46,14)</c:v>
                </c:pt>
                <c:pt idx="6">
                  <c:v>Escenarios (bajista – alcista) (28,40 – 49,97)</c:v>
                </c:pt>
                <c:pt idx="7">
                  <c:v>DCF con la prima implícita del mercado (4,2 %)</c:v>
                </c:pt>
                <c:pt idx="8">
                  <c:v>Precio actual (42,94)</c:v>
                </c:pt>
              </c:strCache>
            </c:strRef>
          </c:cat>
          <c:val>
            <c:numRef>
              <c:f>Hoja1!$B$2:$B$10</c:f>
              <c:numCache>
                <c:formatCode>#,##0.0</c:formatCode>
                <c:ptCount val="9"/>
                <c:pt idx="0">
                  <c:v>42.1</c:v>
                </c:pt>
                <c:pt idx="1">
                  <c:v>46.6</c:v>
                </c:pt>
                <c:pt idx="2">
                  <c:v>42.51</c:v>
                </c:pt>
                <c:pt idx="3">
                  <c:v>45.8</c:v>
                </c:pt>
                <c:pt idx="4">
                  <c:v>32.05</c:v>
                </c:pt>
                <c:pt idx="5">
                  <c:v>35.95</c:v>
                </c:pt>
                <c:pt idx="6">
                  <c:v>28.4</c:v>
                </c:pt>
                <c:pt idx="7">
                  <c:v>46.43</c:v>
                </c:pt>
                <c:pt idx="8">
                  <c:v>42.73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(42,10 – 59,40)</c:v>
                </c:pt>
                <c:pt idx="1">
                  <c:v>Precio objetivo de los analistas (46,60 – 70,00)</c:v>
                </c:pt>
                <c:pt idx="2">
                  <c:v>Comparables: EV/EBITDA NTM (42,51 – 66,80)</c:v>
                </c:pt>
                <c:pt idx="3">
                  <c:v>Comparables: PER NTM (45,80 – 70,62)</c:v>
                </c:pt>
                <c:pt idx="4">
                  <c:v>Transacciones precedentes (EV/ventas) (32,05 – 50,40)</c:v>
                </c:pt>
                <c:pt idx="5">
                  <c:v>DCF (WACC y g ± 0,5) (35,95 – 46,14)</c:v>
                </c:pt>
                <c:pt idx="6">
                  <c:v>Escenarios (bajista – alcista) (28,40 – 49,97)</c:v>
                </c:pt>
                <c:pt idx="7">
                  <c:v>DCF con la prima implícita del mercado (4,2 %)</c:v>
                </c:pt>
                <c:pt idx="8">
                  <c:v>Precio actual (42,94)</c:v>
                </c:pt>
              </c:strCache>
            </c:strRef>
          </c:cat>
          <c:val>
            <c:numRef>
              <c:f>Hoja1!$C$2:$C$10</c:f>
              <c:numCache>
                <c:formatCode>#,##0.0</c:formatCode>
                <c:ptCount val="9"/>
                <c:pt idx="0">
                  <c:v>17.299999999999997</c:v>
                </c:pt>
                <c:pt idx="1">
                  <c:v>23.4</c:v>
                </c:pt>
                <c:pt idx="2">
                  <c:v>24.29</c:v>
                </c:pt>
                <c:pt idx="3">
                  <c:v>24.820000000000007</c:v>
                </c:pt>
                <c:pt idx="4">
                  <c:v>18.35</c:v>
                </c:pt>
                <c:pt idx="5">
                  <c:v>10.189999999999998</c:v>
                </c:pt>
                <c:pt idx="6">
                  <c:v>21.57</c:v>
                </c:pt>
                <c:pt idx="7">
                  <c:v>9.939999999999998</c:v>
                </c:pt>
                <c:pt idx="8">
                  <c:v>0.4200000000000017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