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EURn.d.</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30,82 EURn.d.</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+0,2 %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Valor objetivo: </w:t>
      </w:r>
      <w:r>
        <w:rPr>
          <w:b/>
          <w:bCs/>
        </w:rPr>
        <w:t xml:space="preserve">30,82 EURn.d.</w:t>
      </w:r>
      <w:r>
        <w:t xml:space="preserve"> (-1,8 % sobre 31,40; rentabilidad total esperada +0,2 %)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30,82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 / -40,2 %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 regla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27,29 (rentabilidad total esperada ≥ 15 %), si la asimetría sigue siendo favorable</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27,29 y 35,05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35,05 (rentabilidad total esperada ≤ −10 %)</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spacing w:after="100"/>
      </w:pPr>
      <w:r>
        <w:rPr>
          <w:b/>
          <w:bCs/>
        </w:rPr>
        <w:t xml:space="preserve">Lo que descuenta el precio.</w:t>
      </w:r>
    </w:p>
    <w:p>
      <w:pPr>
        <w:spacing w:after="100"/>
      </w:pPr>
      <w:r>
        <w:t xml:space="preserve">Un crecimiento de ingresos en torno al 6 % anual y márgenes estables, en línea con el consenso [16][17].</w:t>
      </w:r>
    </w:p>
    <w:p>
      <w:pPr>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 de 12</w:t>
            </w: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 de 12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spacing w:after="100"/>
      </w:pPr>
      <w:r>
        <w:rPr>
          <w:b/>
          <w:bCs/>
        </w:rPr>
        <w:t xml:space="preserve">Márgenes.</w:t>
      </w:r>
    </w:p>
    <w:p>
      <w:pPr>
        <w:spacing w:after="100"/>
      </w:pPr>
      <w:r>
        <w:t xml:space="preserve">El margen sube hasta el 16,8 %, por debajo del objetivo del plan (17 %) [8], por la presión en transformadores [26].</w:t>
      </w:r>
    </w:p>
    <w:p>
      <w:pPr>
        <w:spacing w:after="100"/>
      </w:pPr>
      <w:r>
        <w:rPr>
          <w:b/>
          <w:bCs/>
        </w:rPr>
        <w:t xml:space="preserve">Inversión y circulante.</w:t>
      </w:r>
    </w:p>
    <w:p>
      <w:pPr>
        <w:spacing w:after="100"/>
      </w:pPr>
      <w:r>
        <w:t xml:space="preserve">Capex del 5 % por el plan de capacidad hasta 2028 y del 4,5 % después, por encima de la amortización (4,3 %) [8].</w:t>
      </w:r>
    </w:p>
    <w:p>
      <w:pPr>
        <w:spacing w:after="100"/>
      </w:pPr>
      <w:r>
        <w:rPr>
          <w:b/>
          <w:bCs/>
        </w:rPr>
        <w:t xml:space="preserve">Coste del capital.</w:t>
      </w:r>
    </w:p>
    <w:p>
      <w:pPr>
        <w:spacing w:after="100"/>
      </w:pPr>
      <w:r>
        <w:t xml:space="preserve">Bono español a 10 años del 3,2 % [15], beta ajustada de 1,05 y prima de mercado del 5,5 %, más 0,5 puntos por tamaño [15].</w:t>
      </w:r>
    </w:p>
    <w:p>
      <w:pPr>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8,46 %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5.871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5.048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4.418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27,61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36,44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26,32</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30,62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34,19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35,44</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18,2 %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7,8 %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18,79</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34,60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26,80 EUR (-14,6 %).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36,20 – 44,67.</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objetivo ponderado:</w:t>
      </w:r>
      <w:r>
        <w:t xml:space="preserve"> 30,82 EUR (-1,8 % sobre 31,40).</w:t>
      </w:r>
    </w:p>
    <w:p>
      <w:pPr>
        <w:spacing w:after="100"/>
      </w:pPr>
      <w:r>
        <w:t xml:space="preserve">El DCF pesa la mitad porque el negocio es predecible y regulado en redes. Las transacciones pesan poco: con la familia en el 28 %, una operación de control no es probable [9].</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14 controles correctos. Fuentes: 26 (15 primarias); citas distintas en el texto: 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70 %.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98,3 %</w:t>
      </w:r>
      <w:r>
        <w:t xml:space="preserve"> · Secciones con menos del 60 % de campos cubiertos: </w:t>
      </w:r>
      <w:r>
        <w:rPr>
          <w:b/>
          <w:bCs/>
        </w:rPr>
        <w:t xml:space="preserve">ninguna</w:t>
      </w:r>
      <w:r>
        <w:t xml:space="preserve"> · Generado el 6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IywjIzAuMDA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"/>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(24,24 – 35,26)</c:v>
                </c:pt>
                <c:pt idx="5">
                  <c:v>DCF (WACC y g ± 0,5) (23,88 – 32,70)</c:v>
                </c:pt>
                <c:pt idx="6">
                  <c:v>Escenarios (bajista – alcista) (18,79 – 34,60)</c:v>
                </c:pt>
                <c:pt idx="7">
                  <c:v>Suma de partes (36,20 – 44,67)</c:v>
                </c:pt>
                <c:pt idx="8">
                  <c:v>Precio actual (31,40)</c:v>
                </c:pt>
              </c:strCache>
            </c:strRef>
          </c:cat>
          <c:val>
            <c:numRef>
              <c:f>Hoja1!$B$2:$B$10</c:f>
              <c:numCache>
                <c:formatCode>#,##0.00</c:formatCode>
                <c:ptCount val="9"/>
                <c:pt idx="0">
                  <c:v>24.1</c:v>
                </c:pt>
                <c:pt idx="1">
                  <c:v>27</c:v>
                </c:pt>
                <c:pt idx="2">
                  <c:v>29.06</c:v>
                </c:pt>
                <c:pt idx="3">
                  <c:v>29.92</c:v>
                </c:pt>
                <c:pt idx="4">
                  <c:v>24.24</c:v>
                </c:pt>
                <c:pt idx="5">
                  <c:v>23.88</c:v>
                </c:pt>
                <c:pt idx="6">
                  <c:v>18.79</c:v>
                </c:pt>
                <c:pt idx="7">
                  <c:v>36.2</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(24,24 – 35,26)</c:v>
                </c:pt>
                <c:pt idx="5">
                  <c:v>DCF (WACC y g ± 0,5) (23,88 – 32,70)</c:v>
                </c:pt>
                <c:pt idx="6">
                  <c:v>Escenarios (bajista – alcista) (18,79 – 34,60)</c:v>
                </c:pt>
                <c:pt idx="7">
                  <c:v>Suma de partes (36,20 – 44,67)</c:v>
                </c:pt>
                <c:pt idx="8">
                  <c:v>Precio actual (31,40)</c:v>
                </c:pt>
              </c:strCache>
            </c:strRef>
          </c:cat>
          <c:val>
            <c:numRef>
              <c:f>Hoja1!$C$2:$C$10</c:f>
              <c:numCache>
                <c:formatCode>#,##0.00</c:formatCode>
                <c:ptCount val="9"/>
                <c:pt idx="0">
                  <c:v>9.799999999999997</c:v>
                </c:pt>
                <c:pt idx="1">
                  <c:v>13</c:v>
                </c:pt>
                <c:pt idx="2">
                  <c:v>9.2</c:v>
                </c:pt>
                <c:pt idx="3">
                  <c:v>8.850000000000001</c:v>
                </c:pt>
                <c:pt idx="4">
                  <c:v>11.02</c:v>
                </c:pt>
                <c:pt idx="5">
                  <c:v>8.820000000000004</c:v>
                </c:pt>
                <c:pt idx="6">
                  <c:v>15.810000000000002</c:v>
                </c:pt>
                <c:pt idx="7">
                  <c:v>8.469999999999999</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13</c:v>
                </c:pt>
                <c:pt idx="1">
                  <c:v>13</c:v>
                </c:pt>
                <c:pt idx="2">
                  <c:v>13</c:v>
                </c:pt>
                <c:pt idx="3">
                  <c:v>13</c:v>
                </c:pt>
                <c:pt idx="4">
                  <c:v>13</c:v>
                </c:pt>
                <c:pt idx="5">
                  <c:v>13</c:v>
                </c:pt>
                <c:pt idx="6">
                  <c:v>13</c:v>
                </c:pt>
                <c:pt idx="7">
                  <c:v>13</c:v>
                </c:pt>
                <c:pt idx="8">
                  <c:v>13</c:v>
                </c:pt>
                <c:pt idx="9">
                  <c:v>13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1510</c:v>
                </c:pt>
                <c:pt idx="1">
                  <c:v>3538</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18.79</c:v>
                </c:pt>
                <c:pt idx="1">
                  <c:v>27.61</c:v>
                </c:pt>
                <c:pt idx="2">
                  <c:v>34.6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(24,24 – 35,26)</c:v>
                </c:pt>
                <c:pt idx="5">
                  <c:v>DCF (WACC y g ± 0,5) (23,88 – 32,70)</c:v>
                </c:pt>
                <c:pt idx="6">
                  <c:v>Escenarios (bajista – alcista) (18,79 – 34,60)</c:v>
                </c:pt>
                <c:pt idx="7">
                  <c:v>Suma de partes (36,20 – 44,67)</c:v>
                </c:pt>
                <c:pt idx="8">
                  <c:v>Precio actual (31,40)</c:v>
                </c:pt>
              </c:strCache>
            </c:strRef>
          </c:cat>
          <c:val>
            <c:numRef>
              <c:f>Hoja1!$B$2:$B$10</c:f>
              <c:numCache>
                <c:formatCode>#,##0.00</c:formatCode>
                <c:ptCount val="9"/>
                <c:pt idx="0">
                  <c:v>24.1</c:v>
                </c:pt>
                <c:pt idx="1">
                  <c:v>27</c:v>
                </c:pt>
                <c:pt idx="2">
                  <c:v>29.06</c:v>
                </c:pt>
                <c:pt idx="3">
                  <c:v>29.92</c:v>
                </c:pt>
                <c:pt idx="4">
                  <c:v>24.24</c:v>
                </c:pt>
                <c:pt idx="5">
                  <c:v>23.88</c:v>
                </c:pt>
                <c:pt idx="6">
                  <c:v>18.79</c:v>
                </c:pt>
                <c:pt idx="7">
                  <c:v>36.2</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(24,24 – 35,26)</c:v>
                </c:pt>
                <c:pt idx="5">
                  <c:v>DCF (WACC y g ± 0,5) (23,88 – 32,70)</c:v>
                </c:pt>
                <c:pt idx="6">
                  <c:v>Escenarios (bajista – alcista) (18,79 – 34,60)</c:v>
                </c:pt>
                <c:pt idx="7">
                  <c:v>Suma de partes (36,20 – 44,67)</c:v>
                </c:pt>
                <c:pt idx="8">
                  <c:v>Precio actual (31,40)</c:v>
                </c:pt>
              </c:strCache>
            </c:strRef>
          </c:cat>
          <c:val>
            <c:numRef>
              <c:f>Hoja1!$C$2:$C$10</c:f>
              <c:numCache>
                <c:formatCode>#,##0.00</c:formatCode>
                <c:ptCount val="9"/>
                <c:pt idx="0">
                  <c:v>9.799999999999997</c:v>
                </c:pt>
                <c:pt idx="1">
                  <c:v>13</c:v>
                </c:pt>
                <c:pt idx="2">
                  <c:v>9.2</c:v>
                </c:pt>
                <c:pt idx="3">
                  <c:v>8.850000000000001</c:v>
                </c:pt>
                <c:pt idx="4">
                  <c:v>11.02</c:v>
                </c:pt>
                <c:pt idx="5">
                  <c:v>8.820000000000004</c:v>
                </c:pt>
                <c:pt idx="6">
                  <c:v>15.810000000000002</c:v>
                </c:pt>
                <c:pt idx="7">
                  <c:v>8.469999999999999</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2026-10-06T19:21:58.944Z</dcterms:created>
  <dcterms:modified xsi:type="dcterms:W3CDTF">2026-10-06T19:21:58.945Z</dcterms:modified>
</cp:coreProperties>
</file>

<file path=docProps/custom.xml><?xml version="1.0" encoding="utf-8"?>
<Properties xmlns="http://schemas.openxmlformats.org/officeDocument/2006/custom-properties" xmlns:vt="http://schemas.openxmlformats.org/officeDocument/2006/docPropsVTypes"/>
</file>