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b/>
          <w:bCs/>
          <w:color w:val="2A78D6"/>
          <w:spacing w:val="40"/>
          <w:sz w:val="18"/>
          <w:szCs w:val="18"/>
        </w:rPr>
        <w:t xml:space="preserve">ANÁLISIS DE ETF</w:t>
      </w:r>
    </w:p>
    <w:p>
      <w:pPr>
        <w:pStyle w:val="Title"/>
      </w:pPr>
      <w:r>
        <w:t xml:space="preserve">Ejemplo Renta Variable Global UCITS ETF (Acc)</w:t>
      </w:r>
    </w:p>
    <w:p>
      <w:pPr>
        <w:spacing w:after="60"/>
        <w:rPr>
          <w:color w:val="52514E"/>
          <w:sz w:val="22"/>
          <w:szCs w:val="22"/>
        </w:rPr>
      </w:pPr>
      <w:r>
        <w:rPr>
          <w:color w:val="52514E"/>
          <w:sz w:val="22"/>
          <w:szCs w:val="22"/>
        </w:rPr>
        <w:t xml:space="preserve">ISIN IE0000000000 · EJGL · Gestora Ejemplo · Renta variable</w:t>
      </w:r>
    </w:p>
    <w:p>
      <w:pPr>
        <w:spacing w:after="360"/>
        <w:rPr>
          <w:color w:val="52514E"/>
          <w:sz w:val="18"/>
          <w:szCs w:val="18"/>
        </w:rPr>
      </w:pPr>
      <w:r>
        <w:rPr>
          <w:color w:val="52514E"/>
          <w:sz w:val="18"/>
          <w:szCs w:val="18"/>
        </w:rPr>
        <w:t xml:space="preserve">Fecha de corte de los datos: </w:t>
      </w:r>
      <w:r>
        <w:rPr>
          <w:b/>
          <w:bCs/>
          <w:color w:val="52514E"/>
          <w:sz w:val="18"/>
          <w:szCs w:val="18"/>
        </w:rPr>
        <w:t xml:space="preserve">6 oct 2026</w:t>
      </w:r>
      <w:r>
        <w:rPr>
          <w:color w:val="52514E"/>
          <w:sz w:val="18"/>
          <w:szCs w:val="18"/>
        </w:rPr>
        <w:t xml:space="preserve"> · Divisa: </w:t>
      </w:r>
      <w:r>
        <w:rPr>
          <w:b/>
          <w:bCs/>
          <w:color w:val="52514E"/>
          <w:sz w:val="18"/>
          <w:szCs w:val="18"/>
        </w:rPr>
        <w:t xml:space="preserve">EUR</w:t>
      </w:r>
      <w:r>
        <w:rPr>
          <w:color w:val="52514E"/>
          <w:sz w:val="18"/>
          <w:szCs w:val="18"/>
        </w:rPr>
        <w:t xml:space="preserve"> · Cifras en </w:t>
      </w:r>
      <w:r>
        <w:rPr>
          <w:b/>
          <w:bCs/>
          <w:color w:val="52514E"/>
          <w:sz w:val="18"/>
          <w:szCs w:val="18"/>
        </w:rPr>
        <w:t xml:space="preserve">millones (patrimonio y flujos)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Conclusión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Atractivo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Coste total (TER)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0,20 %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Patrimonio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9.400 M EUR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Diferencia de seguimiento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+0,05 %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Rentabilidad 5 años (anual.)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12,1 %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Volatilidad 3 años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13,2 %</w:t>
            </w:r>
          </w:p>
        </w:tc>
        <w:tc>
          <w:tcPr>
            <w:tcW w:type="dxa" w:w="2409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Posiciones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1.312</w:t>
            </w:r>
          </w:p>
        </w:tc>
        <w:tc>
          <w:tcPr>
            <w:tcW w:type="dxa" w:w="2411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3F2EE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52514E"/>
                <w:sz w:val="15"/>
                <w:szCs w:val="15"/>
              </w:rPr>
              <w:t xml:space="preserve">Peso de las 10 primeras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26"/>
                <w:szCs w:val="26"/>
              </w:rPr>
              <w:t xml:space="preserve">24,1 %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Nombre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Ejemplo Renta Variable Global UCITS ETF (Acc)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ISIN / ticker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IE0000000000 / EJGL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Gestora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Gestora Ejemplo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Domicilio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Irlanda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Fecha de lanzamiento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14 may 2012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UCITS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Divisa del fondo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USD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Cobertura de divisa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Política de rentas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Acumulación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Método de réplica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Física (optimizada)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Clase de activo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Renta variable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Categoría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RV global gran capitalización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Bolsas y divisas de cotización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Xetra (EUR), Euronext Ámsterdam (EUR), LSE (USD)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Indicador de riesgo (SRI)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4 / 7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Resumen ejecutivo</w:t>
      </w:r>
    </w:p>
    <w:p>
      <w:pPr>
        <w:pStyle w:val="Confianza"/>
        <w:spacing w:after="100"/>
      </w:pPr>
      <w:r>
        <w:t xml:space="preserve">Confianza: Alta</w:t>
      </w:r>
    </w:p>
    <w:p>
      <w:pPr>
        <w:spacing w:after="100"/>
      </w:pPr>
      <w:r>
        <w:rPr>
          <w:b/>
          <w:bCs/>
        </w:rPr>
        <w:t xml:space="preserve">Conclusión:</w:t>
      </w:r>
      <w:r>
        <w:t xml:space="preserve"> Atractivo · </w:t>
      </w:r>
      <w:r>
        <w:rPr>
          <w:b/>
          <w:bCs/>
        </w:rPr>
        <w:t xml:space="preserve">Para quién:</w:t>
      </w:r>
      <w:r>
        <w:t xml:space="preserve"> Núcleo de cartera de renta variable a largo plazo</w:t>
      </w:r>
    </w:p>
    <w:p>
      <w:pPr>
        <w:spacing w:after="100"/>
      </w:pPr>
      <w:r>
        <w:t xml:space="preserve">Réplica barata y fiel del índice global de gran y mediana capitalización: </w:t>
      </w:r>
      <w:r>
        <w:rPr>
          <w:b/>
        </w:rPr>
        <w:t xml:space="preserve">TER del 0,20 %</w:t>
      </w:r>
      <w:r>
        <w:t xml:space="preserve"> y diferencia de seguimiento media de </w:t>
      </w:r>
      <w:r>
        <w:rPr>
          <w:b/>
        </w:rPr>
        <w:t xml:space="preserve">+0,05 puntos</w:t>
      </w:r>
      <w:r>
        <w:t xml:space="preserve"> al año, gracias al préstamo de valores [1][2]. Es el tercer ETF más grande de su índice en Europa, con horquillas por debajo de 0,05 %.</w:t>
      </w:r>
    </w:p>
    <w:p>
      <w:pPr>
        <w:spacing w:after="100"/>
      </w:pPr>
      <w:r>
        <w:t xml:space="preserve">La contrapartida es la concentración: Estados Unidos pesa el 71 % y las diez primeras posiciones, el 24 %.</w:t>
      </w:r>
    </w:p>
    <w:p>
      <w:pPr>
        <w:pStyle w:val="Heading2"/>
      </w:pPr>
      <w:r>
        <w:t xml:space="preserve">Puntos fuertes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Coste</w:t>
      </w:r>
      <w:r>
        <w:t xml:space="preserve">: 0,20 % de TER, en la mitad baja de su categoría [1].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Seguimiento</w:t>
      </w:r>
      <w:r>
        <w:t xml:space="preserve">: supera al índice en 4 de los últimos 5 años [2].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Liquidez</w:t>
      </w:r>
      <w:r>
        <w:t xml:space="preserve">: 9.400 M de patrimonio y horquilla media de 0,04 % [3].</w:t>
      </w:r>
    </w:p>
    <w:p>
      <w:pPr>
        <w:pStyle w:val="Heading2"/>
      </w:pPr>
      <w:r>
        <w:t xml:space="preserve">Puntos débiles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Concentración</w:t>
      </w:r>
      <w:r>
        <w:t xml:space="preserve"> en Estados Unidos (71 %) y en tecnología (27 %).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Existen alternativas sobre el mismo índice con TER de 0,12 % [4].</w:t>
      </w:r>
    </w:p>
    <w:p>
      <w:pPr>
        <w:pStyle w:val="Heading1"/>
      </w:pPr>
      <w:r>
        <w:t xml:space="preserve">1. Objetivo e índice de referencia</w:t>
      </w:r>
    </w:p>
    <w:p>
      <w:pPr>
        <w:pStyle w:val="Confianza"/>
        <w:spacing w:after="100"/>
      </w:pPr>
      <w:r>
        <w:t xml:space="preserve">Confianza: Alta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Índice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Índice Global Ejemplo (rentabilidad neta)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Proveedor del índice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Proveedor de índices Ejemplo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Método de ponderación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Capitalización ajustada por free float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Rebalanceo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Trimestral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Componentes del índice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1.430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Tipo de rentabilidad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Neta (dividendos reinvertidos tras retención)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Recoge el 85 % de la capitalización ajustada por free float de 23 mercados desarrollados. Las acciones entran por tamaño y liquidez, con bandas para reducir la rotación.</w:t>
      </w:r>
    </w:p>
    <w:p>
      <w:pPr>
        <w:pStyle w:val="Heading2"/>
      </w:pPr>
      <w:r>
        <w:t xml:space="preserve">Qué deja fuera el índice</w:t>
      </w:r>
    </w:p>
    <w:p>
      <w:pPr>
        <w:spacing w:after="100"/>
      </w:pPr>
      <w:r>
        <w:t xml:space="preserve">No incluye mercados emergentes ni pequeñas compañías (el 15 % inferior de cada mercado).</w:t>
      </w:r>
    </w:p>
    <w:p>
      <w:pPr>
        <w:pStyle w:val="Heading1"/>
      </w:pPr>
      <w:r>
        <w:t xml:space="preserve">2. Costes</w:t>
      </w:r>
    </w:p>
    <w:p>
      <w:pPr>
        <w:pStyle w:val="Confianza"/>
        <w:spacing w:after="100"/>
      </w:pPr>
      <w:r>
        <w:t xml:space="preserve">Confianza: Alta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3"/>
        <w:gridCol w:w="1521"/>
        <w:gridCol w:w="5074"/>
      </w:tblGrid>
      <w:tr>
        <w:trPr>
          <w:cantSplit/>
          <w:tblHeader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Partida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5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Gastos corrientes (TER)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0,20 %</w:t>
            </w:r>
          </w:p>
        </w:tc>
        <w:tc>
          <w:tcPr>
            <w:tcW w:type="dxa" w:w="50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Cargo anual dentro del precio.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Costes de transacción de la cartera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0,01 %</w:t>
            </w:r>
          </w:p>
        </w:tc>
        <w:tc>
          <w:tcPr>
            <w:tcW w:type="dxa" w:w="50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Según el KID.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Ingresos por préstamo de valores (al fondo)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+0,03 %</w:t>
            </w:r>
          </w:p>
        </w:tc>
        <w:tc>
          <w:tcPr>
            <w:tcW w:type="dxa" w:w="50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El fondo se queda el 80 %; la gestora, el 20 %.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Horquilla media en Xetra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0,04 %</w:t>
            </w:r>
          </w:p>
        </w:tc>
        <w:tc>
          <w:tcPr>
            <w:tcW w:type="dxa" w:w="50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Coste de entrada y salida para el inversor.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Coste total estimado (1 año)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≈ 0,22 %</w:t>
            </w:r>
          </w:p>
        </w:tc>
        <w:tc>
          <w:tcPr>
            <w:tcW w:type="dxa" w:w="507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TER + transacción + media horquilla − préstamo.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El coste efectivo (diferencia de seguimiento) es mejor que el TER porque el préstamo de valores y la eficiencia fiscal en dividendos compensan parte del gasto.</w:t>
      </w:r>
    </w:p>
    <w:p>
      <w:pPr>
        <w:pStyle w:val="Heading1"/>
      </w:pPr>
      <w:r>
        <w:t xml:space="preserve">3. Tamaño y liquidez</w:t>
      </w:r>
    </w:p>
    <w:p>
      <w:pPr>
        <w:pStyle w:val="Confianza"/>
        <w:spacing w:after="100"/>
      </w:pPr>
      <w:r>
        <w:t xml:space="preserve">Confianza: Alta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Patrimonio (fecha)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9.400 M EUR (30 sep 2026)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Patrimonio de la clase / del fondo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9.400 M (clase única)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Flujos netos 12 meses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1.150 M EUR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Volumen medio diario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≈ 38 M EUR (todas las bolsas)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Horquilla media (spread)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0,04 %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Creadores de mercado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6 participantes autorizados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160000"/>
            <wp:effectExtent l="0" t="0" r="0" b="0"/>
            <wp:docPr id="1001" name="Gráfico 1" descr="Patrimonio a cierre de año (EUR, millones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1"/>
              </a:graphicData>
            </a:graphic>
          </wp:inline>
        </w:drawing>
      </w:r>
    </w:p>
    <w:p>
      <w:pPr>
        <w:spacing w:after="100"/>
      </w:pPr>
      <w:r>
        <w:t xml:space="preserve">Tamaño holgado: el riesgo de cierre o fusión es muy bajo.</w:t>
      </w:r>
    </w:p>
    <w:p>
      <w:pPr>
        <w:pStyle w:val="Heading1"/>
      </w:pPr>
      <w:r>
        <w:t xml:space="preserve">4. Réplica y calidad del seguimiento</w:t>
      </w:r>
    </w:p>
    <w:p>
      <w:pPr>
        <w:pStyle w:val="Confianza"/>
        <w:spacing w:after="100"/>
      </w:pPr>
      <w:r>
        <w:t xml:space="preserve">Confianza: Alta</w:t>
      </w:r>
    </w:p>
    <w:p>
      <w:pPr>
        <w:spacing w:after="100"/>
      </w:pPr>
      <w:r>
        <w:t xml:space="preserve">Réplica física optimizada: compra unas 1.300 de las 1.430 acciones del índice y deja fuera las más pequeñas e ilíquidas.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ETF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Índice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Diferencia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2021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+31,10 %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+31,07 %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+0,03 %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2022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-12,70 %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-12,78 %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+0,08 %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2023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+19,62 %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+19,60 %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+0,02 %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2024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+26,60 %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+26,60 %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0,00 %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2025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+6,85 %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+6,73 %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+0,12 %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160000"/>
            <wp:effectExtent l="0" t="0" r="0" b="0"/>
            <wp:docPr id="1002" name="Gráfico 2" descr="Diferencia de seguimiento anual: ETF menos índice (puntos %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2"/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Diferencia media anual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+0,05 %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Error de seguimiento (1 año)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0,06 %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Préstamo de valores y contrapartes</w:t>
      </w:r>
    </w:p>
    <w:p>
      <w:pPr>
        <w:spacing w:after="100"/>
      </w:pPr>
      <w:r>
        <w:t xml:space="preserve">Presta hasta el 50 % de la cartera (media del 9 % en 12 meses) con garantía del 105 % en deuda pública y acciones de índices principales. El agente es un banco custodio de primer nivel.</w:t>
      </w:r>
    </w:p>
    <w:p>
      <w:pPr>
        <w:pStyle w:val="Heading1"/>
      </w:pPr>
      <w:r>
        <w:t xml:space="preserve">5. Composición de la cartera</w:t>
      </w:r>
    </w:p>
    <w:p>
      <w:pPr>
        <w:pStyle w:val="Confianza"/>
        <w:spacing w:after="100"/>
      </w:pPr>
      <w:r>
        <w:t xml:space="preserve">Confianza: Alta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Número de posiciones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1.312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Peso de las 10 primeras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24,1 %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Fecha de la cartera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30 sep 2026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Mayor posición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Empresa tecnológica A (4,9 %)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"/>
        <w:gridCol w:w="3804"/>
        <w:gridCol w:w="1268"/>
        <w:gridCol w:w="2536"/>
        <w:gridCol w:w="1523"/>
      </w:tblGrid>
      <w:tr>
        <w:trPr>
          <w:cantSplit/>
          <w:tblHeader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Posición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Sector / tipo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País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Empresa tecnológica A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4,90 %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Tecnología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Empresa tecnológica B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4,40 %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Tecnología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Empresa tecnológica C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3,90 %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Tecnología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4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Comercio electrónico D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2,60 %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Consumo discrecional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5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Plataforma social E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1,80 %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Comunicaciones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6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Buscador F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1,60 %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Comunicaciones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7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Semiconductores G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1,40 %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Tecnología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8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Automóviles H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1,20 %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Consumo discrecional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9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Banco I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1,20 %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Financiero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</w:t>
            </w:r>
          </w:p>
        </w:tc>
      </w:tr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10</w:t>
            </w:r>
          </w:p>
        </w:tc>
        <w:tc>
          <w:tcPr>
            <w:tcW w:type="dxa" w:w="3804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Farmacéutica J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1,10 %</w:t>
            </w:r>
          </w:p>
        </w:tc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Salud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880000"/>
            <wp:effectExtent l="0" t="0" r="0" b="0"/>
            <wp:docPr id="1003" name="Gráfico 3" descr="Diez primeras posiciones (% de la cartera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3"/>
              </a:graphicData>
            </a:graphic>
          </wp:inline>
        </w:drawing>
      </w:r>
    </w:p>
    <w:p>
      <w:pPr>
        <w:spacing w:after="100"/>
      </w:pPr>
      <w:r>
        <w:t xml:space="preserve">Las diez primeras son todas estadounidenses y suman el 24 %, el doble que hace diez años. Una corrección del sector tecnológico pesaría más que en ningún momento de la historia del índice.</w:t>
      </w:r>
    </w:p>
    <w:p>
      <w:pPr>
        <w:pStyle w:val="Heading1"/>
      </w:pPr>
      <w:r>
        <w:t xml:space="preserve">6. Exposiciones</w:t>
      </w:r>
    </w:p>
    <w:p>
      <w:pPr>
        <w:pStyle w:val="Confianza"/>
        <w:spacing w:after="100"/>
      </w:pPr>
      <w:r>
        <w:t xml:space="preserve">Confianza: Alta</w:t>
      </w: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700000"/>
            <wp:effectExtent l="0" t="0" r="0" b="0"/>
            <wp:docPr id="1004" name="Gráfico 4" descr="Exposición por sector (% de la cartera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4"/>
              </a:graphicData>
            </a:graphic>
          </wp:inline>
        </w:drawing>
      </w: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520000"/>
            <wp:effectExtent l="0" t="0" r="0" b="0"/>
            <wp:docPr id="1005" name="Gráfico 5" descr="Exposición geográfica (% de la cartera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5"/>
              </a:graphicData>
            </a:graphic>
          </wp:inline>
        </w:drawing>
      </w: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340000"/>
            <wp:effectExtent l="0" t="0" r="0" b="0"/>
            <wp:docPr id="1006" name="Gráfico 6" descr="Exposición por divisa (% de la cartera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6"/>
              </a:graphicData>
            </a:graphic>
          </wp:inline>
        </w:drawing>
      </w: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160000"/>
            <wp:effectExtent l="0" t="0" r="0" b="0"/>
            <wp:docPr id="1007" name="Gráfico 7" descr="Exposición por tamaño de compañía (% de la cartera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7"/>
              </a:graphicData>
            </a:graphic>
          </wp:inline>
        </w:drawing>
      </w:r>
    </w:p>
    <w:p>
      <w:pPr>
        <w:spacing w:after="100"/>
      </w:pPr>
      <w:r>
        <w:t xml:space="preserve">Para un inversor en euros, el 91 % de la cartera está en otras divisas sin cubrir: el tipo de cambio euro/dólar explica buena parte de la volatilidad en euros.</w:t>
      </w:r>
    </w:p>
    <w:p>
      <w:pPr>
        <w:pStyle w:val="Heading1"/>
      </w:pPr>
      <w:r>
        <w:t xml:space="preserve">7. Características de la cartera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1235"/>
        <w:gridCol w:w="1235"/>
        <w:gridCol w:w="4203"/>
      </w:tblGrid>
      <w:tr>
        <w:trPr>
          <w:cantSplit/>
          <w:tblHeader/>
        </w:trPr>
        <w:tc>
          <w:tcPr>
            <w:tcW w:type="dxa" w:w="29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Métrica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ETF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  <w:tc>
          <w:tcPr>
            <w:tcW w:type="dxa" w:w="42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Referencia usada / lectura</w:t>
            </w:r>
          </w:p>
        </w:tc>
      </w:tr>
      <w:tr>
        <w:trPr>
          <w:cantSplit/>
        </w:trPr>
        <w:tc>
          <w:tcPr>
            <w:tcW w:type="dxa" w:w="296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PER (próximos 12 meses)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19,8x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16,1x</w:t>
            </w:r>
          </w:p>
        </w:tc>
        <w:tc>
          <w:tcPr>
            <w:tcW w:type="dxa" w:w="42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Media de 15 años del mismo índice.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Precio / valor contable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3,4x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2,6x</w:t>
            </w:r>
          </w:p>
        </w:tc>
        <w:tc>
          <w:tcPr>
            <w:tcW w:type="dxa" w:w="42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Media de 15 años.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Rentabilidad por dividendo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1,7 %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2,4 %</w:t>
            </w:r>
          </w:p>
        </w:tc>
        <w:tc>
          <w:tcPr>
            <w:tcW w:type="dxa" w:w="42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Media de 15 años.</w:t>
            </w:r>
          </w:p>
        </w:tc>
      </w:tr>
      <w:tr>
        <w:trPr>
          <w:cantSplit/>
        </w:trPr>
        <w:tc>
          <w:tcPr>
            <w:tcW w:type="dxa" w:w="296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Capitalización media ponderada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640.000 M</w:t>
            </w:r>
          </w:p>
        </w:tc>
        <w:tc>
          <w:tcPr>
            <w:tcW w:type="dxa" w:w="123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n.d.</w:t>
            </w:r>
          </w:p>
        </w:tc>
        <w:tc>
          <w:tcPr>
            <w:tcW w:type="dxa" w:w="420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Sesgo a megacompañías.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Cartera cara frente a su propia historia, por el peso de la tecnología estadounidense.</w:t>
      </w:r>
    </w:p>
    <w:p>
      <w:pPr>
        <w:pStyle w:val="Heading1"/>
      </w:pPr>
      <w:r>
        <w:t xml:space="preserve">8. Rentabilidad</w:t>
      </w:r>
    </w:p>
    <w:p>
      <w:pPr>
        <w:pStyle w:val="Confianza"/>
        <w:spacing w:after="100"/>
      </w:pPr>
      <w:r>
        <w:t xml:space="preserve">Confianza: Alta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2095"/>
        <w:gridCol w:w="2095"/>
        <w:gridCol w:w="2096"/>
      </w:tblGrid>
      <w:tr>
        <w:trPr>
          <w:cantSplit/>
          <w:tblHeader/>
        </w:trPr>
        <w:tc>
          <w:tcPr>
            <w:tcW w:type="dxa" w:w="33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ETF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Índice</w:t>
            </w:r>
          </w:p>
        </w:tc>
        <w:tc>
          <w:tcPr>
            <w:tcW w:type="dxa" w:w="20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</w:tr>
      <w:tr>
        <w:trPr>
          <w:cantSplit/>
        </w:trPr>
        <w:tc>
          <w:tcPr>
            <w:tcW w:type="dxa" w:w="33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En el año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+9,4 %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+9,3 %</w:t>
            </w:r>
          </w:p>
        </w:tc>
        <w:tc>
          <w:tcPr>
            <w:tcW w:type="dxa" w:w="20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+8,1 %</w:t>
            </w:r>
          </w:p>
        </w:tc>
      </w:tr>
      <w:tr>
        <w:trPr>
          <w:cantSplit/>
        </w:trPr>
        <w:tc>
          <w:tcPr>
            <w:tcW w:type="dxa" w:w="33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1 año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+14,2 %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+14,1 %</w:t>
            </w:r>
          </w:p>
        </w:tc>
        <w:tc>
          <w:tcPr>
            <w:tcW w:type="dxa" w:w="20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+12,6 %</w:t>
            </w:r>
          </w:p>
        </w:tc>
      </w:tr>
      <w:tr>
        <w:trPr>
          <w:cantSplit/>
        </w:trPr>
        <w:tc>
          <w:tcPr>
            <w:tcW w:type="dxa" w:w="33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3 años (anual.)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+15,0 %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+14,9 %</w:t>
            </w:r>
          </w:p>
        </w:tc>
        <w:tc>
          <w:tcPr>
            <w:tcW w:type="dxa" w:w="20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+13,2 %</w:t>
            </w:r>
          </w:p>
        </w:tc>
      </w:tr>
      <w:tr>
        <w:trPr>
          <w:cantSplit/>
        </w:trPr>
        <w:tc>
          <w:tcPr>
            <w:tcW w:type="dxa" w:w="33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5 años (anual.)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+12,1 %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+12,0 %</w:t>
            </w:r>
          </w:p>
        </w:tc>
        <w:tc>
          <w:tcPr>
            <w:tcW w:type="dxa" w:w="20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+10,4 %</w:t>
            </w:r>
          </w:p>
        </w:tc>
      </w:tr>
      <w:tr>
        <w:trPr>
          <w:cantSplit/>
        </w:trPr>
        <w:tc>
          <w:tcPr>
            <w:tcW w:type="dxa" w:w="335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10 años (anual.)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+11,0 %</w:t>
            </w:r>
          </w:p>
        </w:tc>
        <w:tc>
          <w:tcPr>
            <w:tcW w:type="dxa" w:w="209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+10,9 %</w:t>
            </w:r>
          </w:p>
        </w:tc>
        <w:tc>
          <w:tcPr>
            <w:tcW w:type="dxa" w:w="20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+9,2 %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700000"/>
            <wp:effectExtent l="0" t="0" r="0" b="0"/>
            <wp:docPr id="1008" name="Gráfico 8" descr="Rentabilidad por año natural (%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8"/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ETF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Índice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2021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+31,1 %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+31,1 %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+25,9 %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2022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-12,7 %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-12,8 %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-14,6 %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2023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+19,6 %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+19,6 %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+16,2 %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2024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+26,6 %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+26,6 %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+21,0 %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2025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+6,9 %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+6,7 %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+5,8 %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Rentabilidades en EUR. Bate a la media de su categoría (fondos activos y pasivos) en todos los periodos, sobre todo por coste.</w:t>
      </w:r>
    </w:p>
    <w:p>
      <w:pPr>
        <w:pStyle w:val="Heading1"/>
      </w:pPr>
      <w:r>
        <w:t xml:space="preserve">9. Riesgo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3"/>
        <w:gridCol w:w="1268"/>
        <w:gridCol w:w="1521"/>
        <w:gridCol w:w="3806"/>
      </w:tblGrid>
      <w:tr>
        <w:trPr>
          <w:cantSplit/>
          <w:tblHeader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Métrica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Periodo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Lectura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Volatilidad anualizada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13,2 %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 años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En euros.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Máxima caída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-33,8 %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Desde 2015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Febrero-marzo de 2020.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Ratio de Sharpe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0,92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5 años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Con el €STR como activo sin riesgo.</w:t>
            </w:r>
          </w:p>
        </w:tc>
      </w:tr>
      <w:tr>
        <w:trPr>
          <w:cantSplit/>
        </w:trPr>
        <w:tc>
          <w:tcPr>
            <w:tcW w:type="dxa" w:w="304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Beta frente a renta variable global</w:t>
            </w:r>
          </w:p>
        </w:tc>
        <w:tc>
          <w:tcPr>
            <w:tcW w:type="dxa" w:w="12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1,00</w:t>
            </w:r>
          </w:p>
        </w:tc>
        <w:tc>
          <w:tcPr>
            <w:tcW w:type="dxa" w:w="1521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5 años</w:t>
            </w:r>
          </w:p>
        </w:tc>
        <w:tc>
          <w:tcPr>
            <w:tcW w:type="dxa" w:w="38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Es el propio mercado.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340000"/>
            <wp:effectExtent l="0" t="0" r="0" b="0"/>
            <wp:docPr id="1009" name="Gráfico 9" descr="Caídas en episodios de estrés (%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9"/>
              </a:graphicData>
            </a:graphic>
          </wp:inline>
        </w:drawing>
      </w:r>
    </w:p>
    <w:p>
      <w:pPr>
        <w:spacing w:after="100"/>
      </w:pPr>
      <w:r>
        <w:t xml:space="preserve">Riesgo de mercado puro: el ETF no añade riesgo propio relevante.</w:t>
      </w:r>
    </w:p>
    <w:p>
      <w:pPr>
        <w:pStyle w:val="Heading1"/>
      </w:pPr>
      <w:r>
        <w:t xml:space="preserve">10. Alternativas</w:t>
      </w:r>
    </w:p>
    <w:p>
      <w:pPr>
        <w:pStyle w:val="Confianza"/>
        <w:spacing w:after="100"/>
      </w:pPr>
      <w:r>
        <w:t xml:space="preserve">Confianza: Media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5"/>
        <w:gridCol w:w="1732"/>
        <w:gridCol w:w="866"/>
        <w:gridCol w:w="1082"/>
        <w:gridCol w:w="1082"/>
        <w:gridCol w:w="1082"/>
        <w:gridCol w:w="979"/>
      </w:tblGrid>
      <w:tr>
        <w:trPr>
          <w:cantSplit/>
          <w:tblHeader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ETF</w:t>
            </w:r>
          </w:p>
        </w:tc>
        <w:tc>
          <w:tcPr>
            <w:tcW w:type="dxa" w:w="1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ISIN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Patrimonio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Réplica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Rentas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Dif. seguim.</w:t>
            </w:r>
          </w:p>
        </w:tc>
      </w:tr>
      <w:tr>
        <w:trPr>
          <w:cantSplit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Ejemplo RV Global (este)</w:t>
            </w:r>
          </w:p>
        </w:tc>
        <w:tc>
          <w:tcPr>
            <w:tcW w:type="dxa" w:w="173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IE0000000000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0,20 %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9.400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Física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Acum.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+0,05 %</w:t>
            </w:r>
          </w:p>
        </w:tc>
      </w:tr>
      <w:tr>
        <w:trPr>
          <w:cantSplit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Alternativa Uno Global</w:t>
            </w:r>
          </w:p>
        </w:tc>
        <w:tc>
          <w:tcPr>
            <w:tcW w:type="dxa" w:w="173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IE0000000001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0,12 %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3.100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Física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Acum.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+0,09 %</w:t>
            </w:r>
          </w:p>
        </w:tc>
      </w:tr>
      <w:tr>
        <w:trPr>
          <w:cantSplit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Alternativa Dos Global</w:t>
            </w:r>
          </w:p>
        </w:tc>
        <w:tc>
          <w:tcPr>
            <w:tcW w:type="dxa" w:w="173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LU0000000002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0,15 %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2.200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Sintética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Acum.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+0,21 %</w:t>
            </w:r>
          </w:p>
        </w:tc>
      </w:tr>
      <w:tr>
        <w:trPr>
          <w:cantSplit/>
        </w:trPr>
        <w:tc>
          <w:tcPr>
            <w:tcW w:type="dxa" w:w="2815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Alternativa Tres Global Dist</w:t>
            </w:r>
          </w:p>
        </w:tc>
        <w:tc>
          <w:tcPr>
            <w:tcW w:type="dxa" w:w="173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IE0000000003</w:t>
            </w:r>
          </w:p>
        </w:tc>
        <w:tc>
          <w:tcPr>
            <w:tcW w:type="dxa" w:w="86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0,19 %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6.800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Física</w:t>
            </w:r>
          </w:p>
        </w:tc>
        <w:tc>
          <w:tcPr>
            <w:tcW w:type="dxa" w:w="10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Dist.</w:t>
            </w:r>
          </w:p>
        </w:tc>
        <w:tc>
          <w:tcPr>
            <w:tcW w:type="dxa" w:w="97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+0,04 %</w:t>
            </w:r>
          </w:p>
        </w:tc>
      </w:tr>
    </w:tbl>
    <w:p>
      <w:pPr>
        <w:spacing w:after="160" w:before="0"/>
      </w:pPr>
    </w:p>
    <w:p>
      <w:pPr>
        <w:keepNext w:val="false"/>
        <w:spacing w:after="160" w:before="120"/>
        <w:jc w:val="center"/>
      </w:pPr>
      <w:r>
        <w:drawing>
          <wp:inline xmlns:wp="http://schemas.openxmlformats.org/drawingml/2006/wordprocessingDrawing" distT="0" distB="0" distL="0" distR="0">
            <wp:extent cx="5760000" cy="2340000"/>
            <wp:effectExtent l="0" t="0" r="0" b="0"/>
            <wp:docPr id="1010" name="Gráfico 10" descr="Coste anual (TER, %) del ETF analizado y sus alternativas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Grafico10"/>
              </a:graphicData>
            </a:graphic>
          </wp:inline>
        </w:drawing>
      </w:r>
    </w:p>
    <w:p>
      <w:pPr>
        <w:spacing w:after="100"/>
      </w:pPr>
      <w:r>
        <w:t xml:space="preserve">Hay alternativas más baratas en TER, pero su diferencia de seguimiento no es mejor. La sintética gana algo de rentabilidad en dividendos estadounidenses, pero añade riesgo de contraparte.</w:t>
      </w:r>
    </w:p>
    <w:p>
      <w:pPr>
        <w:pStyle w:val="Heading1"/>
      </w:pPr>
      <w:r>
        <w:t xml:space="preserve">11. Fiscalidad y operativa para un inversor español</w:t>
      </w:r>
    </w:p>
    <w:p>
      <w:pPr>
        <w:pStyle w:val="Confianza"/>
        <w:spacing w:after="100"/>
      </w:pPr>
      <w:r>
        <w:t xml:space="preserve">Confianza: Alta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2796"/>
        <w:gridCol w:w="2023"/>
        <w:gridCol w:w="2796"/>
      </w:tblGrid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Registrado en la CNMV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Sí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KID en español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Traspasable sin peaje fiscal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No: los ETF no se pueden traspasar sin tributar en España</w:t>
            </w:r>
          </w:p>
        </w:tc>
        <w:tc>
          <w:tcPr>
            <w:tcW w:type="dxa" w:w="202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shd w:fill="F3F2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6"/>
                <w:szCs w:val="16"/>
              </w:rPr>
              <w:t xml:space="preserve">Retención en origen sobre dividendos</w:t>
            </w:r>
          </w:p>
        </w:tc>
        <w:tc>
          <w:tcPr>
            <w:tcW w:type="dxa" w:w="279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7"/>
                <w:szCs w:val="17"/>
              </w:rPr>
              <w:t xml:space="preserve">15 % sobre dividendos de EE. UU. dentro del fondo (tratado Irlanda-EE. UU.)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t xml:space="preserve">Al ser de acumulación, no hay retención española sobre dividendos: solo se tributa por la ganancia al vender (19-28 %). Para quien quiera diferir impuestos y mover dinero entre fondos, un fondo indexado traspasable sobre el mismo índice puede ser mejor vehículo.</w:t>
      </w:r>
    </w:p>
    <w:p>
      <w:pPr>
        <w:pStyle w:val="Heading1"/>
      </w:pPr>
      <w:r>
        <w:t xml:space="preserve">12. Encaje en cartera y riesgos específicos</w:t>
      </w:r>
    </w:p>
    <w:p>
      <w:pPr>
        <w:pStyle w:val="Confianza"/>
        <w:spacing w:after="100"/>
      </w:pPr>
      <w:r>
        <w:t xml:space="preserve">Confianza: Media</w:t>
      </w:r>
    </w:p>
    <w:p>
      <w:pPr>
        <w:spacing w:after="100"/>
      </w:pPr>
      <w:r>
        <w:t xml:space="preserve">Núcleo de renta variable: una sola posición cubre el mercado desarrollado mundial.</w:t>
      </w:r>
    </w:p>
    <w:p>
      <w:pPr>
        <w:pStyle w:val="Heading2"/>
      </w:pPr>
      <w:r>
        <w:t xml:space="preserve">Correlación y solapamientos</w:t>
      </w:r>
    </w:p>
    <w:p>
      <w:pPr>
        <w:spacing w:after="100"/>
      </w:pPr>
      <w:r>
        <w:t xml:space="preserve">Solapa casi por completo con cualquier ETF del S&amp;P 500 (el 71 % de la cartera es la misma). No combinar los dos salvo para sobreponderar Estados Unidos a propósito.</w:t>
      </w:r>
    </w:p>
    <w:p>
      <w:pPr>
        <w:pStyle w:val="Heading2"/>
      </w:pPr>
      <w:r>
        <w:t xml:space="preserve">Riesgos específicos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"/>
        <w:gridCol w:w="2440"/>
        <w:gridCol w:w="5490"/>
        <w:gridCol w:w="1220"/>
      </w:tblGrid>
      <w:tr>
        <w:trPr>
          <w:cantSplit/>
          <w:tblHeader/>
        </w:trPr>
        <w:tc>
          <w:tcPr>
            <w:tcW w:type="dxa" w:w="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  <w:tc>
          <w:tcPr>
            <w:tcW w:type="dxa" w:w="5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Importancia</w:t>
            </w:r>
          </w:p>
        </w:tc>
      </w:tr>
      <w:tr>
        <w:trPr>
          <w:cantSplit/>
        </w:trPr>
        <w:tc>
          <w:tcPr>
            <w:tcW w:type="dxa" w:w="4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Concentración</w:t>
            </w:r>
          </w:p>
        </w:tc>
        <w:tc>
          <w:tcPr>
            <w:tcW w:type="dxa" w:w="549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EE. UU. 71 % y diez valores el 24 %.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4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2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Divisa</w:t>
            </w:r>
          </w:p>
        </w:tc>
        <w:tc>
          <w:tcPr>
            <w:tcW w:type="dxa" w:w="549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Sin cobertura: un euro fuerte resta rentabilidad.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48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Valoración</w:t>
            </w:r>
          </w:p>
        </w:tc>
        <w:tc>
          <w:tcPr>
            <w:tcW w:type="dxa" w:w="549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PER muy por encima de su media histórica.</w:t>
            </w:r>
          </w:p>
        </w:tc>
        <w:tc>
          <w:tcPr>
            <w:tcW w:type="dxa" w:w="1220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Media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Fuentes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"/>
        <w:gridCol w:w="3706"/>
        <w:gridCol w:w="1482"/>
        <w:gridCol w:w="1019"/>
        <w:gridCol w:w="2968"/>
      </w:tblGrid>
      <w:tr>
        <w:trPr>
          <w:cantSplit/>
          <w:tblHeader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Ref.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Editor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1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Documento de datos fundamentales (KID) (ficticio)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Gestora Ejemplo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15 feb 2026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https://example.com/kid</w:t>
            </w:r>
          </w:p>
        </w:tc>
      </w:tr>
      <w:tr>
        <w:trPr>
          <w:cantSplit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2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Informe anual auditado 2025 (ficticio)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Gestora Ejemplo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30 abr 2026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https://example.com/informe</w:t>
            </w:r>
          </w:p>
        </w:tc>
      </w:tr>
      <w:tr>
        <w:trPr>
          <w:cantSplit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3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Ficha mensual septiembre 2026 (ficticia)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Gestora Ejemplo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30 sep 2026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https://example.com/ficha</w:t>
            </w:r>
          </w:p>
        </w:tc>
      </w:tr>
      <w:tr>
        <w:trPr>
          <w:cantSplit/>
        </w:trPr>
        <w:tc>
          <w:tcPr>
            <w:tcW w:type="dxa" w:w="463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3C"/>
                <w:sz w:val="16"/>
                <w:szCs w:val="16"/>
              </w:rPr>
              <w:t xml:space="preserve">4</w:t>
            </w:r>
          </w:p>
        </w:tc>
        <w:tc>
          <w:tcPr>
            <w:tcW w:type="dxa" w:w="3706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Comparador de ETF (ficticio)</w:t>
            </w:r>
          </w:p>
        </w:tc>
        <w:tc>
          <w:tcPr>
            <w:tcW w:type="dxa" w:w="1482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Comparador</w:t>
            </w:r>
          </w:p>
        </w:tc>
        <w:tc>
          <w:tcPr>
            <w:tcW w:type="dxa" w:w="1019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5 oct 2026</w:t>
            </w:r>
          </w:p>
        </w:tc>
        <w:tc>
          <w:tcPr>
            <w:tcW w:type="dxa" w:w="2968"/>
            <w:tcBorders>
              <w:top w:val="none" w:color="FFFFFF" w:sz="0"/>
              <w:left w:val="none" w:color="FFFFFF" w:sz="0"/>
              <w:bottom w:val="single" w:color="D9D8D3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C"/>
                <w:sz w:val="16"/>
                <w:szCs w:val="16"/>
              </w:rPr>
              <w:t xml:space="preserve">https://example.com/comparador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Control de calidad del informe</w:t>
      </w:r>
    </w:p>
    <w:p>
      <w:pPr>
        <w:pStyle w:val="Nota"/>
        <w:spacing w:after="100"/>
      </w:pPr>
      <w:r>
        <w:t xml:space="preserve">Campos con dato: </w:t>
      </w:r>
      <w:r>
        <w:rPr>
          <w:b/>
          <w:bCs/>
        </w:rPr>
        <w:t xml:space="preserve">100,0 %</w:t>
      </w:r>
      <w:r>
        <w:t xml:space="preserve"> · Secciones con menos del 60 % de campos cubiertos: </w:t>
      </w:r>
      <w:r>
        <w:rPr>
          <w:b/>
          <w:bCs/>
        </w:rPr>
        <w:t xml:space="preserve">ninguna</w:t>
      </w:r>
      <w:r>
        <w:t xml:space="preserve"> · Generado el 6 oct 2026.</w:t>
      </w:r>
    </w:p>
    <w:p>
      <w:pPr>
        <w:pStyle w:val="Nota"/>
        <w:spacing w:after="100"/>
      </w:pPr>
      <w:r>
        <w:t xml:space="preserve">EJEMPLO FICTICIO para probar la plantilla: el fondo, la gestora y todas las cifras son inventados.</w:t>
      </w:r>
    </w:p>
    <w:p>
      <w:pPr>
        <w:pStyle w:val="Nota"/>
        <w:spacing w:after="100"/>
      </w:pPr>
      <w:r>
        <w:t xml:space="preserve">Este documento es un análisis elaborado de forma automatizada a partir de fuentes públicas. No constituye una recomendación personalizada de inversión ni una oferta de compra o venta. Las cifras marcadas como estimación y los escenarios son hipótesis de trabajo y deben verificarse antes de tomar cualquier decisión.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A8984"/>
        <w:sz w:val="15"/>
        <w:szCs w:val="15"/>
      </w:rPr>
      <w:t xml:space="preserve">Datos a 6 oct 2026 · No constituye recomendación de inversión</w:t>
    </w:r>
    <w:r>
      <w:rPr>
        <w:color w:val="8A8984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A8984"/>
        <w:sz w:val="15"/>
        <w:szCs w:val="15"/>
      </w:rPr>
      <w:t xml:space="preserve">No constituye recomendación de inversión.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color w:val="8A8984"/>
        <w:sz w:val="16"/>
        <w:szCs w:val="16"/>
      </w:rPr>
      <w:t xml:space="preserve">Ejemplo Renta Variable Global UCITS ETF (Acc) (IE0000000000)</w:t>
    </w:r>
    <w:r>
      <w:rPr>
        <w:color w:val="8A8984"/>
        <w:sz w:val="16"/>
        <w:szCs w:val="16"/>
      </w:rPr>
      <w:t xml:space="preserve">	Análisis de ETF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A78D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docVars>
    <w:docVar w:name="graficos" w:val="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C"/>
        <w:sz w:val="20"/>
        <w:szCs w:val="20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A78D6" w:sz="6" w:space="4"/>
      </w:pBdr>
      <w:spacing w:after="6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rFonts w:ascii="Calibri" w:cs="Calibri" w:eastAsia="Calibri" w:hAnsi="Calibri"/>
      <w:b/>
      <w:bCs/>
      <w:color w:val="1F3A5F"/>
      <w:sz w:val="23"/>
      <w:szCs w:val="23"/>
    </w:rPr>
  </w:style>
  <w:style w:type="paragraph" w:styleId="Parte">
    <w:name w:val="Parte"/>
    <w:basedOn w:val="Normal"/>
    <w:next w:val="Normal"/>
    <w:pPr>
      <w:keepNext/>
      <w:pBdr>
        <w:bottom w:val="single" w:color="2A78D6" w:sz="12" w:space="6"/>
      </w:pBdr>
      <w:spacing w:after="400" w:before="2400"/>
      <w:outlineLvl w:val="0"/>
    </w:pPr>
    <w:rPr>
      <w:rFonts w:ascii="Calibri" w:cs="Calibri" w:eastAsia="Calibri" w:hAnsi="Calibri"/>
      <w:b/>
      <w:bCs/>
      <w:color w:val="2A78D6"/>
      <w:sz w:val="40"/>
      <w:szCs w:val="40"/>
    </w:rPr>
  </w:style>
  <w:style w:type="paragraph" w:styleId="Aviso">
    <w:name w:val="Aviso"/>
    <w:basedOn w:val="Normal"/>
    <w:next w:val="Normal"/>
    <w:pPr>
      <w:pBdr>
        <w:left w:val="single" w:color="D9772E" w:sz="24" w:space="8"/>
      </w:pBdr>
      <w:spacing w:after="200" w:before="120"/>
      <w:ind w:left="200"/>
    </w:pPr>
    <w:rPr>
      <w:b/>
      <w:bCs/>
      <w:color w:val="A3470F"/>
      <w:sz w:val="19"/>
      <w:szCs w:val="19"/>
    </w:rPr>
  </w:style>
  <w:style w:type="paragraph" w:styleId="Confianza">
    <w:name w:val="Confianza"/>
    <w:basedOn w:val="Normal"/>
    <w:next w:val="Normal"/>
    <w:pPr>
      <w:keepNext/>
      <w:spacing w:after="160" w:before="0"/>
    </w:pPr>
    <w:rPr>
      <w:i/>
      <w:iCs/>
      <w:color w:val="8A8984"/>
      <w:sz w:val="16"/>
      <w:szCs w:val="16"/>
    </w:rPr>
  </w:style>
  <w:style w:type="paragraph" w:styleId="Nota">
    <w:name w:val="Nota"/>
    <w:basedOn w:val="Normal"/>
    <w:next w:val="Normal"/>
    <w:pPr>
      <w:spacing w:after="80"/>
    </w:pPr>
    <w:rPr>
      <w:color w:val="52514E"/>
      <w:sz w:val="16"/>
      <w:szCs w:val="1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Grafico1" Type="http://schemas.openxmlformats.org/officeDocument/2006/relationships/chart" Target="charts/chart1.xml"/><Relationship Id="rIdGrafico2" Type="http://schemas.openxmlformats.org/officeDocument/2006/relationships/chart" Target="charts/chart2.xml"/><Relationship Id="rIdGrafico3" Type="http://schemas.openxmlformats.org/officeDocument/2006/relationships/chart" Target="charts/chart3.xml"/><Relationship Id="rIdGrafico4" Type="http://schemas.openxmlformats.org/officeDocument/2006/relationships/chart" Target="charts/chart4.xml"/><Relationship Id="rIdGrafico5" Type="http://schemas.openxmlformats.org/officeDocument/2006/relationships/chart" Target="charts/chart5.xml"/><Relationship Id="rIdGrafico6" Type="http://schemas.openxmlformats.org/officeDocument/2006/relationships/chart" Target="charts/chart6.xml"/><Relationship Id="rIdGrafico7" Type="http://schemas.openxmlformats.org/officeDocument/2006/relationships/chart" Target="charts/chart7.xml"/><Relationship Id="rIdGrafico8" Type="http://schemas.openxmlformats.org/officeDocument/2006/relationships/chart" Target="charts/chart8.xml"/><Relationship Id="rIdGrafico9" Type="http://schemas.openxmlformats.org/officeDocument/2006/relationships/chart" Target="charts/chart9.xml"/><Relationship Id="rIdGrafico10" Type="http://schemas.openxmlformats.org/officeDocument/2006/relationships/chart" Target="charts/chart10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3.xlsx"/></Relationships>
</file>

<file path=word/charts/_rels/chart4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4.xlsx"/></Relationships>
</file>

<file path=word/charts/_rels/chart5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5.xlsx"/></Relationships>
</file>

<file path=word/charts/_rels/chart6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6.xlsx"/></Relationships>
</file>

<file path=word/charts/_rels/chart7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7.xlsx"/></Relationships>
</file>

<file path=word/charts/_rels/chart8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8.xlsx"/></Relationships>
</file>

<file path=word/charts/_rels/chart9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9.xlsx"/></Relationships>
</file>

<file path=word/charts/_rels/chart10.xml.rels><?xml version="1.0" encoding="UTF-8" standalone="yes"?><Relationships xmlns="http://schemas.openxmlformats.org/package/2006/relationships"><Relationship Id="rId1" Type="http://schemas.openxmlformats.org/officeDocument/2006/relationships/package" Target="../embeddings/Hoja_grafico10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Patrimonio a cierre de año (EUR, millones)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Patrimonio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#,##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Hoja1!$B$2:$B$6</c:f>
              <c:numCache>
                <c:formatCode>#,##0</c:formatCode>
                <c:ptCount val="5"/>
                <c:pt idx="0">
                  <c:v>5200</c:v>
                </c:pt>
                <c:pt idx="1">
                  <c:v>5050</c:v>
                </c:pt>
                <c:pt idx="2">
                  <c:v>6400</c:v>
                </c:pt>
                <c:pt idx="3">
                  <c:v>8100</c:v>
                </c:pt>
                <c:pt idx="4">
                  <c:v>8800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ln w="6350">
              <a:solidFill>
                <a:srgbClr val="E4E3DF"/>
              </a:solidFill>
            </a:ln>
          </c:spPr>
        </c:majorGridlines>
        <c:numFmt formatCode="#,##0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autoZero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Diferencia de seguimiento anual: ETF menos índice (puntos %)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Diferencia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.0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Hoja1!$B$2:$B$6</c:f>
              <c:numCache>
                <c:formatCode>0.00"%"</c:formatCode>
                <c:ptCount val="5"/>
                <c:pt idx="0">
                  <c:v>0.03</c:v>
                </c:pt>
                <c:pt idx="1">
                  <c:v>0.08</c:v>
                </c:pt>
                <c:pt idx="2">
                  <c:v>0.02</c:v>
                </c:pt>
                <c:pt idx="3">
                  <c:v>0</c:v>
                </c:pt>
                <c:pt idx="4">
                  <c:v>0.12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ln w="6350">
              <a:solidFill>
                <a:srgbClr val="E4E3DF"/>
              </a:solidFill>
            </a:ln>
          </c:spPr>
        </c:majorGridlines>
        <c:numFmt formatCode="0.0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autoZero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Diez primeras posiciones (% de la cartera)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Peso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.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Hoja1!$A$2:$A$11</c:f>
              <c:strCache>
                <c:ptCount val="10"/>
                <c:pt idx="0">
                  <c:v>Empresa tecnológica A</c:v>
                </c:pt>
                <c:pt idx="1">
                  <c:v>Empresa tecnológica B</c:v>
                </c:pt>
                <c:pt idx="2">
                  <c:v>Empresa tecnológica C</c:v>
                </c:pt>
                <c:pt idx="3">
                  <c:v>Comercio electrónico D</c:v>
                </c:pt>
                <c:pt idx="4">
                  <c:v>Plataforma social E</c:v>
                </c:pt>
                <c:pt idx="5">
                  <c:v>Buscador F</c:v>
                </c:pt>
                <c:pt idx="6">
                  <c:v>Semiconductores G</c:v>
                </c:pt>
                <c:pt idx="7">
                  <c:v>Automóviles H</c:v>
                </c:pt>
                <c:pt idx="8">
                  <c:v>Banco I</c:v>
                </c:pt>
                <c:pt idx="9">
                  <c:v>Farmacéutica J</c:v>
                </c:pt>
              </c:strCache>
            </c:strRef>
          </c:cat>
          <c:val>
            <c:numRef>
              <c:f>Hoja1!$B$2:$B$11</c:f>
              <c:numCache>
                <c:formatCode>0.0"%"</c:formatCode>
                <c:ptCount val="10"/>
                <c:pt idx="0">
                  <c:v>4.9</c:v>
                </c:pt>
                <c:pt idx="1">
                  <c:v>4.4</c:v>
                </c:pt>
                <c:pt idx="2">
                  <c:v>3.9</c:v>
                </c:pt>
                <c:pt idx="3">
                  <c:v>2.6</c:v>
                </c:pt>
                <c:pt idx="4">
                  <c:v>1.8</c:v>
                </c:pt>
                <c:pt idx="5">
                  <c:v>1.6</c:v>
                </c:pt>
                <c:pt idx="6">
                  <c:v>1.4</c:v>
                </c:pt>
                <c:pt idx="7">
                  <c:v>1.2</c:v>
                </c:pt>
                <c:pt idx="8">
                  <c:v>1.2</c:v>
                </c:pt>
                <c:pt idx="9">
                  <c:v>1.1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0.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max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Exposición por sector (% de la cartera)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Peso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.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Hoja1!$A$2:$A$10</c:f>
              <c:strCache>
                <c:ptCount val="9"/>
                <c:pt idx="0">
                  <c:v>Tecnología</c:v>
                </c:pt>
                <c:pt idx="1">
                  <c:v>Financiero</c:v>
                </c:pt>
                <c:pt idx="2">
                  <c:v>Salud</c:v>
                </c:pt>
                <c:pt idx="3">
                  <c:v>Industria</c:v>
                </c:pt>
                <c:pt idx="4">
                  <c:v>Consumo discrecional</c:v>
                </c:pt>
                <c:pt idx="5">
                  <c:v>Comunicaciones</c:v>
                </c:pt>
                <c:pt idx="6">
                  <c:v>Consumo básico</c:v>
                </c:pt>
                <c:pt idx="7">
                  <c:v>Energía</c:v>
                </c:pt>
                <c:pt idx="8">
                  <c:v>Otros</c:v>
                </c:pt>
              </c:strCache>
            </c:strRef>
          </c:cat>
          <c:val>
            <c:numRef>
              <c:f>Hoja1!$B$2:$B$10</c:f>
              <c:numCache>
                <c:formatCode>0.0"%"</c:formatCode>
                <c:ptCount val="9"/>
                <c:pt idx="0">
                  <c:v>27.1</c:v>
                </c:pt>
                <c:pt idx="1">
                  <c:v>16</c:v>
                </c:pt>
                <c:pt idx="2">
                  <c:v>10.2</c:v>
                </c:pt>
                <c:pt idx="3">
                  <c:v>10.1</c:v>
                </c:pt>
                <c:pt idx="4">
                  <c:v>10</c:v>
                </c:pt>
                <c:pt idx="5">
                  <c:v>8.3</c:v>
                </c:pt>
                <c:pt idx="6">
                  <c:v>5.7</c:v>
                </c:pt>
                <c:pt idx="7">
                  <c:v>3.6</c:v>
                </c:pt>
                <c:pt idx="8">
                  <c:v>9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0.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max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Exposición geográfica (% de la cartera)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Peso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.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Hoja1!$A$2:$A$9</c:f>
              <c:strCache>
                <c:ptCount val="8"/>
                <c:pt idx="0">
                  <c:v>Estados Unidos</c:v>
                </c:pt>
                <c:pt idx="1">
                  <c:v>Japón</c:v>
                </c:pt>
                <c:pt idx="2">
                  <c:v>Reino Unido</c:v>
                </c:pt>
                <c:pt idx="3">
                  <c:v>Canadá</c:v>
                </c:pt>
                <c:pt idx="4">
                  <c:v>Francia</c:v>
                </c:pt>
                <c:pt idx="5">
                  <c:v>Suiza</c:v>
                </c:pt>
                <c:pt idx="6">
                  <c:v>Alemania</c:v>
                </c:pt>
                <c:pt idx="7">
                  <c:v>Otros</c:v>
                </c:pt>
              </c:strCache>
            </c:strRef>
          </c:cat>
          <c:val>
            <c:numRef>
              <c:f>Hoja1!$B$2:$B$9</c:f>
              <c:numCache>
                <c:formatCode>0.0"%"</c:formatCode>
                <c:ptCount val="8"/>
                <c:pt idx="0">
                  <c:v>71.2</c:v>
                </c:pt>
                <c:pt idx="1">
                  <c:v>5.4</c:v>
                </c:pt>
                <c:pt idx="2">
                  <c:v>3.4</c:v>
                </c:pt>
                <c:pt idx="3">
                  <c:v>3</c:v>
                </c:pt>
                <c:pt idx="4">
                  <c:v>2.6</c:v>
                </c:pt>
                <c:pt idx="5">
                  <c:v>2.4</c:v>
                </c:pt>
                <c:pt idx="6">
                  <c:v>2.3</c:v>
                </c:pt>
                <c:pt idx="7">
                  <c:v>9.7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0.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max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Exposición por divisa (% de la cartera)</a:t>
            </a:r>
          </a:p>
        </c:rich>
      </c:tx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Peso</c:v>
                </c:pt>
              </c:strCache>
            </c:strRef>
          </c:tx>
          <c:dPt>
            <c:idx val="0"/>
            <c:bubble3D val="0"/>
            <c:spPr>
              <a:solidFill>
                <a:srgbClr val="2A78D6"/>
              </a:solidFill>
              <a:ln w="19050">
                <a:solidFill>
                  <a:srgbClr val="FFFFFF"/>
                </a:solidFill>
              </a:ln>
            </c:spPr>
          </c:dPt>
          <c:dPt>
            <c:idx val="1"/>
            <c:bubble3D val="0"/>
            <c:spPr>
              <a:solidFill>
                <a:srgbClr val="EB6834"/>
              </a:solidFill>
              <a:ln w="19050">
                <a:solidFill>
                  <a:srgbClr val="FFFFFF"/>
                </a:solidFill>
              </a:ln>
            </c:spPr>
          </c:dPt>
          <c:dPt>
            <c:idx val="2"/>
            <c:bubble3D val="0"/>
            <c:spPr>
              <a:solidFill>
                <a:srgbClr val="1BAF7A"/>
              </a:solidFill>
              <a:ln w="19050">
                <a:solidFill>
                  <a:srgbClr val="FFFFFF"/>
                </a:solidFill>
              </a:ln>
            </c:spPr>
          </c:dPt>
          <c:dPt>
            <c:idx val="3"/>
            <c:bubble3D val="0"/>
            <c:spPr>
              <a:solidFill>
                <a:srgbClr val="EDA100"/>
              </a:solidFill>
              <a:ln w="19050">
                <a:solidFill>
                  <a:srgbClr val="FFFFFF"/>
                </a:solidFill>
              </a:ln>
            </c:spPr>
          </c:dPt>
          <c:dPt>
            <c:idx val="4"/>
            <c:bubble3D val="0"/>
            <c:spPr>
              <a:solidFill>
                <a:srgbClr val="E87BA4"/>
              </a:solidFill>
              <a:ln w="19050">
                <a:solidFill>
                  <a:srgbClr val="FFFFFF"/>
                </a:solidFill>
              </a:ln>
            </c:spPr>
          </c:dPt>
          <c:dLbls>
            <c:numFmt formatCode="0.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1F2A3C"/>
                    </a:solidFill>
                  </a:defRPr>
                </a:pPr>
                <a:endParaRPr lang="es-E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Hoja1!$A$2:$A$6</c:f>
              <c:strCache>
                <c:ptCount val="5"/>
                <c:pt idx="0">
                  <c:v>USD</c:v>
                </c:pt>
                <c:pt idx="1">
                  <c:v>EUR</c:v>
                </c:pt>
                <c:pt idx="2">
                  <c:v>JPY</c:v>
                </c:pt>
                <c:pt idx="3">
                  <c:v>GBP</c:v>
                </c:pt>
                <c:pt idx="4">
                  <c:v>Otras</c:v>
                </c:pt>
              </c:strCache>
            </c:strRef>
          </c:cat>
          <c:val>
            <c:numRef>
              <c:f>Hoja1!$B$2:$B$6</c:f>
              <c:numCache>
                <c:formatCode>General</c:formatCode>
                <c:ptCount val="5"/>
                <c:pt idx="0">
                  <c:v>72</c:v>
                </c:pt>
                <c:pt idx="1">
                  <c:v>8.9</c:v>
                </c:pt>
                <c:pt idx="2">
                  <c:v>5.4</c:v>
                </c:pt>
                <c:pt idx="3">
                  <c:v>3.4</c:v>
                </c:pt>
                <c:pt idx="4">
                  <c:v>10.3</c:v>
                </c:pt>
              </c:numCache>
            </c:numRef>
          </c:val>
        </c:ser>
        <c:firstSliceAng val="0"/>
        <c:holeSize val="55"/>
      </c:doughnutChart>
    </c:plotArea>
    <c:legend>
      <c:legendPos val="r"/>
      <c:overlay val="0"/>
      <c:txPr>
        <a:bodyPr/>
        <a:lstStyle/>
        <a:p>
          <a:pPr>
            <a:defRPr sz="850">
              <a:solidFill>
                <a:srgbClr val="52514E"/>
              </a:solidFill>
            </a:defRPr>
          </a:pPr>
          <a:endParaRPr lang="es-ES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Exposición por tamaño de compañía (% de la cartera)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Peso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.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Hoja1!$A$2:$A$4</c:f>
              <c:strCache>
                <c:ptCount val="3"/>
                <c:pt idx="0">
                  <c:v>Mega (&gt; 200.000 M)</c:v>
                </c:pt>
                <c:pt idx="1">
                  <c:v>Grande (10.000-200.000 M)</c:v>
                </c:pt>
                <c:pt idx="2">
                  <c:v>Mediana (&lt; 10.000 M)</c:v>
                </c:pt>
              </c:strCache>
            </c:strRef>
          </c:cat>
          <c:val>
            <c:numRef>
              <c:f>Hoja1!$B$2:$B$4</c:f>
              <c:numCache>
                <c:formatCode>0.0"%"</c:formatCode>
                <c:ptCount val="3"/>
                <c:pt idx="0">
                  <c:v>46</c:v>
                </c:pt>
                <c:pt idx="1">
                  <c:v>47.5</c:v>
                </c:pt>
                <c:pt idx="2">
                  <c:v>6.5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0.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max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Rentabilidad por año natural (%)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ETF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cat>
            <c:strRef>
              <c:f>Hoja1!$A$2:$A$6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Hoja1!$B$2:$B$6</c:f>
              <c:numCache>
                <c:formatCode>0"%"</c:formatCode>
                <c:ptCount val="5"/>
                <c:pt idx="0">
                  <c:v>31.1</c:v>
                </c:pt>
                <c:pt idx="1">
                  <c:v>-12.7</c:v>
                </c:pt>
                <c:pt idx="2">
                  <c:v>19.6</c:v>
                </c:pt>
                <c:pt idx="3">
                  <c:v>26.6</c:v>
                </c:pt>
                <c:pt idx="4">
                  <c:v>6.9</c:v>
                </c:pt>
              </c:numCache>
            </c:numRef>
          </c:val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Índice</c:v>
                </c:pt>
              </c:strCache>
            </c:strRef>
          </c:tx>
          <c:spPr>
            <a:solidFill>
              <a:srgbClr val="EB6834"/>
            </a:solidFill>
            <a:ln w="9525">
              <a:noFill/>
            </a:ln>
          </c:spPr>
          <c:invertIfNegative val="0"/>
          <c:cat>
            <c:strRef>
              <c:f>Hoja1!$A$2:$A$6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Hoja1!$C$2:$C$6</c:f>
              <c:numCache>
                <c:formatCode>0"%"</c:formatCode>
                <c:ptCount val="5"/>
                <c:pt idx="0">
                  <c:v>31.1</c:v>
                </c:pt>
                <c:pt idx="1">
                  <c:v>-12.8</c:v>
                </c:pt>
                <c:pt idx="2">
                  <c:v>19.6</c:v>
                </c:pt>
                <c:pt idx="3">
                  <c:v>26.6</c:v>
                </c:pt>
                <c:pt idx="4">
                  <c:v>6.7</c:v>
                </c:pt>
              </c:numCache>
            </c:numRef>
          </c:val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Media de la categoría</c:v>
                </c:pt>
              </c:strCache>
            </c:strRef>
          </c:tx>
          <c:spPr>
            <a:solidFill>
              <a:srgbClr val="1BAF7A"/>
            </a:solidFill>
            <a:ln w="9525">
              <a:noFill/>
            </a:ln>
          </c:spPr>
          <c:invertIfNegative val="0"/>
          <c:cat>
            <c:strRef>
              <c:f>Hoja1!$A$2:$A$6</c:f>
              <c:strCach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strCache>
            </c:strRef>
          </c:cat>
          <c:val>
            <c:numRef>
              <c:f>Hoja1!$D$2:$D$6</c:f>
              <c:numCache>
                <c:formatCode>0"%"</c:formatCode>
                <c:ptCount val="5"/>
                <c:pt idx="0">
                  <c:v>25.9</c:v>
                </c:pt>
                <c:pt idx="1">
                  <c:v>-14.6</c:v>
                </c:pt>
                <c:pt idx="2">
                  <c:v>16.2</c:v>
                </c:pt>
                <c:pt idx="3">
                  <c:v>21</c:v>
                </c:pt>
                <c:pt idx="4">
                  <c:v>5.8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ln w="6350">
              <a:solidFill>
                <a:srgbClr val="E4E3DF"/>
              </a:solidFill>
            </a:ln>
          </c:spPr>
        </c:majorGridlines>
        <c:numFmt formatCode="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850">
              <a:solidFill>
                <a:srgbClr val="52514E"/>
              </a:solidFill>
            </a:defRPr>
          </a:pPr>
          <a:endParaRPr lang="es-ES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Caídas en episodios de estrés (%)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ETF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Hoja1!$A$2:$A$4</c:f>
              <c:strCache>
                <c:ptCount val="3"/>
                <c:pt idx="0">
                  <c:v>Covid (feb-mar 2020)</c:v>
                </c:pt>
                <c:pt idx="1">
                  <c:v>Subida de tipos (2022)</c:v>
                </c:pt>
                <c:pt idx="2">
                  <c:v>Aranceles (abr 2025)</c:v>
                </c:pt>
              </c:strCache>
            </c:strRef>
          </c:cat>
          <c:val>
            <c:numRef>
              <c:f>Hoja1!$B$2:$B$4</c:f>
              <c:numCache>
                <c:formatCode>0"%"</c:formatCode>
                <c:ptCount val="3"/>
                <c:pt idx="0">
                  <c:v>-33.8</c:v>
                </c:pt>
                <c:pt idx="1">
                  <c:v>-16.5</c:v>
                </c:pt>
                <c:pt idx="2">
                  <c:v>-17</c:v>
                </c:pt>
              </c:numCache>
            </c:numRef>
          </c:val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Referencia amplia</c:v>
                </c:pt>
              </c:strCache>
            </c:strRef>
          </c:tx>
          <c:spPr>
            <a:solidFill>
              <a:srgbClr val="EB6834"/>
            </a:solidFill>
            <a:ln w="9525"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Hoja1!$A$2:$A$4</c:f>
              <c:strCache>
                <c:ptCount val="3"/>
                <c:pt idx="0">
                  <c:v>Covid (feb-mar 2020)</c:v>
                </c:pt>
                <c:pt idx="1">
                  <c:v>Subida de tipos (2022)</c:v>
                </c:pt>
                <c:pt idx="2">
                  <c:v>Aranceles (abr 2025)</c:v>
                </c:pt>
              </c:strCache>
            </c:strRef>
          </c:cat>
          <c:val>
            <c:numRef>
              <c:f>Hoja1!$C$2:$C$4</c:f>
              <c:numCache>
                <c:formatCode>0"%"</c:formatCode>
                <c:ptCount val="3"/>
                <c:pt idx="0">
                  <c:v>-33.9</c:v>
                </c:pt>
                <c:pt idx="1">
                  <c:v>-16.6</c:v>
                </c:pt>
                <c:pt idx="2">
                  <c:v>-17.1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max"/>
        <c:crossBetween val="between"/>
      </c:valAx>
    </c:plotArea>
    <c:legend>
      <c:legendPos val="b"/>
      <c:overlay val="0"/>
      <c:txPr>
        <a:bodyPr/>
        <a:lstStyle/>
        <a:p>
          <a:pPr>
            <a:defRPr sz="850">
              <a:solidFill>
                <a:srgbClr val="52514E"/>
              </a:solidFill>
            </a:defRPr>
          </a:pPr>
          <a:endParaRPr lang="es-ES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c:chart>
    <c:title>
      <c:tx>
        <c:rich>
          <a:bodyPr/>
          <a:lstStyle/>
          <a:p>
            <a:pPr algn="l">
              <a:defRPr sz="1050" b="1">
                <a:solidFill>
                  <a:srgbClr val="1F2A3C"/>
                </a:solidFill>
              </a:defRPr>
            </a:pPr>
            <a:r>
              <a:rPr lang="es-ES" sz="1050" b="1">
                <a:solidFill>
                  <a:srgbClr val="1F2A3C"/>
                </a:solidFill>
              </a:rPr>
              <a:t>Coste anual (TER, %) del ETF analizado y sus alternativas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TER</c:v>
                </c:pt>
              </c:strCache>
            </c:strRef>
          </c:tx>
          <c:spPr>
            <a:solidFill>
              <a:srgbClr val="2A78D6"/>
            </a:solidFill>
            <a:ln w="9525">
              <a:noFill/>
            </a:ln>
          </c:spPr>
          <c:invertIfNegative val="0"/>
          <c:dPt>
            <c:idx val="1"/>
            <c:invertIfNegative val="0"/>
            <c:bubble3D val="0"/>
            <c:spPr>
              <a:solidFill>
                <a:srgbClr val="C9C8C2"/>
              </a:solidFill>
            </c:spPr>
          </c:dPt>
          <c:dPt>
            <c:idx val="2"/>
            <c:invertIfNegative val="0"/>
            <c:bubble3D val="0"/>
            <c:spPr>
              <a:solidFill>
                <a:srgbClr val="C9C8C2"/>
              </a:solidFill>
            </c:spPr>
          </c:dPt>
          <c:dPt>
            <c:idx val="3"/>
            <c:invertIfNegative val="0"/>
            <c:bubble3D val="0"/>
            <c:spPr>
              <a:solidFill>
                <a:srgbClr val="C9C8C2"/>
              </a:solidFill>
            </c:spPr>
          </c:dPt>
          <c:dLbls>
            <c:numFmt formatCode="0.00&quot;%&quot;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800">
                    <a:solidFill>
                      <a:srgbClr val="52514E"/>
                    </a:solidFill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Hoja1!$A$2:$A$5</c:f>
              <c:strCache>
                <c:ptCount val="4"/>
                <c:pt idx="0">
                  <c:v>Ejemplo RV Global (este)</c:v>
                </c:pt>
                <c:pt idx="1">
                  <c:v>Alternativa Uno Global</c:v>
                </c:pt>
                <c:pt idx="2">
                  <c:v>Alternativa Dos Global</c:v>
                </c:pt>
                <c:pt idx="3">
                  <c:v>Alternativa Tres Global Dist</c:v>
                </c:pt>
              </c:strCache>
            </c:strRef>
          </c:cat>
          <c:val>
            <c:numRef>
              <c:f>Hoja1!$B$2:$B$5</c:f>
              <c:numCache>
                <c:formatCode>0.00"%"</c:formatCode>
                <c:ptCount val="4"/>
                <c:pt idx="0">
                  <c:v>0.2</c:v>
                </c:pt>
                <c:pt idx="1">
                  <c:v>0.12</c:v>
                </c:pt>
                <c:pt idx="2">
                  <c:v>0.15</c:v>
                </c:pt>
                <c:pt idx="3">
                  <c:v>0.19</c:v>
                </c:pt>
              </c:numCache>
            </c:numRef>
          </c:val>
        </c:ser>
        <c:gapWidth val="70"/>
        <c:overlap val="-10"/>
        <c:axId val="10"/>
        <c:axId val="20"/>
      </c:barChart>
      <c:catAx>
        <c:axId val="10"/>
        <c:scaling>
          <c:orientation val="maxMin"/>
        </c:scaling>
        <c:delete val="0"/>
        <c:axPos val="l"/>
        <c:numFmt formatCode="General" sourceLinked="0"/>
        <c:majorTickMark val="none"/>
        <c:minorTickMark val="none"/>
        <c:tickLblPos val="low"/>
        <c:spPr>
          <a:ln w="9525">
            <a:solidFill>
              <a:srgbClr val="A3A29C"/>
            </a:solidFill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20"/>
        <c:crosses val="autoZero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b"/>
        <c:majorGridlines>
          <c:spPr>
            <a:ln w="6350">
              <a:solidFill>
                <a:srgbClr val="E4E3DF"/>
              </a:solidFill>
            </a:ln>
          </c:spPr>
        </c:majorGridlines>
        <c:numFmt formatCode="0.00&quot;%&quot;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850">
                <a:solidFill>
                  <a:srgbClr val="52514E"/>
                </a:solidFill>
              </a:defRPr>
            </a:pPr>
            <a:endParaRPr lang="es-ES"/>
          </a:p>
        </c:txPr>
        <c:crossAx val="10"/>
        <c:crosses val="max"/>
        <c:crossBetween val="between"/>
      </c:valAx>
    </c:plotArea>
    <c:plotVisOnly val="1"/>
    <c:dispBlanksAs val="gap"/>
  </c:chart>
  <c:spPr>
    <a:noFill/>
    <a:ln>
      <a:noFill/>
    </a:ln>
  </c:spPr>
  <c:txPr>
    <a:bodyPr/>
    <a:lstStyle/>
    <a:p>
      <a:pPr>
        <a:defRPr sz="900">
          <a:solidFill>
            <a:srgbClr val="52514E"/>
          </a:solidFill>
        </a:defRPr>
      </a:pPr>
      <a:endParaRPr lang="es-E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ETF — plantilla</dc:title>
  <dc:creator>analisis-inversion</dc:creator>
  <cp:lastModifiedBy>Un-named</cp:lastModifiedBy>
  <cp:revision>1</cp:revision>
  <dcterms:created xsi:type="dcterms:W3CDTF">2026-10-06T19:21:59.085Z</dcterms:created>
  <dcterms:modified xsi:type="dcterms:W3CDTF">2026-10-06T19:21:59.085Z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