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On Holding AG</w:t>
      </w:r>
    </w:p>
    <w:p>
      <w:pPr>
        <w:spacing w:after="60"/>
        <w:rPr>
          <w:color w:val="52514E"/>
          <w:sz w:val="22"/>
          <w:szCs w:val="22"/>
        </w:rPr>
      </w:pPr>
      <w:r>
        <w:rPr>
          <w:color w:val="52514E"/>
          <w:sz w:val="22"/>
          <w:szCs w:val="22"/>
        </w:rPr>
        <w:t xml:space="preserve">ONON · NYSE (acciones de Clase A, en USD) · ISIN CH1134540470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26,48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27,68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8.900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ONON / CH1134540470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 (acciones de Clase A, en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(solo como referencia: On no forma parte del índice)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ropa y bienes de lujo (calzado y ropa deportiva)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(Suiza) · 2010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26,48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21,89 – 42,42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8.265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262 M USD/día (≈ 218 M CHF; 8,5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Valor objetivo: </w:t>
      </w:r>
      <w:r>
        <w:rPr>
          <w:b/>
          <w:bCs/>
        </w:rPr>
        <w:t xml:space="preserve">27,68 CHF</w:t>
      </w:r>
      <w:r>
        <w:t xml:space="preserve"> (+4,5 % sobre 26,48; rentabilidad total esperada +4,5 %)</w:t>
      </w:r>
    </w:p>
    <w:p>
      <w:pPr>
        <w:spacing w:after="100"/>
      </w:pPr>
      <w:r>
        <w:t xml:space="preserve">On ha crecido como pocas marcas deportivas, y con beneficio: ventas de 425 a 3.014 M CHF entre 2020 y 2025 (TCAC del 47,9 %), margen bruto del 64,8 % en el 1S26, el más alto del sector, ROIC del 38,4 % y 643 M CHF de caja neta después de arrendamientos [1, 6, 7]. Su valor está en una marca que vende a precio completo y en una cartera de crecimiento (Asia, ropa, venta directa) que todavía es pequeña.</w:t>
      </w:r>
    </w:p>
    <w:p>
      <w:pPr>
        <w:spacing w:after="100"/>
      </w:pPr>
      <w:r>
        <w:t xml:space="preserve">Al precio de 26,48 CHF (31,88 USD), el DCF inverso descuenta un crecimiento medio del 8,1 % anual en 2027-2035, frente al 10,7 % de mi caso base, o un margen EBITDA final del 18,2 % en lugar del 20,0 %. On cotiza a 11,2x EV/EBITDA de los próximos 12 meses y 18,5x PER, con prima sobre los comparables (8,0x y 12,9x), pero por debajo de cualquier cierre anual desde 2022 (14,2x EBITDA de los últimos 12 meses frente a una media de 34,7x). El mercado ya no paga el plan a 2029: castiga la rebaja de la guía de ventas, el dólar débil y la cúpula nueva [6, 68].</w:t>
      </w:r>
    </w:p>
    <w:p>
      <w:pPr>
        <w:spacing w:after="100"/>
      </w:pPr>
      <w:r>
        <w:t xml:space="preserve">El mercado acierta en la dirección y exagera la cuantía. Mi valor objetivo es de 27,68 CHF (33,33 USD), un 4,5 % por encima del precio: el DCF (30,07 CHF) y los escenarios (29,51 CHF) quedan por encima, y los comparables (18,98 CHF) por debajo. Para comprar hay que creer que el recorte de los mayoristas es temporal y que la venta directa y Asia sostienen un crecimiento del 15 % en divisa constante. La regla da Mantener, y estoy de acuerdo: el potencial no paga el riesgo de marca y la falta de visibilidad hasta los resultados del 3T26 y la guía de 2027. En dólares, para comparar con la cotización: valor objetivo de 33,33 USD, compra por debajo de 28,98 USD (24,07 CHF) y venta por encima de 37,04 USD (30,76 CHF), al tipo de 0,8305 CHF por USD [45].</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 / -31,3 %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24,07 (rentabilidad total esperada ≥ 15 %), si la asimetría sigue siendo favorable</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24,07 y 30,76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30,76 (rentabilidad total esperada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24,07 CHF (≈ 29 USD) sin deterioro de los fundamentales, pasaríamos a Comprar.</w:t>
      </w:r>
    </w:p>
    <w:p>
      <w:pPr>
        <w:pStyle w:val="ListParagraph"/>
        <w:numPr>
          <w:ilvl w:val="0"/>
          <w:numId w:val="2"/>
        </w:numPr>
        <w:spacing w:after="60"/>
      </w:pPr>
      <w:r>
        <w:t xml:space="preserve">Si la guía de 2027 apunta a un crecimiento «high-teens» a divisa constante con margen bruto ≥ 65 %, subiríamos el caso base y probablemente pasaríamos a Comprar.</w:t>
      </w:r>
    </w:p>
    <w:p>
      <w:pPr>
        <w:pStyle w:val="ListParagraph"/>
        <w:numPr>
          <w:ilvl w:val="0"/>
          <w:numId w:val="2"/>
        </w:numPr>
        <w:spacing w:after="60"/>
      </w:pPr>
      <w:r>
        <w:t xml:space="preserve">Si la venta directa del 3T26 crece menos del 20 % a divisa constante, pasaríamos a Vender.</w:t>
      </w:r>
    </w:p>
    <w:p>
      <w:pPr>
        <w:pStyle w:val="ListParagraph"/>
        <w:numPr>
          <w:ilvl w:val="0"/>
          <w:numId w:val="2"/>
        </w:numPr>
        <w:spacing w:after="60"/>
      </w:pPr>
      <w:r>
        <w:t xml:space="preserve">Si el margen bruto de 2026 sin aranceles devueltos queda por debajo del 63 %, revisaríamos a la baja el caso base.</w:t>
      </w:r>
    </w:p>
    <w:p>
      <w:pPr>
        <w:pStyle w:val="ListParagraph"/>
        <w:numPr>
          <w:ilvl w:val="0"/>
          <w:numId w:val="2"/>
        </w:numPr>
        <w:spacing w:after="60"/>
      </w:pPr>
      <w:r>
        <w:t xml:space="preserve">Si el precio supera 30,76 CHF (≈ 37 USD) sin mejora de las previsiones, pasaríamos a Vender.</w:t>
      </w:r>
    </w:p>
    <w:p>
      <w:pPr>
        <w:pStyle w:val="Heading2"/>
      </w:pPr>
      <w:r>
        <w:t xml:space="preserve">Dónde discrepamos del mercado</w:t>
      </w:r>
    </w:p>
    <w:p>
      <w:pPr>
        <w:spacing w:after="100"/>
      </w:pPr>
      <w:r>
        <w:rPr>
          <w:b/>
          <w:bCs/>
        </w:rPr>
        <w:t xml:space="preserve">Lo que descuenta el precio.</w:t>
      </w:r>
    </w:p>
    <w:p>
      <w:pPr>
        <w:spacing w:after="100"/>
      </w:pPr>
      <w:r>
        <w:t xml:space="preserve">Que On se ha convertido en una marca deportiva más: crecimiento medio del 8 % anual desde 2027, sin llegar al margen del plan, y un riesgo de gobierno por la salida de dos primeros ejecutivos en 24 meses y el control de los fundadores. Con 11,2x EBITDA de los próximos 12 meses, el precio queda a medio camino entre Asics (11,8x) y las marcas en reestructuración.</w:t>
      </w:r>
    </w:p>
    <w:p>
      <w:pPr>
        <w:spacing w:after="100"/>
      </w:pPr>
      <w:r>
        <w:rPr>
          <w:b/>
          <w:bCs/>
        </w:rPr>
        <w:t xml:space="preserve">Lo que creemos nosotros.</w:t>
      </w:r>
    </w:p>
    <w:p>
      <w:pPr>
        <w:spacing w:after="100"/>
      </w:pPr>
      <w:r>
        <w:t xml:space="preserve">El negocio está mejor de lo que dice la cotización: el margen bruto sube (64,8 %), la venta directa crece al 34 % a divisa constante y Asia ya es el 20 % de las ventas [6]. Lo que frena el crecimiento en CHF es sobre todo la divisa y una decisión voluntaria sobre los mayoristas. Aun así, mi caso base solo está un 13,6 % por encima del precio, porque proyecto en CHF y con un WACC del 10,01 %.</w:t>
      </w:r>
    </w:p>
    <w:p>
      <w:pPr>
        <w:spacing w:after="100"/>
      </w:pPr>
      <w:r>
        <w:rPr>
          <w:b/>
          <w:bCs/>
        </w:rPr>
        <w:t xml:space="preserve">Por qué podemos tener razón.</w:t>
      </w:r>
    </w:p>
    <w:p>
      <w:pPr>
        <w:spacing w:after="100"/>
      </w:pPr>
      <w:r>
        <w:t xml:space="preserve">La diferencia entre el crecimiento a divisa constante (+21,6 %) y en CHF (+13,5 %) del 2T26 es de 8 puntos, y el mercado la está tratando como pérdida de demanda [6]. Si la guía de 2027 confirma un «high-teens» a divisa constante, el DCF inverso del 8 % se queda corto. No tengo una visión muy distinta del mercado en el plazo de doce meses: la diferencia está a tres o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bruto líder y creciente</w:t>
      </w:r>
      <w:r>
        <w:t xml:space="preserve">: 64,8 % en el 1S26, 680 pb más que en 2022, frente al 42,9 % de Nike [6, 39].</w:t>
      </w:r>
    </w:p>
    <w:p>
      <w:pPr>
        <w:pStyle w:val="ListParagraph"/>
        <w:numPr>
          <w:ilvl w:val="0"/>
          <w:numId w:val="2"/>
        </w:numPr>
        <w:spacing w:after="60"/>
      </w:pPr>
      <w:r>
        <w:rPr>
          <w:b/>
        </w:rPr>
        <w:t xml:space="preserve">Crecimiento todavía alto en divisa constante</w:t>
      </w:r>
      <w:r>
        <w:t xml:space="preserve">: +24,0 % en el 1S26, con la venta directa al +31,6 % [6].</w:t>
      </w:r>
    </w:p>
    <w:p>
      <w:pPr>
        <w:pStyle w:val="ListParagraph"/>
        <w:numPr>
          <w:ilvl w:val="0"/>
          <w:numId w:val="2"/>
        </w:numPr>
        <w:spacing w:after="60"/>
      </w:pPr>
      <w:r>
        <w:rPr>
          <w:b/>
        </w:rPr>
        <w:t xml:space="preserve">Balance sin deuda</w:t>
      </w:r>
      <w:r>
        <w:t xml:space="preserve">: 1.205,6 M CHF de caja y recompra de hasta 1.000 M USD aprobada [7, 21].</w:t>
      </w:r>
    </w:p>
    <w:p>
      <w:pPr>
        <w:pStyle w:val="ListParagraph"/>
        <w:numPr>
          <w:ilvl w:val="0"/>
          <w:numId w:val="2"/>
        </w:numPr>
        <w:spacing w:after="60"/>
      </w:pPr>
      <w:r>
        <w:rPr>
          <w:b/>
        </w:rPr>
        <w:t xml:space="preserve">Rentabilidad del capital</w:t>
      </w:r>
      <w:r>
        <w:t xml:space="preserve">: ROIC del 38,4 % en 2025 e incremental del 48,6 % en cinco años.</w:t>
      </w:r>
    </w:p>
    <w:p>
      <w:pPr>
        <w:pStyle w:val="ListParagraph"/>
        <w:numPr>
          <w:ilvl w:val="0"/>
          <w:numId w:val="2"/>
        </w:numPr>
        <w:spacing w:after="60"/>
      </w:pPr>
      <w:r>
        <w:rPr>
          <w:b/>
        </w:rPr>
        <w:t xml:space="preserve">Valoración por debajo de su historia</w:t>
      </w:r>
      <w:r>
        <w:t xml:space="preserve">: 14,2x EBITDA de los últimos 12 meses frente a 23,4-49,7x en los cierres de 2022-2025, y un DCF inverso que solo exige un 8,1 % de crecimiento anual.</w:t>
      </w:r>
    </w:p>
    <w:p>
      <w:pPr>
        <w:pStyle w:val="Heading2"/>
      </w:pPr>
      <w:r>
        <w:t xml:space="preserve">En contra</w:t>
      </w:r>
    </w:p>
    <w:p>
      <w:pPr>
        <w:pStyle w:val="ListParagraph"/>
        <w:numPr>
          <w:ilvl w:val="0"/>
          <w:numId w:val="2"/>
        </w:numPr>
        <w:spacing w:after="60"/>
      </w:pPr>
      <w:r>
        <w:rPr>
          <w:b/>
        </w:rPr>
        <w:t xml:space="preserve">Primera rebaja de la guía de ventas</w:t>
      </w:r>
      <w:r>
        <w:t xml:space="preserve"> desde la OPV: los mayoristas crecen solo un 4,8 % en CHF en el 2T26 [6].</w:t>
      </w:r>
    </w:p>
    <w:p>
      <w:pPr>
        <w:pStyle w:val="ListParagraph"/>
        <w:numPr>
          <w:ilvl w:val="0"/>
          <w:numId w:val="2"/>
        </w:numPr>
        <w:spacing w:after="60"/>
      </w:pPr>
      <w:r>
        <w:rPr>
          <w:b/>
        </w:rPr>
        <w:t xml:space="preserve">Prima sobre los comparables</w:t>
      </w:r>
      <w:r>
        <w:t xml:space="preserve">: 11,2x EV/EBITDA NTM frente a 8,0x de mediana; con los múltiplos del sector valdría 18,98 CHF.</w:t>
      </w:r>
    </w:p>
    <w:p>
      <w:pPr>
        <w:pStyle w:val="ListParagraph"/>
        <w:numPr>
          <w:ilvl w:val="0"/>
          <w:numId w:val="2"/>
        </w:numPr>
        <w:spacing w:after="60"/>
      </w:pPr>
      <w:r>
        <w:rPr>
          <w:b/>
        </w:rPr>
        <w:t xml:space="preserve">Gobierno</w:t>
      </w:r>
      <w:r>
        <w:t xml:space="preserve">: dos cambios de primer ejecutivo en 24 meses, fundadores con el ~54 % del voto y el 13 % del capital, y un variable ligado a ventas y EBITDA ajustado, sin ROIC ni caja, que en 2025 superó en 1,33 M CHF el máximo aprobado [1, 26, 47].</w:t>
      </w:r>
    </w:p>
    <w:p>
      <w:pPr>
        <w:pStyle w:val="ListParagraph"/>
        <w:numPr>
          <w:ilvl w:val="0"/>
          <w:numId w:val="2"/>
        </w:numPr>
        <w:spacing w:after="60"/>
      </w:pPr>
      <w:r>
        <w:rPr>
          <w:b/>
        </w:rPr>
        <w:t xml:space="preserve">Divisa</w:t>
      </w:r>
      <w:r>
        <w:t xml:space="preserve">: el dólar débil restó 8,1 puntos al crecimiento del 2T26 y el 51 % de las ventas es en EE. UU. [1, 6].</w:t>
      </w:r>
    </w:p>
    <w:p>
      <w:pPr>
        <w:pStyle w:val="ListParagraph"/>
        <w:numPr>
          <w:ilvl w:val="0"/>
          <w:numId w:val="2"/>
        </w:numPr>
        <w:spacing w:after="60"/>
      </w:pPr>
      <w:r>
        <w:rPr>
          <w:b/>
        </w:rPr>
        <w:t xml:space="preserve">Riesgo de moda y de concentración</w:t>
      </w:r>
      <w:r>
        <w:t xml:space="preserve">: 90 % del calzado fabricado en Vietnam y el mayor cliente pesa el 11,6 % [1, 7].</w:t>
      </w:r>
    </w:p>
    <w:p>
      <w:pPr>
        <w:pStyle w:val="Heading2"/>
      </w:pPr>
      <w:r>
        <w:t xml:space="preserve">Qué tiene que pasar para que la tesis funcione</w:t>
      </w:r>
    </w:p>
    <w:p>
      <w:pPr>
        <w:spacing w:after="100"/>
      </w:pPr>
      <w:r>
        <w:t xml:space="preserve">La tesis depende de que la desaceleración sea de canal y de divisa, no de marca. La señal está en dos cifras de los resultados del 3T26 (noviembre) y de la guía de 2027 (marzo): el crecimiento de la venta directa a divisa constante, que debe seguir por encima del 25 %, y el de los mayoristas, que debe volver a dos dígitos en 2027. Si la venta directa baja del 20 % con mayoristas planos, el problema es la marca y el escenario bajista (18,18 CHF) pasa a ser el central.</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venta directa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más limpia de la demanda de la marca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los mayoristas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recorte es temporal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(sin aranceles devueltos)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y mezcla de canal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(472,9 M CHF a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2022 el exceso de existencias hundió el flujo libre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mayor cliente en las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creciente en el canal más débil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22,4x / 18,5x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12</w:t>
            </w: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On nació en Zúrich en 2010 de la mano de Olivier Bernhard, ex triatleta profesional, y de David Allemann y Caspar Coppetti, que venían de la consultoría y la publicidad, con la suela CloudTec como invento de partida [1]. En 2012 se creó On Holding AG como sociedad cabecera [1]. Creció a través de tiendas especializadas de running y después de grandes minoristas. Roger Federer se sumó como socio de la marca, y en septiembre de 2021 salió a bolsa en la NYSE con una estructura de doble clase que deja el voto en manos de los fundadores [1, 5]. Desde entonces ha multiplicado las ventas por cuatro (de 725 M CHF en 2021 a 3.014 M CHF en 2025) y ha pasado de la zapatilla de running a la ropa, el tenis, el outdoor, la fábrica propia de LightSpray en Zúrich y, en 2026, el fútbol y el golf [1, 6, 11]. En 2025-2026 la dirección volvió a los fundadores: el CEO y CFO Martin Hoffmann salió en mayo de 2026 y Allemann y Coppetti son ahora copresidentes y co-CEO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On AG en Zúrich por Bernhard, Allemann y Coppetti; primera zapatilla con CloudTec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On Holding AG como sociedad cabecera del grupo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(sep-2021) a 24 USD por acción, con acciones de Clase A cotizadas y de Clase B de los fundadores; Roger Federer figura como socio («co-entrepreneur») y la línea THE ROGER se explota bajo licencia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Investor Day: objetivo de duplicar las ventas a 2026 (≥ 3.550 M CHF) y llegar a un margen EBITDA ajustado del 18 %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 de la primera fábrica de LightSpray en Zúrich; ventas por encima de 3.000 M CHF y Asia-Pacífico por encima de 500 M CHF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recíprocos de EE. UU. del 20 % sobre Vietnam (ago-2025), de donde sale el 90 % del calzado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de EE. UU. anula los aranceles IEEPA (feb-2026); On pide la devolución de 55,6 M CHF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fundadores Allemann y Coppetti asumen como co-CEO tras la salida de Martin Hoffmann (1-may-2026)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(22-sep): objetivos a 2029, entrada en fútbol y golf y primera recompra de acciones de hasta 1.000 M USD [21].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On diseña y vende calzado deportivo premium (el 93 % de las ventas de 2025), ropa y accesorios bajo una sola marca [1, 11]. Nació en el running y se ha extendido al outdoor, el entrenamiento, el tenis, el uso diario y, desde 2026, el fútbol y el golf [1, 21]. Vende en más de 90 países por dos canales: mayoristas (58,2 % de las ventas de 2025), es decir, tiendas especializadas de running, grandes cadenas deportivas y grandes almacenes, y venta directa (41,8 %), con la web propia y 67 tiendas propias al cierre de 2025 [1, 11]. No fabrica: menos de 30 proveedores externos, seis de los cuales hacen el 70 % de la producción; el 90 % del calzado sale de Vietnam y el 10 % de Indonesia [1]. La excepción es LightSpray, una tecnología de pala pulverizada que On fabrica en Zúrich [1]. EE. UU. es el 51 % de las ventas, EMEA el 25 % y Asia-Pacífico el 17 % [1].</w:t>
      </w:r>
    </w:p>
    <w:p>
      <w:pPr>
        <w:pStyle w:val="Heading2"/>
      </w:pPr>
      <w:r>
        <w:t xml:space="preserve">Cómo gana dinero</w:t>
      </w:r>
    </w:p>
    <w:p>
      <w:pPr>
        <w:spacing w:after="100"/>
      </w:pPr>
      <w:r>
        <w:t xml:space="preserve">Es una marca de margen bruto alto: 62,8 % en 2025 y 64,8 % en el 1S26, frente al 42,9 % de Nike o el 51,6 % de adidas [6, 11, 38, 39]. El margen depende de tres cosas. La primera es el precio completo: On evita las rebajas y frena las entregas a mayoristas cuando el mercado está promocional, como en el 2T26 [6]. La segunda es la mezcla de canal: cada punto de venta directa sube el margen bruto, porque se queda el margen del minorista. La tercera son los costes de producto y de aduanas en EE. UU. y la divisa, porque factura en USD, EUR y otras monedas y presenta en CHF [1, 6]. Los gastos generales (50 % de las ventas en 2025, con 2 % de remuneración en acciones) dan el apalancamiento operativo: marketing, tiendas y tecnología crecen menos que las ventas [11]. No hay ingresos recurrentes por contrato; la repetición viene de la marca. Hay estacionalidad moderada: el 2T y el 3T son los trimestres más fuertes en ventas y márgenes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 (Wholesale)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directa (DTC)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ha subido: el mayor cliente fue el 11,0 % de las ventas de 2025 y el 11,6 % en el 1S26, cuando antes de 2025 ninguno pasaba del 10 %; dos clientes superaban cada uno el 10 % de los saldos de clientes a dic-2025 [1, 6]. Los mayoristas, que son el 58 % de las ventas, compran con crédito comercial sin garantía y con pedidos anticipados [1]. El riesgo está en la salud de las grandes cadenas de EE. UU. y en que dediquen el espacio a otras marcas [1]. El poder de precios se ve en el margen bruto: subió de 56,0 % en 2022 a 64,8 % en el 1S26 pese al arancel recíproco del 20 % sobre Vietnam desde agosto de 2025, que On absorbió con precio y mezcla sin perder crecimiento (+21,6 % a divisa constante en el 2T26) [1, 6, 11]. La dirección dice haber subido precios selectivamente para mantener el posicionamiento, sin dar cifras [40]. La señal contraria es la del canal: en el 2T26 los mayoristas crecieron solo un 4,8 % (12,7 % a divisa constante) porque On recortó entregas para no alimentar rebajas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venta directa (DTC)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 (2025); 45,7 % en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38,1 %; 2022 36,4 %; 2023 37,5 % (cálculo sobre ventas por canal) [1,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38 en China (incl. Hong Kong), 14 en América, 10 en Europa, 5 en Asia-Pacífico sin China. 2021: 9; 2022: 18; 2023: 32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 744; 2021: 1.158; 2022: 1.701; 2023: 2.353 [1, 2, 3,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Ropa y accesorios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(2025); 8,1 %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169,9 M y accesorios 39,6 M en 2025 [1,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 (2025); 20,5 %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divisa constante de APAC: 106,7 % en 2025, 58,1 % en 1S26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 (2025); 64,8 %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59,4 %; 2022 56,0 %; 2023 59,6 %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Países con presencia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90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calzado y ropa deportiva de marca en el mundo, y dentro de él el calzado de rendimiento premium (running sobre todo), donde compiten On, HOKA, Asics y las líneas de running de Nike y adidas. Uso dos fuentes. Grand View Research mide el calzado deportivo mundial: 146.700 M USD en 2023, con previsión de 205.800 M USD en 2030 (TCAC del 5,0 %) [41]. McKinsey y la WFSGI miden toda la industria de artículos deportivos (calzado, ropa y equipamiento): creció un 7 % anual en 2021-2024 y esperan un 6 % anual hasta 2029 [42]. Tomo la serie de Grand View porque es la más cercana a lo que vende On (93 % calzado), y la de McKinsey como contraste de crecimiento.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153.900 M USD en 2024 (calzado deportivo mundial) [41]; previsión de 205.800 M USD en 2030 [41]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calzado deportivo mundial, Grand View Research))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deportiva, running y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adidas y Puma citan en sus informes de 2025 la mayor participación deportiva y la conciencia de salud como motores de fondo [38, 43]; la industria creció un 7 % anual en 2021-2024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Deporte como prenda diaria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describe la fusión de ropa deportiva y de calle como motor material de la demanda [43]; On dice que los menores de 34 años son ya más de un tercio de sus clientes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insurgentes frente a las establecidas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creció un 15,9 % en su ejercicio a mar-2026 y Asics un 19,5 % en 2025, mientras Nike quedó plana (+0 %) [39,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recíproco del 20 % sobre Vietnam desde ago-2025 sobre el 20 % previo; los IEEPA se anularon en feb-2026 y On reclama 55,6 M CHF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Promociones y exceso de inventario en el canal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Puma habla de un entorno «intensamente promocional» en 2025 [43]; On frenó entregas a mayoristas en el 2T26 por el mismo motivo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(USD débil frente al 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USD/CHF pasó de 0,906 a cierre de 2024 a 0,793 a cierre de 2025 [45]; en el 1S26 las ventas de On crecieron un 14,0 % en CHF y un 24,0 % a divisa constante [6].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Nike y adidas defienden cuota con marketing y rebajas; Puma perdió dinero en 2025 (margen EBIT de −4,9 %) en un mercado promocional [43].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mayoristas son el 58 % de las ventas de On y reparten espacio entre marcas; el consumidor final paga precio completo por las marcas con demanda [1,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concentrada: seis proveedores hacen el 70 % de la producción de On y el 90 % del calzado viene de Vietnam; algunos tejidos tienen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abarata entrar (On y HOKA lo demuestran), pero escalar una marca global exige años de inversión en atletas y distribución [1,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calzado de calle no deportivo compite por el gasto, pero la tendencia de los últimos años va hacia el deporte como prenda diaria [43].</w:t>
            </w:r>
          </w:p>
        </w:tc>
      </w:tr>
    </w:tbl>
    <w:p>
      <w:pPr>
        <w:spacing w:after="160" w:before="0"/>
      </w:pPr>
    </w:p>
    <w:p>
      <w:pPr>
        <w:pStyle w:val="Heading2"/>
      </w:pPr>
      <w:r>
        <w:t xml:space="preserve">Ciclo</w:t>
      </w:r>
    </w:p>
    <w:p>
      <w:pPr>
        <w:spacing w:after="100"/>
      </w:pPr>
      <w:r>
        <w:t xml:space="preserve">El sector está en una fase de digestión: Nike encadena dos años sin crecer (46.309 y 46.398 M USD en sus ejercicios a may-2025 y may-2026), Lululemon y Puma esperan menos ventas en 2026 y el mercado es promocional [39, 43]. Los indicadores son el inventario del canal, el nivel de rebajas y el crecimiento de los mayoristas. En 2008-09 y 2020 el sector cayó con el consumo y se recuperó en uno o dos años; en 2022-23 el exceso de inventario tras la pandemia hundió los márgenes de las marcas grandes. Las insurgentes (On, HOKA, Asics) siguen creciendo a doble dígito, pero también ellas frenan [6, 39, 44].</w:t>
      </w:r>
    </w:p>
    <w:p>
      <w:pPr>
        <w:pStyle w:val="Heading2"/>
      </w:pPr>
      <w:r>
        <w:t xml:space="preserve">Regulación</w:t>
      </w:r>
    </w:p>
    <w:p>
      <w:pPr>
        <w:spacing w:after="100"/>
      </w:pPr>
      <w:r>
        <w:t xml:space="preserve">Lo que más pesa en las cifras es la política comercial de EE. UU., adonde va el 51 % de las ventas de On [11]. En ago-2025 entró en vigor un arancel recíproco del 20 % sobre Vietnam, que se suma al 20 % previo [1]. El 20-feb-2026 el Tribunal Supremo anuló los aranceles aprobados con la IEEPA; On ha pagado 55,6 M CHF y espera recuperar hasta 65 M USD en el 3T26, aunque no lo reconoce hasta que el cobro sea prácticamente seguro [6, 21]. Las normas contra el trabajo forzoso (retenciones de la CBP) y los objetivos de emisiones validados por la SBTi son el otro frente regulatorio que declara la empresa [1].</w:t>
      </w:r>
    </w:p>
    <w:p>
      <w:pPr>
        <w:pStyle w:val="Heading2"/>
      </w:pPr>
      <w:r>
        <w:t xml:space="preserve">Tendencias y disrupción</w:t>
      </w:r>
    </w:p>
    <w:p>
      <w:pPr>
        <w:spacing w:after="100"/>
      </w:pPr>
      <w:r>
        <w:t xml:space="preserve">Tres tendencias favorecen a On. El running y el deporte como identidad de una generación (más de un tercio de sus clientes tiene menos de 34 años) [6]; el paso de la cuota de Nike y adidas a marcas especializadas y premium, como HOKA, Asics u On [39, 44]; y la venta directa, que On ha llevado del 36 % de las ventas en 2022 al 45,7 % en el 2T26 [6, 11]. En contra juegan la madurez del canal mayorista en EE. UU., la vuelta de Nike al running con más inversión y la competencia china en Asia (Anta, Li Ning), donde On crece más deprisa [6]. La innovación de producto (espumas, LightSpray) es la barrera que On intenta levantar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Marca insurgente premium; cuota estimada del 2,1 % del calzado deportivo mundial en 2025 (estimación propia: 2.804 M CHF de calzado de On [11] sobre ~162.000 M USD de mercado, extrapolando la serie de Grand View al 5 % anual [41])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planas (46.398 M USD en el ejercicio a may-2026) y margen operativo del 8,2 % (beneficio bruto menos gastos de venta y administración)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 margen tras Yeezy: ventas de 24.811 M EUR (+4,8 %) y margen operativo del 8,3 % en 2025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Ropa premium con calzado incipiente; ventas de 11.103 M USD y margen operativo del 19,9 % (23,7 % un año antes) en el ejercicio a feb-2026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reestructuración: ventas de 7.296 M EUR (−13,1 %) y EBIT de −357 M EUR en 2025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premium; ventas de 6.566 M USD (+26,7 %) y beneficio operativo de 702 M USD en 2025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rival más parecido: HOKA vendió 2.587 M USD (+15,9 %) en el ejercicio a mar-2026; el grupo, 5.472 M USD con margen operativo del 23,1 % [39].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7936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Running de rendimiento y moda (Onitsuka Tiger); ventas de 810.900 M JPY (+19,5 %) y beneficio operativo de 142.500 M JPY en 2025 [44].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Comunidad de corredores y atletas, pero sin efecto de red económico: un cliente más no hace el producto mejor para otro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zapatilla no cuesta nada; la fidelidad viene del ajuste y de la costumbre, no de un coste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62,8 % en 2025 y del 64,8 % en el 1S26 frente al 42,9 % de Nike y el 51,6 % de adidas; crecimiento a precio completo y conocimiento de marca del 30 % [3, 4, 8,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fabrica con los mismos proveedores asiáticos que el resto y con menos volumen que Nike o adidas; LightSpray podría cambiarlo a largo plazo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3.014 M CHF de ventas en 2025 es menos de una décima parte de Nike (38.534 M CHF) y algo más de la mitad de Amer Sports; la escala le permite financiar atletas y tiendas, pero no es una barrera para otros [3, 9, 18].</w:t>
            </w:r>
          </w:p>
        </w:tc>
      </w:tr>
    </w:tbl>
    <w:p>
      <w:pPr>
        <w:spacing w:after="160" w:before="0"/>
      </w:pPr>
    </w:p>
    <w:p>
      <w:pPr>
        <w:pStyle w:val="Heading2"/>
      </w:pPr>
      <w:r>
        <w:t xml:space="preserve">Amenazas</w:t>
      </w:r>
    </w:p>
    <w:p>
      <w:pPr>
        <w:spacing w:after="100"/>
      </w:pPr>
      <w:r>
        <w:t xml:space="preserve">El foso es la marca, y las marcas de moda deportiva se desgastan. Le pasó a Under Armour y le está pasando a Lululemon, cuyo margen operativo cayó del 23,7 % al 19,9 % en un año [39]. Las amenazas concretas son tres. La primera, que Nike recupere el running con producto e inversión. La segunda, que HOKA, Asics u otra marca nueva ocupen el sitio de «la zapatilla que hay que tener» [39, 44]. La tercera, que la expansión a ropa, fútbol y golf diluya la autenticidad de corredor [21]. Probabilidad media a cinco años. La señal temprana sería el crecimiento de la venta directa a divisa constante por debajo del 20 % o más rebajas en las propias tiendas de On.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2020-2025: ingresos </w:t>
      </w:r>
      <w:r>
        <w:rPr>
          <w:b/>
          <w:bCs/>
        </w:rPr>
        <w:t xml:space="preserve">47,9 %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la única compra de la historia de On costó 0,3 M CHF en 2019 [1]. Las ventas pasaron de 425 M CHF en 2020 a 3.014 M CHF en 2025, una TCAC del 47,9 %, y se frenan: +29,4 % en 2024, +30,0 % en 2025 y +14,0 % en el 1S26 (+24,0 % a divisa constante) [6, 11]. El margen bruto subió 680 pb entre 2022 y 2025 (del 56,0 % al 62,8 %) por más venta directa, precio completo y fletes normalizados, y llegó al 64,8 % en el 1S26 pese al arancel sobre Vietnam [1, 6]. El margen EBITDA NIIF pasó del 10,8 % en 2022 al 16,7 % en 2025, porque los gastos generales crecieron menos que las ventas. 2021 no es comparable (198,5 M CHF de pagos en acciones por la OPV), y el beneficio neto se mueve al revés que el EBIT por las diferencias de cambio: −173,2 M CHF en 2025 frente a +67,7 M CHF en 2024 [1]. En el LTM a junio de 2026 el beneficio neto ya es de 396,2 M CHF.</w:t>
      </w:r>
    </w:p>
    <w:p>
      <w:pPr>
        <w:pStyle w:val="Heading2"/>
      </w:pPr>
      <w:r>
        <w:t xml:space="preserve">Ajustes y partidas no recurrentes</w:t>
      </w:r>
    </w:p>
    <w:p>
      <w:pPr>
        <w:spacing w:after="100"/>
      </w:pPr>
      <w:r>
        <w:t xml:space="preserve">On publica EBITDA, beneficio neto y BPA «ajustados» que excluyen la remuneración en acciones y sus cargas sociales (y, en 2021, 7,6 M CHF de costes de la OPV) [1, 5]. La diferencia no es pequeña ni puntual: 62,6 M CHF en 2025 (2,1 % de las ventas y el 30,7 % del beneficio neto) y 71,5 M CHF en 2024 [1]. Es un gasto recurrente y aquí se trata como tal: la cuenta, el DCF y los múltiplos usan el EBITDA NIIF (504,4 M CHF en 2025 frente a 567,0 M CHF ajustado). Las diferencias de cambio (−173,2 M CHF en 2025, +67,7 M CHF en 2024 y −111,4 M CHF en 2023) van al resultado financiero y no se repiten con el mismo tamaño desde que la moneda funcional es el USD (+2,9 M CHF en el 1S26) [1, 7]. La devolución de aranceles (hasta 53 M CHF en el 3T26) será un extraordinario positivo [21].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transcripciones gratuitas; el resumen sale de las notas de prensa, el MD&amp;A y el Investor Day. En mayo (1T26) el mensaje era de aceleración: ventas por encima de 800 M CHF por primera vez, +26,4 % a divisa constante, margen bruto del 64,2 % y guía subida a ≥ 64,5 % de margen bruto con ventas de al menos +23 % a divisa constante [9]. En agosto (2T26) cambia el discurso: +21,6 % a divisa constante, venta directa +34,3 %, pero mayoristas solo +12,7 % porque On «gestiona deliberadamente» las entregas en un mercado promocional, sobre todo en América, y la guía de ventas baja a un crecimiento «low-20%» (3.470-3.560 M CHF) mientras el margen bruto sube a ≥ 65,0 % [6, 8]. Es la primera rebaja de la guía de ventas desde la OPV [6]. En el Investor Day (22-sep) la dirección anticipa un 3T de ~17 % a divisa constante, fija los objetivos a 2029 y anuncia la recompra [21]. Lo que no se ha cuantificado: cuánto inventario hay en el canal mayorista de EE. UU., cuánto pesa el mayor cliente (11,6 % de las ventas del 1S26) en el recorte y qué margen tendrán fútbol y golf [1,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Sin compras: el activo total se triplica por la salida a bolsa (612 M CHF de emisión de acciones) y no por un cambio de perímetro. 2021 tampoco es comparable en márgenes: 198,5 M CHF de remuneración en acciones por la OPV.).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no tiene deuda financiera: 1.205,6 M CHF de caja a junio de 2026 frente a 562,5 M CHF de arrendamientos, una caja neta de 643 M CHF después de arrendamientos [7]. El circulante comercial ha mejorado mucho: del 37,6 % de las ventas en 2022, cuando On acumuló existencias (269 días), al 18,9 % en 2025 (137 días) [1]. En junio de 2026 sube al 19,7 % de las ventas de los últimos 12 meses (635,9 M CHF), con las existencias en 472,9 M CHF, un 12,7 % más que un año antes y por debajo del crecimiento de las ventas [6, 8]. Los arrendamientos crecen deprisa (de 347,5 a 521,5 M CHF en 2025, y 230,3 M CHF más firmados sin empezar) porque On abre tiendas y almacenes automatizados en Atlanta y Beringen: es la «deuda» que de verdad crece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319</w:t>
      </w:r>
      <w:r>
        <w:t xml:space="preserve">, conversión </w:t>
      </w:r>
      <w:r>
        <w:rPr>
          <w:b/>
          <w:bCs/>
        </w:rPr>
        <w:t xml:space="preserve">83 %</w:t>
      </w:r>
      <w:r>
        <w:t xml:space="preserve"> del beneficio neto; adquisiciones 0, dividendos 0, recompras 0.</w:t>
      </w:r>
    </w:p>
    <w:p>
      <w:pPr>
        <w:spacing w:after="100"/>
      </w:pPr>
      <w:r>
        <w:t xml:space="preserve">La conversión de beneficio en caja es buena pero irregular. El flujo libre (después de capex, arrendamientos e intereses) fue de −330 M CHF en 2022, por la acumulación de existencias, y de 153, 379 y 190 M CHF en 2023-2025; 319 M CHF acumulados en 2020-2025, con una conversión del 83 % del beneficio neto [1]. En 2025 bajó por más circulante (clientes +59 M CHF) y por más arrendamientos pagados (69,9 M CHF) [1]. En el LTM a junio de 2026 se recupera hasta 334 M CHF (estimación propia sobre los estados intermedios) [7]. El capex es ligero (2,6 % de las ventas en 2025) y la empresa no separa mantenimiento y crecimiento; estimación propia: con unas amortizaciones de inmovilizado propio de ~1,5 % de las ventas, casi todo el capex es de crecimiento (tiendas, almacenes, tecnología y la fábrica de LightSpray). Las altas de arrendamientos, que no pasan por caja, son tan grandes como el capex.</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2020-2025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firma sin salvedades todos los ejercicios desde 2020, pero hubo una debilidad material de control interno (segregación de funciones en el ERP) detectada en 2020, con opinión desfavorable sobre el control a 31-dic-2022 y remediada en 2023 [1, 4]. Tres asuntos piden lectura atenta. La remuneración en acciones, 2,1 % de las ventas y el 30,7 % del beneficio neto de 2025, que las métricas ajustadas eliminan [1]. El tipo impositivo, anómalo y no proyectable: −15,2 % en 2023 y 0,7 % en 2025, por el impuesto diferido de los márgenes intragrupo en existencias y por incentivos fiscales; el normalizado está más cerca del 17-19 % (13,9 % en el 1S26) [1, 7]. Y las diferencias de cambio, que en 2025 restaron 173,2 M CHF al beneficio [1]. Los indicadores del motor son tranquilizadores: Altman Z de 6,65 (zona segura), Piotroski F de 7 sobre 9 y Beneish M de −2,44, por debajo del umbral de −1,78. La devolución de aranceles del 3T26 inflará el margen bruto de ese trimestre [21].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2020-2022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Identificada al preparar las cuentas de 2020: segregación de funciones en el ERP antiguo (asientos sin revisión obligatoria) y conciliaciones sin revisión formal [5]. PwC emitió opinión desfavorable sobre el control interno a 31-dic-2022 [4]. Remediada a 31-dic-2023 [3]; no hubo ajustes materiales en las cuentas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enormes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−173,2 M en 2025 (116,0 M no realizadas), +67,7 M en 2024, −111,4 M en 2023 y −139,9 M solo en 2T25, sobre todo por la revaluación de saldos monetarios en USD (caja e intragrupo) por el cruce CHF/USD [1, 7]. Hacen que el beneficio neto (−15,9 % en 2025) se mueva al revés que el EBIT (+78 %). Desde el 1-ene-2026 On Holding AG y On AG pasan a moneda funcional USD (presentación sigue en CHF), lo que reduce este efecto: +2,9 M en 1S26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anormalmente bajo y volátil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en 2025, 13,4 % en 2024 y −15,1 % en 2023, frente a un tipo esperado del 19,6 %; en 2025 por impuesto diferido de la eliminación de márgenes intragrupo en existencias (127,2 M de activo diferido neto por existencias), incentivos fiscales (−35,2 M) y partidas de años anteriores (−11,9 M) [1]. Activos por impuesto diferido: 175,9 M (dic-25) y 187,8 M (jun-26) [1, 7]. 1S26: 13,9 %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Métricas ajustadas excluyen la 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en acciones en SG&amp;A: 62,6 M en 2025 (2,1 % de ventas; 30,7 % del beneficio neto, cálculo), 71,5 M en 2024 (3,1 %; 29,5 %), 198,5 M en 2021 (27,4 % de ventas, por la OPV) [1, 5]. El EBITDA ajustado y el BPA ajustado la excluyen y son base de la retribución variable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3T25 con un extraordinario de ~2 puntos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65,7 % del 3T25 incluye un efecto favorable puntual de aproximadamente el 2 % por fletes y otros costes inferiores a lo previsto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inflarán el margen bruto del 3T26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IEEPA pagados: 55,6 M (52,7 M en trámite de devolución), no reconocidos a 30-jun-2026 [7]. A 11-ago-2026 se habían cobrado unos 27,9 M, que se reconocerán en el 3T26 como menor coste de ventas [7, 8]; el Investor Day estima hasta 65 M USD (hasta 53 M CHF) en el 3T26, que beneficiarán el beneficio bruto reportado; la guía de 2026 los excluye [21].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fue el 11,0 % de las ventas de 2025 y el 11,6 % en 1S26 (ninguno superaba el 10 % antes de 2025); dos clientes superaban cada uno el 10 % de los saldos de clientes a dic-25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criterio y de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 nueva desagregación geográfica (EMEA, Americas, APAC; 'Rest of World' repartido), sin efecto en totales [3]. 2024: pasivos por arrendamiento en línea propia del balance [2]. Mar-2025: cambio del calendario de devengo de RSU y PSU del LTIP 2021 [1]. 2026: moneda funcional USD para la matriz y la principal sociedad operativa [1]. 2027: NIIF 18 llevará parte de las diferencias de cambio al resultado operativo y los intereses cobrados a inversión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Pignoración de activos circulantes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y existencias pignorados a favor de la línea de crédito (655,1 M a jun-26) aunque la línea no está dispuesta: se usa para avales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Arrendamientos como asunto clave de auditoría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PwC señala como asunto clave el plazo de los arrendamientos con opciones de prórroga (derechos de uso 494,1 M; pasivos 521,5 M a dic-25)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48,6 % · </w:t>
      </w:r>
      <w:r>
        <w:rPr>
          <w:b/>
          <w:bCs/>
        </w:rPr>
        <w:t xml:space="preserve">WACC</w:t>
      </w:r>
      <w:r>
        <w:t xml:space="preserve">: 10,0 %.</w:t>
      </w:r>
    </w:p>
    <w:p>
      <w:pPr>
        <w:spacing w:after="100"/>
      </w:pPr>
      <w:r>
        <w:t xml:space="preserve">On crea valor desde 2023: el ROIC (beneficio operativo después de impuestos sobre capital invertido medio, con los arrendamientos en el capital) fue del 23,0 % en 2023, del 22,6 % en 2024 y del 38,4 % en 2025, frente a un WACC del 10,01 %. El salto de 2025 es en parte fiscal: con un tipo del 0,7 % el NOPAT casi iguala al EBIT; con un tipo normal del 18 % el ROIC rondaría el 32 % (estimación propia). Lo mueve el margen, no la rotación: la rotación del activo es estable (1,16-1,20 veces en 2023-2025) y el margen EBIT pasó del 7,0 % de 2022 al 12,5 % de 2025. El ROIC incremental de 2020-2025 es del 48,6 %: el crecimiento ha sido rentable. El ROE (13,5 % en 2025) es menor porque el patrimonio incluye 1.020 M CHF de caja y porque las diferencias de cambio redujeron el beneficio. Frente a los competidores, el ROIC de On queda por encima del de adidas (14,8 %), Nike (18,9 %) y Amer (9,5 %) y por debajo del de Deckers (90,6 %) y Asics (41,8 %) [72].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y equivalentes 1.205,6 M (de ellos 799,8 M en depósitos a plazo de hasta tres meses) sin deuda financiera, más la línea sindicada multidivisa de 700 M sin disponer (con 163,2 M usados para avales y cartas de crédito) y una opción de ampliación (acordeón) de hasta 200 M; vence el 7-jul-2028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ningún documento de la empresa (20-F 2021-2025, 6-K) menciona una calificación crediticia; On no tiene bonos emitidos [1].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Línea de crédito de 700 M (firmada el 7-jul-2023, ampliada dos años hasta el 7-jul-2028), sin disponer a 31-dic-2025 ni a 30-jun-2026; margen de 1,40 % a 2,30 % sobre el tipo de referencia según el apalancamiento (+0,10 % en USD) [23]. Covenants: patrimonio consolidado de al menos 800 M y ratio deuda neta senior / EBITDA ajustado por derechos de uso no superior a 3,50x [24]; cumplidos en 2024, 2025 y 1S26 [1, 7]. Activos pignorados por la línea: clientes 312,8 M y existencias 342,2 M (655,1 M a 30-jun-2026) [7]. Avales y cartas de crédito a favor de terceros: 163,2 M (jun-26), sobre todo para los almacenes automatizados de Atlanta (105,5 M a dic-25) y Beringen (27,9 M) [1, 7]. Compromisos de arrendamiento firmados y no iniciados: 230,3 M (jun-26), sobre todo el almacén de Beringen (104,3 M) [7]. Pensiones (plan suizo de prestación definida): obligación neta 5,5 M (dic-25) [1]. Provisiones 39,6 M (jun-26): cargas sociales de planes en acciones 8,7, premios de antigüedad 13,8, otras (desmantelamiento y litigios) 17,0 [7]. Responsabilidad solidaria por el grupo de IVA suizo y por el cash pooling (322,8 M de saldos compensados) [7]. Aranceles IEEPA pagados en EE. UU.: 55,6 M, de los que 52,7 M están en trámite de devolución; no reconocidos a 30-jun [7].</w:t>
      </w:r>
    </w:p>
    <w:p>
      <w:pPr>
        <w:pStyle w:val="Heading1"/>
      </w:pPr>
      <w:r>
        <w:t xml:space="preserve">12. Asignación de capital</w:t>
      </w:r>
    </w:p>
    <w:p>
      <w:pPr>
        <w:pStyle w:val="Confianza"/>
        <w:spacing w:after="100"/>
      </w:pPr>
      <w:r>
        <w:t xml:space="preserve">Confianza: Alta</w:t>
      </w:r>
    </w:p>
    <w:p>
      <w:pPr>
        <w:spacing w:after="100"/>
      </w:pPr>
      <w:r>
        <w:t xml:space="preserve">On nunca ha declarado ni pagado dividendos y no prevé hacerlo en el futuro previsible: retiene los fondos para crecer [1]. En septiembre de 2026 el consejo autorizó la primera recompra de acciones: hasta 1.000 M USD de acciones de Clase A hasta el 31-dic-2029 [21]. Capital autorizado (capital band) hasta el 25-may-2028: emitir o amortizar hasta 25.000.000 acciones A, y emitir hasta 9.487.500 acciones B [27]. Capital condicional: hasta 10.042.461 acciones A para consejeros, consultores y socios de servicio [37]. No ha habido recompras con salida de caja hasta jun-26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Brunner Mettler GmbH (Zúrich),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combinación de negocios de la historia de On. Pago neto de caja adquirida de 0,3 M en 2019 más 0,2 M de pagos contingentes (2020-2021); generó 1,8 M de fondo de comercio, sin deterioro en ningún año [1, 5]. La empresa no detalla su actividad ni su contribución.</w:t>
            </w:r>
          </w:p>
        </w:tc>
      </w:tr>
    </w:tbl>
    <w:p>
      <w:pPr>
        <w:spacing w:after="160" w:before="0"/>
      </w:pPr>
    </w:p>
    <w:p>
      <w:pPr>
        <w:spacing w:after="100"/>
      </w:pPr>
      <w:r>
        <w:t xml:space="preserve">La dirección ha asignado el capital casi entero al crecimiento orgánico: ni dividendos, ni recompras, ni compras relevantes en 2020-2025, y 319 M CHF de flujo libre acumulado que se han quedado en caja [1]. El resultado es bueno: ROIC incremental del 48,6 % y crecimiento de las ventas por siete en cinco años. El coste ha sido la dilución, entre el 0,7 % y el 2,2 % anual por los planes de acciones [1, 7]. La recompra de hasta 1.000 M USD hasta 2029 (unos 830 M CHF, el 9 % de la capitalización) cambia la política. Es razonable con 1.205,6 M CHF de caja y un flujo libre esperado de más de 400 M CHF al año [7, 69]. Pero llega cuando la acción ha caído un 31,4 % en el año y parece servir también para absorber la dilución de los planes y las ventas de los exdirectivos [63, 68].</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en 2010; montó la producción y la cadena de suministro en Asia y la identidad de marca, y es copresidente ejecutivo desde abril de 2021 [1]. Antes, director de marketing de Vitra (2006-2010), director general de Young &amp; Rubicam Suiza y consultor de McKinsey [1]. Con los fundadores al frente, las ventas pasaron de CHF 724,6 M en 2021 a CHF 3.014,0 M en 2025 y el margen de EBITDA ajustado del 13,3 % al 18,8 % [11, 29]. Participación a 31-dic-2025: 3,9 % económico y 16,5 % del voto (2.538.011 acciones A y 103.162.500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copresidente ejecutivo del consejo y co-CEO (co-CEO desde el 1-may-2026)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presidente y director global de ventas desde 2010 y copresidente ejecutivo desde abril de 2021; construyó la red comercial y de distribución y ha dirigido la industrialización de LightSpray [1]. Antes, socio director y director de estrategia de Young &amp; Rubicam (2004-2010) y consultor de McKinsey [1]. Participación a 31-dic-2025: 3,9 % económico y 17,5 % del voto (2.072.758 acciones A y 109.370.840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consejero ejecutivo (producto de rendimiento y atletas)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triatleta profesional (tres títulos mundiales), autor del concepto CloudTec; consejero ejecutivo desde la fundación en 2010 y responsable de prototipos y del programa de atletas [1, 26]. Es el mayor accionista individual: 5,0 % económico y 18,9 % del voto a 31-dic-2025 (4.860.086 acciones A y 115.620.840 B)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Sluis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Fichaje externo; CFO desde el 1-may-2026, cuando Martin Hoffmann dejó la doble función de CEO y CFO [26]. Viene de ser CFO de Europa e Indonesia en Ahold Delhaize, con puestos financieros anteriores en Reckitt Benckiser y Unilever [54]. Todavía no tiene resultados medibles en On; presentó los objetivos a 2029 en el Investor Day del 22-sep-2026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Maguire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el 31-mar-2025 como director de innovación desde Specialized, donde era CEO, y antes fue COO del grupo Dyson [53]. Ascendió a presidente y COO el 1-may-2026, con toda la cadena de valor a su cargo (I+D, fabricación, marketing, operaciones comerciales y tecnología) [26]. Según la empresa, dirigió el escalado de LightSpray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Hoffmann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CEO y CFO (CFO 2013-2026, co-CEO 2021-2025, CEO único 2025-abr-2026); asesor hasta mar-2027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CFO desde 2013 y llevó la salida a bolsa de 2021 [1]. Fue CEO y CFO a la vez desde abril/julio de 2025 hasta su salida el 1-may-2026 [1, 26]. En su etapa las guías anuales de 2022-2025 se cumplieron todas y se superaron. Al salir convirtió sus 16.250.000 acciones B en 1.625.000 A, aprobadas en la junta de 2026, con una obligación de venta ordenada [48, 49]. Ha vendido unos CHF 17,3 M en 12 meses [39, 63, 64, 65].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(nov-2021): ventas de al menos CHF 960 M y EBITDA ajustado de CHF 125 M [28]. Revisada al alza cuatro veces: ≥ CHF 990 M y margen del 13,1 % (mar-2022), ≥ CHF 1.040 M y 13,2 % (may), ≥ CHF 1.100 M (ago) y CHF 1.125 M con EBITDA ajustado de CHF 148 M y margen del 13,2 % (nov) [29, 30,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1.222,1 M (+68,7 %), margen bruto del 56,0 % y margen de EBITDA ajustado del 13,5 %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(mar-2023): ventas ≥ CHF 1.700 M, margen bruto de ~58,5 % y margen de EBITDA ajustado del 15,0 % [33]. Revisada a ≥ CHF 1.740 M (may), ≥ CHF 1.760 M (ago) y CHF 1.790 M con margen bruto ≥ 59,0 % (nov) [34, 35,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1.792,1 M (+46,6 %; más del 55 % a tipo constante), margen bruto del 59,6 % y margen de EBITDA ajustado del 15,5 %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(mar-2024): crecimiento a tipo constante ≥ 30 % (≥ CHF 2.250 M), margen bruto de ~60 % y margen de EBITDA ajustado del 16,0-16,5 % [20]. Se mantuvo en may y ago [18, 19]. En nov subió a ≥ 32 % a tipo constante (≥ CHF 2.290 M), margen bruto de ~60,5 % y EBITDA en la parte alta del rango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2.318,3 M (+29,4 %; +33,2 % a tipo constante), margen bruto del 60,6 % y margen de EBITDA ajustado del 16,7 %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(mar-2025): crecimiento a tipo constante ≥ 27 % (≥ CHF 2.940 M), margen bruto de ~60,5 % y margen de EBITDA ajustado del 17,0-17,5 % [16]. En may, por los aranceles, subió las ventas a ≥ 28 % pero bajó los márgenes a 60,0-60,5 % y 16,5-17,5 % [15]. En ago subió a ≥ 31 %, 60,5-61,0 % y 17,0-17,5 % [14], y en nov a 34 % (CHF 2.980 M), ~62,5 % y más del 18,0 %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CHF 3.014,0 M (+30,0 %; +35,6 % a tipo constante), margen bruto del 62,8 % y margen de EBITDA ajustado del 18,8 %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(mar-2026): crecimiento a tipo constante ≥ 23 % (≥ CHF 3.440 M), margen bruto ≥ 63,0 % y margen de EBITDA ajustado del 18,5-19,0 % [11]. En may mantuvo las ventas (≥ CHF 3.510 M) y subió los márgenes a ≥ 64,5 % y 19,5-20,0 % [9]. En ago rebajó las ventas a un crecimiento «low-20%» a tipo constante (CHF 3.470-3.560 M) al frenar las entregas a mayoristas, con margen bruto ≥ 65,0 % [6]. Lo reiteró el 22-sep, con una previsión de ~17 % a tipo constante para el 3T [21].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ventas de CHF 1.682,2 M (+14,0 %; +24,0 % a tipo constante), margen bruto del 64,8 % y margen de EBITDA ajustado del 20,3 % [6]. Es la primera rebaja de la guía de ventas desde la salida a bolsa; la de márgenes se ha subido.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(objetivos del Investor Day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2023 hasta al menos CHF 3.550 M (TCAC de más del 26 %), margen bruto superior al 60 % y margen de EBITDA ajustado del 18 % o más en 2026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vigente para 2026: ventas de CHF 3.470-3.560 M a tipos de contado, margen bruto ≥ 65,0 % y margen de EBITDA ajustado del 19,5-20,0 % [6, 21]. Los márgenes superan con holgura los objetivos. Las ventas en CHF quedan en torno al objetivo, por debajo en el extremo bajo del rango, por la fuerza del franco; a tipo constante el crecimiento supera el plan. La empresa dice que superará «significativamente» los objetivos de 2023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Credibilidad alta en cifras: las guías anuales de 2022 a 2025 se revisaron al alza casi cada trimestre y se superaron en ventas y márgenes [11, 12, 14, 15, 16, 17, 18, 19, 20, 22, 28, 29, 30, 31, 32, 33, 34, 35, 36]. La primera rebaja de ventas llega en agosto de 2026 y coincide con el cambio de cúpula [6]. La estabilidad es baja. En trece meses salieron los dos co-CEO no fundadores: Marc Maurer (anunciado en abr-2025) y Martin Hoffmann, que fue CEO y CFO a la vez casi un año y se fue en may-2026 [26, 53]. Ahora los copresidentes Allemann y Coppetti son también co-CEO, con un CFO externo recién llegado (Frank Sluis) y un presidente y COO con año y medio en la casa [26]. No se ha publicado ningún plan de sucesión. El poder ejecutivo, el voto y la presidencia quedan concentrados en los tres fundadores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ejecutivo y co-CEO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representante de los accionistas de clase A; la empresa lo declara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Nombramientos y Remuneración; vocal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Amy Banse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Durkin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la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Miele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el 21-sep-2026)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Helena Helmersson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y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2020-2025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65,99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Olivier Bernhard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18,9 % del voto (acciones A y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113,7 M (2024) a 115,6 M (2025), por compras dentro del pacto y opciones; acciones A: de 5,45 M a 4,86 M y 5,16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Caspar Coppetti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17,5 %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107,5 M a 109,4 M; acciones A: de 3,12 M a 2,07 M (dic-2025) y 2,38 M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Allemann (cofundador)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pacto de accionistas; 16,5 %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B: de 101,2 M a 103,2 M (incluye 3,16 M en opciones B); acciones A: de 3,70 M a 2,54 M y 2,84 M en jun-2026 [47, 55]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tres fundadores en conjunto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de control; ~57 % del voto a dic-2025 con Hoffmann y ~54 % tras su salida (estimación propia)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13,8 % (jun-2025) → 12,9 % (jun-2026), según el 13G/A; salieron del pacto Maurer (2025) y Hoffmann (2026)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Carlos Alberto Sicupira (CHL Investment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(3G); 6,7 % de las acciones A y 3,1 %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relevantes desde el 13G/A de oct-2024 [1, 62]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Morgan Stanley (MSIM)</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6,5 % de las acciones A y 3,0 %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13G a 31-dic-2025 [60]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 Lemann (MAAI Ltd.)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privado; 6,1 % de las acciones A y 2,8 %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actualizar desde el 13G de dic-2021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Baron Capital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5,65 %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posición declarada por encima del 5 % a 30-jun-2026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5,4 %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Bajando: 10,0 % de las acciones A (jun-2025), 8,1 % (mar-2026) y 5,4 % (jun-2026) [58,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 Pérez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9,77 M acciones A y 1,5 % del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10,01 M (dic-2024) a 9,77 M (dic-2025) [47]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Hoffmann (ex CEO y CFO)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3,24 M acciones A tras convertir sus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Convirtió 16,25 M acciones B en 1,625 M A (may-2026) y vende de forma continuada [49, 56,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AllianceBernstein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 de las acciones 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5,9 % (sep-2024) al 3,3 % (sep-2025) [61]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9.973.771 acciones A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13,16 M (dic-2024) por entregas a planes; recompra de hasta USD 1.000 M aprobada en sep-2026 hasta 2029 [1,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 Allemann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Caspar Coppetti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Olivier Bernhard (aviso Form 144, venta para pagar impuestos de PSU; ejecución no verificada)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14.061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171.508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desde el 1-may)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 Maurer (ex co-CEO)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519.598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 Hoffmann (ex CEO y CFO; aviso Form 144 de venta prevista)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bono anual del CEO se reparte a partes iguales entre ventas y EBITDA ajustado. Paga como máximo el 125 % y llega al 150 % con un modificador individual de ±25 %; en 2025 salió al 125 % [47]. El variable a largo plazo son PSU ligadas a la TCAC de ventas y de EBITDA ajustado, con un multiplicador de TSR relativo (0,75-1,25×) y un tope del 250 %. No hay ROIC ni flujo de caja; los tramos 2023 y 2024 pagaron el 247 % y el 235 % [47]. Desde 2025 los fundadores cobran el 100 % en PSU, CHF 2,9 M cada uno [47]. Antes de la salida a bolsa recibieron opciones sobre acciones B, ya consolidadas y sin condiciones de rendimiento, a USD 0,77; aún quedan 6.325.000 [1, 39]. Hoffmann recibió un pago único de CHF 5 M en RSU [47]. Lo pagado en 2025 superó en CHF 1,33 M el máximo aprobado de CHF 26 M, y la junta lo ratificó [47, 50]. El reembolso de variable (clawback) solo cubre las reexpresiones [1]. No hay indemnizaciones; el preaviso es de doce meses y la no competencia se paga [47]. El informe de 2023 sacó el 87,1 % a favor; sin las acciones B, en torno al 65 % [52].</w:t>
      </w:r>
    </w:p>
    <w:p>
      <w:pPr>
        <w:pStyle w:val="Heading2"/>
      </w:pPr>
      <w:r>
        <w:t xml:space="preserve">Operaciones vinculadas, estructura de control y defensas</w:t>
      </w:r>
    </w:p>
    <w:p>
      <w:pPr>
        <w:spacing w:after="100"/>
      </w:pPr>
      <w:r>
        <w:t xml:space="preserve">Los tres fundadores controlan la sociedad con dos clases de acciones. Las B tienen nominal de CHF 0,01 frente a 0,10 de las A, y una acción, un voto: diez veces más voto por franco [1]. Con unas 325 M de acciones B tienen el 54-57 % del voto y el 13 % del capital [1, 55]. Un pacto de accionistas les obliga a votar en bloque, les da tanteo sobre las B y les asegura un puesto en el consejo [1, 48]. Las B solo se convierten si cae la tenencia por debajo del 65 % [1]. Transmitir B exige aprobación del consejo, que hasta mayo de 2028 puede emitir 9,49 M más sin la junta [49]. Hay contrapesos. Las decisiones de dos tercios necesitan además mayoría del nominal, que está en las A [1]. Las A eligen su propio consejero, Pérez [50]. El régimen suizo de OPA no se aplica [1]. Vinculadas: la empresa pagó el registro de las acciones convertidas de Hoffmann [48].</w:t>
      </w:r>
    </w:p>
    <w:p>
      <w:pPr>
        <w:pStyle w:val="Heading2"/>
      </w:pPr>
      <w:r>
        <w:t xml:space="preserve">Señales de alerta</w:t>
      </w:r>
    </w:p>
    <w:p>
      <w:pPr>
        <w:pStyle w:val="ListParagraph"/>
        <w:numPr>
          <w:ilvl w:val="0"/>
          <w:numId w:val="2"/>
        </w:numPr>
        <w:spacing w:after="60"/>
      </w:pPr>
      <w:r>
        <w:t xml:space="preserve">Rotación de la cúpula: el co-CEO Marc Maurer salió en 2025 [53]. Martin Hoffmann fue CEO y CFO a la vez desde abril/julio de 2025 y se fue el 1-may-2026 [1, 26]. El CFO es externo y nuevo, y el presidente y COO llegó en mar-2025 [26, 53].</w:t>
      </w:r>
    </w:p>
    <w:p>
      <w:pPr>
        <w:pStyle w:val="ListParagraph"/>
        <w:numPr>
          <w:ilvl w:val="0"/>
          <w:numId w:val="2"/>
        </w:numPr>
        <w:spacing w:after="60"/>
      </w:pPr>
      <w:r>
        <w:t xml:space="preserve">Desde el 1-may-2026 los copresidentes son también co-CEO: no hay separación entre presidencia y dirección, y los mismos fundadores tienen el control de voto [26, 49].</w:t>
      </w:r>
    </w:p>
    <w:p>
      <w:pPr>
        <w:pStyle w:val="ListParagraph"/>
        <w:numPr>
          <w:ilvl w:val="0"/>
          <w:numId w:val="2"/>
        </w:numPr>
        <w:spacing w:after="60"/>
      </w:pPr>
      <w:r>
        <w:t xml:space="preserve">Ventas de exdirectivos en 12 meses (Form 144): Maurer, 1,35 M de acciones por unos CHF 42,9 M; Hoffmann, 0,54 M por unos CHF 17,3 M. Hoffmann avisó el 1-oct-2026 de la venta de otras 175.000 acciones y vende las 1,625 M que salieron de convertir sus B bajo un límite del 5 % del volumen medio diario [39, 48, 63, 64, 65].</w:t>
      </w:r>
    </w:p>
    <w:p>
      <w:pPr>
        <w:pStyle w:val="ListParagraph"/>
        <w:numPr>
          <w:ilvl w:val="0"/>
          <w:numId w:val="2"/>
        </w:numPr>
        <w:spacing w:after="60"/>
      </w:pPr>
      <w:r>
        <w:t xml:space="preserve">Lo pagado a la dirección en 2025 (CHF 27,33 M) superó el máximo aprobado de CHF 26 M, y se pidió a la junta un importe suplementario [47, 50]. Hoffmann recibió CHF 5 M en RSU en abr-2025 y dejó el cargo un año después; no se ha publicado si las perdió [26, 47].</w:t>
      </w:r>
    </w:p>
    <w:p>
      <w:pPr>
        <w:pStyle w:val="ListParagraph"/>
        <w:numPr>
          <w:ilvl w:val="0"/>
          <w:numId w:val="2"/>
        </w:numPr>
        <w:spacing w:after="60"/>
      </w:pPr>
      <w:r>
        <w:t xml:space="preserve">El capital libre vota contra: en 2024-2026 el informe de remuneración tuvo entre 47 y 70 millones de votos en contra (9-13 % del total). Sin las acciones B, el apoyo de las A ronda el 65-75 % (estimación propia) [50, 51, 52].</w:t>
      </w:r>
    </w:p>
    <w:p>
      <w:pPr>
        <w:pStyle w:val="ListParagraph"/>
        <w:numPr>
          <w:ilvl w:val="0"/>
          <w:numId w:val="2"/>
        </w:numPr>
        <w:spacing w:after="60"/>
      </w:pPr>
      <w:r>
        <w:t xml:space="preserve">Alex Pérez, consejero desde 2016 y declarado independiente, tiene el 3,0 % del capital y viene de 3G Capital, como Sicupira y Lemann (11,4 % económico entre ambos). Preside la comisión de remuneraciones [1, 47]. En 2026 su reelección como representante de las A tuvo un 12,2 % en contra entre los votos de las A [50].</w:t>
      </w:r>
    </w:p>
    <w:p>
      <w:pPr>
        <w:pStyle w:val="ListParagraph"/>
        <w:numPr>
          <w:ilvl w:val="0"/>
          <w:numId w:val="2"/>
        </w:numPr>
        <w:spacing w:after="60"/>
      </w:pPr>
      <w:r>
        <w:t xml:space="preserve">Como emisor extranjero no le aplican las normas de gobierno de la NYSE ni la protección suiza de OPA: no está obligada a tener mayoría de independientes ni comisiones independientes, emite acciones sin aprobación de la junta y no hay OPA obligatoria [1].</w:t>
      </w:r>
    </w:p>
    <w:p>
      <w:pPr>
        <w:pStyle w:val="ListParagraph"/>
        <w:numPr>
          <w:ilvl w:val="0"/>
          <w:numId w:val="2"/>
        </w:numPr>
        <w:spacing w:after="60"/>
      </w:pPr>
      <w:r>
        <w:t xml:space="preserve">Debilidad material en el control interno detectada en 2020 y dada por remediada a cierre de 2023; el control de 2025 es efectivo, con dictamen de PwC [1, 3, 39].</w:t>
      </w:r>
    </w:p>
    <w:p>
      <w:pPr>
        <w:pStyle w:val="ListParagraph"/>
        <w:numPr>
          <w:ilvl w:val="0"/>
          <w:numId w:val="2"/>
        </w:numPr>
        <w:spacing w:after="60"/>
      </w:pPr>
      <w:r>
        <w:t xml:space="preserve">No se han encontrado demandas colectivas de valores contra On Holding. Hay una demanda colectiva de consumo, Norberg v. On Inc. (Oregón, may-2026), cuyo objeto no está verificado, y el pleito aduanero On Inc. v. United States por los aranceles [1, 46].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reiterada el 22-sep-2026: ventas con crecimiento «low-20%» a divisa constante (3.470-3.560 M CHF a tipos de contado), margen bruto de al menos el 65,0 % y margen EBITDA ajustado del 19,5-20,0 %, sin contar la devolución de aranceles (hasta 53 M CHF en el 3T26) [6, 21]. Para el 3T26 espera ~17 % a divisa constante [21]. La guía de ventas inicial (al menos +23 % a divisa constante) se rebajó en agosto; la de márgenes se ha subido dos veces [C46-48]. Objetivos a 2029 (Investor Day del 22-sep-2026): crecimiento de las ventas «high-teens» a divisa constante, ventas de al menos 5.600 M CHF en 2029, margen bruto ≥ 65 % y margen EBITDA ajustado ≥ 22 %, con un EBITDA ajustado que crezca más del 20 % anual en 2026-2029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(706.1)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(856.5) menos la remuneración en acciones estimada al 1,99 % de las ventas, la proporción del 1S26 (estimación propia); EBIT y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[69], 31 analistas. EBITDA pasado a base NIIF: EBITDA ajustado publicado (1047) menos la remuneración en acciones estimada al 1,99 % de las ventas, la proporción del 1S26 (estimación propia); EBIT y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5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 59,37</w:t>
            </w:r>
          </w:p>
        </w:tc>
      </w:tr>
    </w:tbl>
    <w:p>
      <w:pPr>
        <w:spacing w:after="160" w:before="0"/>
      </w:pPr>
    </w:p>
    <w:p>
      <w:pPr>
        <w:pStyle w:val="Heading2"/>
      </w:pPr>
      <w:r>
        <w:t xml:space="preserve">Revisiones de estimaciones</w:t>
      </w:r>
    </w:p>
    <w:p>
      <w:pPr>
        <w:spacing w:after="100"/>
      </w:pPr>
      <w:r>
        <w:t xml:space="preserve">Las cifras de ventas cuadran entre las dos fuentes: 3.514 M CHF en 2026 en MarketScreener y 3.510 M CHF de media en Stock Analysis (S&amp;P Global), con 30-31 analistas [69, 71]. El BPA difiere por definición: 1,23 CHF NIIF en MarketScreener frente a 1,43 CHF ajustado en Stock Analysis [69, 71]. Los precios objetivo han bajado todo el año. Truist pasó de 65 USD (nov-2025) a 55 (mar-2026), 48 (may) y 40 USD (ago). UBS pasó de 85 a 83 y a 73 USD tras el 2T26 [70]. En sentido contrario, Goldman subió a comprar en enero, Berenberg inició con comprar y 38 USD en septiembre y J.P. Morgan subió de 41 a 44 USD el 1-oct [70, 71]. Las fuentes gratuitas no dan la serie de estimaciones de BPA a 3 y 12 meses.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Desde la OPV, sep-2021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bl>
    <w:p>
      <w:pPr>
        <w:spacing w:after="160" w:before="0"/>
      </w:pPr>
    </w:p>
    <w:p>
      <w:pPr>
        <w:spacing w:after="100"/>
      </w:pPr>
      <w:r>
        <w:t xml:space="preserve">La acción ha ido muy por detrás del mercado: −31,4 % en el año frente al +13,6 % del S&amp;P 500 y −24,3 % a un año, y está un 8,9 % por debajo del primer cierre tras la OPV de 2021 (35 USD) [68]. Tres hechos lo explican. La desaceleración en CHF, porque el dólar débil se come 8-12 puntos del crecimiento reportado (+13,5 % en el 2T26 frente a +21,6 % a divisa constante) [6]. La rebaja de la guía de ventas de agosto por el recorte de entregas a mayoristas [6]. Y el castigo a todo el sector (el índice de consumo discrecional, −7,0 % en el año), con Nike (−52 % en 52 semanas) y Lululemon (−47 %) [68, 72]. El mínimo de 52 semanas (26,36 USD) se marcó el 17-sep, días antes del Investor Day, que hizo subir la acción [68, 70]. La volatilidad (49,8 %) y la beta (2,08 desde la OPV) son las de un valor de crecimiento muy sensible al ciclo; la posición corta es del 6,9 % de las acciones [71]. Rentabilidades de precio: On no paga dividendos; los índices, sin dividendos.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las cuentas de ese año, el EV/EBITDA de los últimos 12 meses fue de 36,9x en 2022, 28,7x en 2023, 49,7x en 2024 y 23,4x en 2025, y el PER se movió entre 60,4x y 90,4x [68]. Se omiten 2020 y 2021, con EBITDA negativo. Hoy On cotiza a 14,2x EBITDA y 22,4x beneficio: por debajo de cualquier cierre anual desde 2022 (percentil 0), un 59 % y un 71 % por debajo de la media de su corta historia. El cambio es estructural: en 2022-2024 el mercado pagaba un crecimiento del 30-70 % con tipos bajos; hoy el crecimiento en CHF es del 14 %, el bono de EE. UU. a 10 años está en el 5,31 % y el sector entero ha bajado de múltiplo [72, 74]. No hay múltiplos NTM históricos gratuitos.</w:t>
      </w:r>
    </w:p>
    <w:p>
      <w:pPr>
        <w:pStyle w:val="Heading1"/>
      </w:pPr>
      <w:r>
        <w:t xml:space="preserve">18. Comparables cotizados</w:t>
      </w:r>
    </w:p>
    <w:p>
      <w:pPr>
        <w:pStyle w:val="Confianza"/>
        <w:spacing w:after="100"/>
      </w:pPr>
      <w:r>
        <w:t xml:space="preserve">Confianza: Media</w:t>
      </w:r>
    </w:p>
    <w:p>
      <w:pPr>
        <w:spacing w:after="100"/>
      </w:pPr>
      <w:r>
        <w:t xml:space="preserve">Siete marcas deportivas cotizadas con cifras estimadas por el mismo proveedor: Deckers (HOKA, el rival más parecido en running premium), Nike y adidas (las líderes, contra las que On gana cuota), Asics (running de rendimiento, el que más crece de las grandes), Amer Sports (outdoor premium de alto crecimiento), Lululemon (marca premium que vende en directo) y Birkenstock (marca premium de calzado con margen alto). Fuera quedan Puma, porque perdió dinero en 2025 y su EV/EBITDA (25,6x) distorsiona la mediana; Skechers, privatizada en 2025; y Crocs y Steve Madden, de calzado no deportivo [72,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 (HOKA, UGG)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(Salomon, Arc'teryx)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Birkenstock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8,0x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9,4x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12,9x / 19,7x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 / 1,8x / 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9,6 + -0,05 × crecimiento; R² = 0,02. El crecimiento explica poco los múltiplos de estos comparables (R² &lt; 0,3): la regresión no se usa en la valoración.</w:t>
      </w:r>
    </w:p>
    <w:p>
      <w:pPr>
        <w:spacing w:after="100"/>
      </w:pPr>
      <w:r>
        <w:t xml:space="preserve">On cotiza con una prima clara: 11,2x EV/EBITDA de los próximos 12 meses y 18,5x PER, frente a medianas de 8,0x y 12,9x. Con los múltiplos de la mediana, la acción valdría unos 19 CHF por acción (18,98 CHF de media entre EV/EBITDA y PER), un 28 % menos que el precio. La prima se justifica en parte: On crece un 19,2 % anual en los próximos 12 meses frente al 7,7 % de la mediana, tiene caja neta y un ROIC del 38,4 % frente al 18,9 %. Pero la regresión múltiplo-crecimiento no explica nada (R² de 0,02), porque el sector cotiza hoy por la recuperación de los márgenes y no por el crecimiento: Asics y Amer, que crecen al 17-18 %, cotizan a 9-12x EBITDA, mientras Nike cotiza a 15,6x con ventas a la baja. El múltiplo que usaría para On es el de Asics (11,8x NTM), el único par con crecimiento y rentabilidad parecidos: con él la acción valdría unos 27,9 CHF, cerca del precio actual (estimación propia: 11,8 × 741 M CHF de EBITDA NTM más 643 M CHF de caja neta, entre 336,1 M de 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spacing w:after="100"/>
      </w:pPr>
      <w:r>
        <w:rPr>
          <w:b/>
          <w:bCs/>
        </w:rPr>
        <w:t xml:space="preserve">Crecimiento de ingresos.</w:t>
      </w:r>
    </w:p>
    <w:p>
      <w:pPr>
        <w:spacing w:after="100"/>
      </w:pPr>
      <w:r>
        <w:t xml:space="preserve">Proyecto diez años porque On sigue lejos de su madurez. 2026 queda fijo en el +16,6 % del consenso (3.514 M CHF, dentro de la guía de 3.470-3.560 M CHF), porque ya hay dos trimestres publicados y la guía es reciente [6, 69]. Después, el 17 % en 2027, el 16 % en 2028 y el 15 % en 2029, ligeramente por debajo del «high-teens» a divisa constante del plan, porque proyecto en CHF y el franco se ha revalorizado de forma persistente frente al dólar; las ventas de 2029 (5.485 M CHF) quedan un 2 % por debajo del objetivo de 5.600 M CHF [21]. Desde 2030 el crecimiento baja dos puntos al año hasta el 3,5 % de 2035, cerca del terminal. Frente al consenso, mis ventas son un 1,6 % menores en 2027 y un 3,7 % menores en 2028 [69].</w:t>
      </w:r>
    </w:p>
    <w:p>
      <w:pPr>
        <w:spacing w:after="100"/>
      </w:pPr>
      <w:r>
        <w:rPr>
          <w:b/>
          <w:bCs/>
        </w:rPr>
        <w:t xml:space="preserve">Márgenes.</w:t>
      </w:r>
    </w:p>
    <w:p>
      <w:pPr>
        <w:spacing w:after="100"/>
      </w:pPr>
      <w:r>
        <w:t xml:space="preserve">Margen EBITDA NIIF, con la remuneración en acciones como gasto (≈ 2 % de las ventas). 2026: 19,0 %, el punto medio de la guía ajustada (19,75 %) menos el 2 % de pagos en acciones más 1,5 puntos de la devolución de aranceles del 3T26 (hasta 53 M CHF) [6, 21]. Sube al 19,5 % en 2028 y al 20,0 % desde 2029. El 20,0 % NIIF equivale a ~22 % ajustado, el objetivo de la empresa para 2029 [21]. Es exigente pero tiene precedentes: Deckers tiene un margen operativo del 23,1 % y Asics del 17,6 % [39, 44], y el margen bruto de On (64,8 % en el 1S26) es el más alto del sector. El EBITDA del modelo queda un 5 % por encima del consenso en 2026, por los aranceles, y en línea (+1 % y −2 %) en 2027-2028.</w:t>
      </w:r>
    </w:p>
    <w:p>
      <w:pPr>
        <w:spacing w:after="100"/>
      </w:pPr>
      <w:r>
        <w:rPr>
          <w:b/>
          <w:bCs/>
        </w:rPr>
        <w:t xml:space="preserve">Inversión y circulante.</w:t>
      </w:r>
    </w:p>
    <w:p>
      <w:pPr>
        <w:spacing w:after="100"/>
      </w:pPr>
      <w:r>
        <w:t xml:space="preserve">El capex incluye las altas de arrendamientos, porque los pasivos por arrendamiento están en la deuda del puente y su amortización en el EBITDA: si no, el DCF contaría el EBITDA de las tiendas sin pagar sus alquileres. Capex propio del 2,6 % de las ventas en 2025 más altas de arrendamientos de ~2,4 %: 5,0 % al principio, que baja al 4,5 % en 2034-2035, por encima de las amortizaciones (4,3 %, como en 2025, 127,4 M CHF sobre 3.014 M CHF) [1]. El circulante pasa del 19,0 % de las ventas (18,9 % en 2025 y 19,7 % en el LTM) al 18,0 %, sin volver al 37,6 % de 2022 [1, 7]. Impuestos del 17-19 %, frente al 13,9 % del 1S26 y al 19,6 % teórico que publica la empresa; no proyecto el 0,7 % de 2025 [1, 7].</w:t>
      </w:r>
    </w:p>
    <w:p>
      <w:pPr>
        <w:spacing w:after="100"/>
      </w:pPr>
      <w:r>
        <w:rPr>
          <w:b/>
          <w:bCs/>
        </w:rPr>
        <w:t xml:space="preserve">Coste del capital.</w:t>
      </w:r>
    </w:p>
    <w:p>
      <w:pPr>
        <w:spacing w:after="100"/>
      </w:pPr>
      <w:r>
        <w:t xml:space="preserve">Todo en CHF, la divisa de las cuentas. Tasa libre de riesgo: bono de la Confederación a 10 años, 0,51 % el 6-oct-2026 [75]. Beta: 2,08 en datos mensuales desde la OPV frente al S&amp;P 500 (2,08 también en Stock Analysis), ajustada a 1,72 con la fórmula de Blume (0,67 × 2,08 + 0,33) [68, 71]. Prima de mercado del 5,5 %, el centro del rango del prompt. Prima adicional de 0,5 puntos por el riesgo de marca de moda, la concentración de la fabricación en Vietnam y el control de los fundadores. Coste de los fondos propios: 10,47 %. Deuda: solo arrendamientos (562,5 M CHF, un 6 % del capital a valor de mercado), al 3,5 %. WACC: 10,01 %. Es alto para un franco con tipos del 0,5 %, pero coherente con una acción de beta 2 y volatilidad del 50 %.</w:t>
      </w:r>
    </w:p>
    <w:p>
      <w:pPr>
        <w:spacing w:after="100"/>
      </w:pPr>
      <w:r>
        <w:rPr>
          <w:b/>
          <w:bCs/>
        </w:rPr>
        <w:t xml:space="preserve">Valor terminal.</w:t>
      </w:r>
    </w:p>
    <w:p>
      <w:pPr>
        <w:spacing w:after="100"/>
      </w:pPr>
      <w:r>
        <w:t xml:space="preserve">Gordon con un crecimiento a perpetuidad del 2,0 % en CHF: por encima de la inflación suiza, porque On vende en todo el mundo y el mercado de calzado deportivo crece un 5 % anual [41]. El múltiplo implícito del Gordon es de 7,6x el EBITDA de 2035, por debajo de la mediana actual de los comparables (8,0x NTM y 9,4x LTM): el valor terminal es prudente. El valor terminal pesa el 58 % del valor empresa, gracias a los diez años de proyección explícita.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37,74</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(base: 10,7 %)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 (WACC: 10,0 %)</w:t>
            </w:r>
          </w:p>
        </w:tc>
      </w:tr>
    </w:tbl>
    <w:p>
      <w:pPr>
        <w:spacing w:after="160" w:before="0"/>
      </w:pPr>
    </w:p>
    <w:p>
      <w:pPr>
        <w:spacing w:after="100"/>
      </w:pPr>
      <w:r>
        <w:t xml:space="preserve">El DCF da 30,07 CHF por acción (36,21 USD), un 13,6 % por encima del precio de 26,48 CHF. El rango con el WACC y el crecimiento terminal ± 0,5 puntos va de 27,34 a 33,56 CHF, y el valor terminal pesa el 58 %. El DCF inverso es lo importante. Al precio actual el mercado descuenta un crecimiento medio de las ventas del 8,1 % anual en 2027-2035, frente al 10,7 % de mi caso base; o bien, con mi crecimiento, un margen EBITDA final del 18,2 % en lugar del 20,0 %. La rentabilidad implícita es del 11,1 % anual en CHF. No es exigente para una empresa que ha crecido un 47,9 % anual en cinco años y crece un 24 % a divisa constante en el 1S26. Equivale a creer que On crecerá en torno al 15 % hasta 2029 y después frenará deprisa, o que no llegará al margen del plan. El mercado ya no paga el plan de 2029: lo descuenta solo en parte.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pierde el sitio de «la zapatilla que hay que tener», como le pasó a Under Armour y le está pasando a Lululemon: los mayoristas de EE. UU. siguen recortando pedidos, Nike recupera el running y el crecimiento cae a un dígito desde 2027. Para defender volumen, On hace rebajas y el margen EBITDA se queda tres puntos por debajo del plan (17 % NIIF).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cumple casi entero el plan de 2029 en divisa constante, pero el franco fuerte deja las ventas en CHF un 2 % por debajo del objetivo; la venta directa y Asia compensan a los mayoristas y el margen EBITDA NIIF llega al 20 % (≈ 22 %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Ropa, Asia y las nuevas categorías (fútbol, golf) suman crecimiento como hizo HOKA en 2021-2024; el dólar deja de restar y On supera el objetivo de 5.600 M CHF en 2029, con un margen EBITDA NIIF del 22 % gracias a la venta directa y a LightSpray.</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29,51 CHF (+11,4 %).</w:t>
      </w:r>
    </w:p>
    <w:p>
      <w:pPr>
        <w:spacing w:after="100"/>
      </w:pPr>
      <w:r>
        <w:t xml:space="preserve">La asimetría es favorable pero no amplia: el alcista vale 39,72 CHF (+50,0 %) y el bajista 18,18 CHF (−31,3 %), una relación de 1,60 veces; el valor ponderado es de 29,51 CHF (+11,4 %). El bajista no es cosmético: es lo que han vivido Lululemon (margen operativo del 23,7 % al 19,9 % en un año) y Nike (ventas planas dos años) [39], y su pérdida (−31 %) se parece a la caída de la acción en lo que va de año. Compensa en el plazo de tres a cinco años; a doce meses, el precio depende de que los resultados del 3T y la guía de 2027 confirmen que el recorte de mayoristas es temporal.</w:t>
      </w:r>
    </w:p>
    <w:p>
      <w:pPr>
        <w:pStyle w:val="Heading1"/>
      </w:pPr>
      <w:r>
        <w:t xml:space="preserve">22. Suma de partes</w:t>
      </w:r>
    </w:p>
    <w:p>
      <w:pPr>
        <w:pStyle w:val="Confianza"/>
        <w:spacing w:after="100"/>
      </w:pPr>
      <w:r>
        <w:t xml:space="preserve">Confianza: Alta</w:t>
      </w:r>
    </w:p>
    <w:p>
      <w:pPr>
        <w:spacing w:after="100"/>
      </w:pPr>
      <w:r>
        <w:t xml:space="preserve">No aplica: On es una sola marca con un solo segmento NIIF 8; calzado, ropa y canales comparten producto, marca y costes, y no hay comparables puros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26,4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27,68 CHF (+4,5 % sobre 26,48).</w:t>
      </w:r>
    </w:p>
    <w:p>
      <w:pPr>
        <w:spacing w:after="100"/>
      </w:pPr>
      <w:r>
        <w:t xml:space="preserve">El DCF pesa el 50 % porque On es un crecedor con un plan explícito a 2029 y diez años de proyección captan mejor su valor que un múltiplo de un año. Los escenarios ponderados, el 30 %, para incorporar la asimetría. Los comparables, solo el 20 %: ningún par combina el crecimiento, el margen bruto y la caja neta de On, y la regresión no explica los múltiplos (R² de 0,02). No hay transacciones con múltiplo verificado (peso 0) y la suma de partes no aplica. La dispersión es grande: los comparables dan 18,98 CHF (−28,3 %) y el DCF 30,07 CHF (+13,6 %). El valor objetivo, 27,68 CHF (33,33 USD), es un 4,5 % superior al precio. El puente usa el balance a 30-jun-2026 (caja 1.205,6 M CHF, arrendamientos 562,5 M CHF, pensiones 8,1 M CHF) [7]. No incluye los aranceles a devolver (hasta 53 M CHF), que aún no están reconocidos y valdrían 0,16 CHF por acción [21].</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nov-2026 (fecha por confirmar)</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rebajada (~17 % a divisa constante) y cobro de la devolución de aranceles (hasta 53 M CHF) en el margen bruto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Oct-2026 a dic-2029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1.000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el 9 % de la capitalización; apoyo al precio y compensación de la dilución de los planes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encaja con el «high-teens» del plan, se cierra la duda sobre los mayoristas; si queda por debajo, el plan de 2029 pierde credibilidad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running (SURREAL en el Cloudsurfer 3, Cloudboom Strike 2) y extensión de LightSpray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innovación como motor de precio completo [6].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 a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comercial de EE. UU. tras la anulación de los aranceles IEEPA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(90 % del calzado) restarían margen bruto; su ausencia lo sumaría [1,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remuneración de los fundadores co-CEO y posible cambio de la moneda de presentación al USD [21, 50].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atractivo de la marca (ciclo de moda)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−31 %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Innovación propia (CloudTec, LightSpray), atletas y precio completo; margen bruto del 64,8 %.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a divisa constante por debajo del 20 % o rebajas en las tiendas propias.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canal mayorista en EE. UU. y 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directa ya en el 45,7 % del 2T26; recorte voluntario de entregas para limpiar el canal.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Mayoristas por debajo del 10 % a divisa constante en el 3T y 4T26; peso del mayor cliente por encima del 12 %.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USD débil frente al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por cada 10 % de caída del USD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Moneda funcional USD desde 2026 (menos diferencias de cambio); precios locales.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concentración de la fabricación en Vietnam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completo; margen bruto ya por encima del 65 % con el 20 % recíproco absorbido; Indonesia como segunda fuente.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Vietnam tras la anulación de los IEEPA.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de voto de los fundadores, cúpula nueva y ventas de exdirectivos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de 0,5 pp en el WACC (≈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desde sep-2026; las A eligen un consejero.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nuevo CFO o del COO; remuneración por encima del máximo aprobado otra vez.</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expansión (ropa, fútbol, golf, tiendas propias)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(−1 pp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 ropa del 47,7 % en el 2T26; tiendas propias rentables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sin ganar apalancamiento en 2027; ropa por debajo del 10 % de las ventas en 2028.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Nike y de otras insurgentes (HOKA, Asics) en running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(−2 pp de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producto y presencia en Asia.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HOKA o Asics creciendo más que On en EE. UU.; Nike recuperando cuota en running.</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 las métricas ajustadas e impuestos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sin salvedades; control interno efectivo desde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impositivo normalizado por encima del 20 %; remuneración en acciones por encima del 3 % de las ventas.</w:t>
            </w:r>
          </w:p>
        </w:tc>
      </w:tr>
    </w:tbl>
    <w:p>
      <w:pPr>
        <w:spacing w:after="160" w:before="0"/>
      </w:pPr>
    </w:p>
    <w:p>
      <w:pPr>
        <w:pStyle w:val="Heading2"/>
      </w:pPr>
      <w:r>
        <w:t xml:space="preserve">Pre-mortem</w:t>
      </w:r>
    </w:p>
    <w:p>
      <w:pPr>
        <w:spacing w:after="100"/>
      </w:pPr>
      <w:r>
        <w:t xml:space="preserve">Octubre de 2029: la acción vale un 40 % menos. Empezó con los mayoristas. El recorte de entregas de 2026, que se vendió como disciplina, escondía una demanda más floja en EE. UU.: el 3T26 creció un 14 % a divisa constante, menos del 17 % previsto, y la guía de 2027 llegó en el «mid-teens». Nike relanzó su running con espumas nuevas y rebajas, y HOKA y Asics llenaron el espacio de las tiendas especializadas. Para no perder volumen, On amplió las rebajas en sus propias tiendas y el margen bruto volvió al 60 %. Mientras, el dólar siguió cayendo frente al franco y el crecimiento en CHF bajó a un dígito. La cúpula nueva tampoco ayudó: el CFO externo salió en 2028 y la remuneración de los fundadores volvió a superar el máximo aprobado. Con el crecimiento en un dígito, el mercado empezó a valorar On como a Lululemon, a 6-8x EBITDA. Las señales estaban a la vista: el crecimiento de la venta directa por debajo del 20 % a divisa constante, el peso del mayor cliente por encima del 12 % y la ropa sin pasar del 10 % de las ventas.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primero es la cadena de suministro: el 90 % del calzado se fabrica en Vietnam y seis proveedores hacen el 70 % de la producción, así que el control de condiciones laborales y el riesgo de retenciones por trabajo forzoso (CBP) afectan a ventas y reputación [1]. El segundo, las emisiones: On tiene objetivos de reducción validados por la SBTi, y casi todas sus emisiones son de alcance 3 (materiales y fabricación de terceros); incumplirlos tendría coste de reputación [1]. El tercero, los materiales: On usa poliéster y poliamida reciclados y de origen biológico, y la volatilidad del petróleo pesa en el coste [1]. No he encontrado cuantificación del coste de cumplimiento en las cuentas.</w:t>
      </w:r>
    </w:p>
    <w:p>
      <w:pPr>
        <w:pStyle w:val="Heading2"/>
      </w:pPr>
      <w:r>
        <w:t xml:space="preserve">Controversias</w:t>
      </w:r>
    </w:p>
    <w:p>
      <w:pPr>
        <w:spacing w:after="100"/>
      </w:pPr>
      <w:r>
        <w:t xml:space="preserve">No hay demandas colectivas de valores contra On Holding AG ni sanciones relevantes en los últimos tres años, según el 20-F 2025 (sin litigios materiales) y la revisión de CourtListener [1, 46]. Hay un pleito aduanero de On Inc. contra EE. UU. por los aranceles IEEPA (CIT, 2026) y una demanda colectiva de consumo en Oregón (Norberg v. On Inc., may-2026), cuyo objeto no he verificado [46].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Mayoristas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inventario de On hay en el canal mayorista de EE. UU. (semanas de cobertura) y cuánto del recorte de entregas del 2T26 corresponde al mayor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cliente pesa el 11,6 % de las ventas y la rebaja de la guía viene de ahí: separa un ajuste puntual de una pérdida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2029</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USD/CHF supone el objetivo de 5.600 M CHF y cuánto aportan fútbol y golf?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 caso base queda un 2 % por debajo por la divisa; el valor es muy sensible a ese supuesto.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margen EBITDA tienen las tiendas propias frente a la web y a los mayoristas?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la venta directa es la palanca del margen del plan; sin el margen por canal no se puede comprobar.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excluir de las métricas, y del variable, un gasto recurrente del 2 % de las ventas? ¿Cuál será la dilución neta con la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diferencia entre el EBITDA ajustado y el NIIF y si la recompra crea valor o solo compensa planes.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presentación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se cambiará la moneda de presentación al USD, y cómo afectará a las coberturas y a los covenants?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comparación histórica y la lectura del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plan de sucesión hay para los co-CEO fundadores y qué papel tendrá la consejera independiente coordinadora en la remuneración?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cambios de primer ejecutivo en 24 meses y control de voto de los fundadores.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los 55,6 M CHF de aranceles IEEPA está cobrada y qué arancel nuevo sobre Vietnam incorpora la guía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Mueve 1,5 puntos de margen bruto en 2026 y el margen de 2027.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Fuentes: 75 (62 primarias); citas distintas en el texto: 71.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0,7 %: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19,0 % frente a 18,9 % real: genera una variación de circulante de 97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 25, 66, 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MD&amp;A de los 6-K trimestrales: no citan consenso; 2) búsqueda web de prensa económica con la cifra de consenso previa a cada resultado: la herramienta de búsqueda devolvió error de límite de sesión; 3) no hay otro proveedor de consenso abierto accesible desde esta máquina sin servicios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kpis: puntos de venta mayoristas (doors)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20-F 2021-2025, búsqueda de 'doors', 'points of sale', 'wholesale partners' con cifra: solo frases cualitativas; 2) notas de prensa del Investor Day 2023 y 2026: sin cifra; 3) notas de prensa trimestrales 2021-2026: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flujo de caja libre de la empresa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sección Non-IFRS Measures: no define FCF; 2) nota de prensa del Investor Day 2026: cita 'Free Cash Flow' como medida no NIIF sin definirla ni cuantificarla; 3) la presentación del Investor Day 2026 no está en EDGAR (el 6-K solo lleva el anexo 99.1) y la búsqueda web no estuvo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divisa de presentación anunciado en el Investor Day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Investor Day 2026: solo lo menciona entre las declaraciones prospectivas ('anticipated change and impact of our reporting currency'), sin fecha ni divisa; 2) 20-F 2025, nota 6.6: cambia la moneda FUNCIONAL a USD desde el 1-ene-2026 y dice que la de presentación sigue siendo CHF; 3) estados intermedios de jun-26, nota 1.2: repite que la presentación sigue en CHF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vida_media_anios,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4.3/5.4 del 20-F 2025: sin deuda financiera desde 2021; 2) estados de jun-26, nota 4.3: línea de 700 M sin disponer; 3) no hay bonos ni préstamos de los que derivarlo; solo hay comisiones de disponibilidad (7,6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anual: no publican calificaciones de terceros; 2) páginas públicas de MSCI y Sustainalytics: requieren registro o cargan por JavaScript; 3) el subagente que lo buscaba se cortó por límite de uso sin dejar notas, y no hubo tiempo de repetirlo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Grand View Research: mide el mercado de calzado, pero no da cuotas en la parte abierta; 2) McKinsey/WFSGI: no publica cuotas en el resumen público; 3) derivarlo con las ventas de Nike, adidas, Puma, Asics y Skechers sobre la serie de calzado mezclaría ropa y equipamiento con calzado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publican cuota; 2) fuentes sectoriales abiertas: sin cuotas por marca; 3) derivarla sobre la serie de calzado mezclaría perímetros (Nike, adidas y Lululemon venden mucha 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Balance y Brooks (privadas)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New Balance: no publica cuentas; la cifra de prensa (CNBC, feb-2026) da ventas, no margen; 2) Brooks: el 10-K de Berkshire 2025 no la desglosa del segmento de bienes de consumo; 3) Skechers: privatizada en sep-2025, su último 10-K es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de Frank Sluis y Scott Maguire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figuran, porque entraron en la dirección en 2026; 2) EDGAR: no hay 13G/13D ni Form 144 a su nombre; 3) informe de remuneración 2025 y web de relación con inversores: no publican su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Roger Federer, Capital Group y Baillie Gifford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7.A: no superan el 5 %; 2) los 13G y 13G/A de EDGAR desde 2024: ninguno de ellos presenta; 3) registros 13F y prensa: WebSearch sin servicio en la sesión y 13F no consultado (los agregadores son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ejecución de las ventas avisadas por los tres fundadores el 6-mar-2026 y por Hoffmann 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primary_doc.xml de cada Form 144: solo anuncian la venta prevista; 2) apartado de ventas de los tres meses anteriores en los 144 posteriores: los fundadores no han presentado ninguno después, y los de Hoffmann llegan solo hasta el 10-ago-2026; 3) 13G/A de los fundadores a 30-jun-2026: da tenencias, no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remuneracion: si Hoffmann perdió los CHF 5 M en RSU de 2025 al irse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e informe de remuneración 2025: anteriores a la salida; 2) 6-K del 25-mar-2026 y Enmienda n.º 1 al pacto: no lo tratan; 3) 6-K del 1T y 2T 2026: sin datos individuales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consejo.desde de David Allemann (fecha de entrada en el consejo)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Item 6: solo dice copresidente ejecutivo desde abril de 2021; 2) 20-F 2021: igual, y antes «Global Branding and Marketing Director» desde 2010; 3) web de relación con inversores: no da la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 (operaciones con múltiplo publicado)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Fuente primaria: 8-K de cierre de la compra de Skechers por 3G Capital (12-sep-2025): da el precio por acción y la financiación, no el valor empresa ni los múltiplos; 2) otra vía: proveedores gratuitos (MarketScreener, Stock Analysis) no publican múltiplos de transacciones y el subagente que buscaba las notas de prensa de Amer Sports/Anta, Reebok/ABG y Birkenstock/L Catterton se cortó por límite de uso sin dejar notas; 3) derivarlo: habría que reconstruir el valor empresa de cada operación con balances de la fecha, sin tiempo de verificarlo en dos fuentes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de los resultados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relación con inversores de On (eventos): no publica aún la fecha; 2) Stock Analysis y MarketScreener: sin fecha confirmada; 3) referencia histórica: el 3T25 se publicó el 12-nov-2025, así que se espera a mediados de noviembre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valoración: solo los múltiplos sobre el ejercicio estimado actual; 2) Stock Analysis: el «forward PE» histórico por año de la página de previsiones usa BPA ajustado y está detrás de la suscripción para 2027-2028; 3) reconstruirlo exigiría el consenso histórico a cada cierre,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barras de puntuación relativa sin cifras; 2) Stock Analysis: historial de estimaciones solo con suscripción; 3) titulares de cambios de precio objetivo (MarketScreener y Stock Analysis): usados como aproximación cualitativa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con analistas (4T25, 1T26,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los 6-K solo incluyen notas de prensa y MD&amp;A, no transcripciones; 2) web de relación con inversores: webcast en vídeo, sin texto; 3) agregadores de transcripciones (Seeking Alpha, Motley Fool): de pago o con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(informe anual con estados financieros auditados)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https://www.sec.gov/Archives/edgar/data/1858985/000185898526000008/onholdingag-20251231.htm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https://www.sec.gov/Archives/edgar/data/1858985/000185898525000003/onholdingag-20241231.htm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https://www.sec.gov/Archives/edgar/data/1858985/000185898524000012/onholdingag-20231231.htm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https://www.sec.gov/Archives/edgar/data/1858985/000185898523000011/onholdingag-20221231.htm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https://www.sec.gov/Archives/edgar/data/1858985/000185898522000006/onholdingag-20211231.htm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and Six-Month Period Ended June 30, 2026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Unaudited interim condensed consolidated financial statements, June 30,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https://www.sec.gov/Archives/edgar/data/1858985/000185898526000018/onholdingag-20260630_d2.htm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Q2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https://www.sec.gov/Archives/edgar/data/1858985/000185898526000018/a26q2-exhibit992xmda.htm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Ended March 31,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Q1 2026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https://www.sec.gov/Archives/edgar/data/1858985/000185898526000014/a26q1-exhibit992xmda.htm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Management's Discussion and Analysis, Q3 2025 (6-K,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https://www.sec.gov/Archives/edgar/data/1858985/000185898525000015/a25q3-exhibit992xmda.htm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2025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https://www.sec.gov/Archives/edgar/data/1858985/000185898525000012/a25q2-ex993xpressrelease.htm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2025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https://www.sec.gov/Archives/edgar/data/1858985/000185898525000005/ex991pressreleasedatedmarc.htm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Third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https://www.sec.gov/Archives/edgar/data/1858985/000185898524000029/a24q3-ex991xpressrelease.htm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Second Quarter 2024 (6-K, ex.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https://www.sec.gov/Archives/edgar/data/1858985/000185898524000024/a24q2-ex993xpressrelease.htm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Reports Results for the First Quarter 2024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https://www.sec.gov/Archives/edgar/data/1858985/000185898524000020/a24q1-ex991xpressrelease.htm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Fourth Quarter and Full Year Results 2023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https://www.sec.gov/Archives/edgar/data/1858985/000185898524000014/ex991pressreleasedatedmarc.htm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Next Chapter: Investor Day 2026 and 2029 Financial Targets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https://www.sec.gov/Archives/edgar/data/1858985/000185898526000021/exhibit991oninvestorday202.htm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Investor Day 2023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https://www.sec.gov/Archives/edgar/data/1858985/000185898523000045/oninvestorday2023-pressrel.htm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Enters into Credit Facility Agreement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https://www.sec.gov/Archives/edgar/data/1858985/000185898523000038/form6-kxcreditfalicityagre.htm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CHF 700,000,000 Multicurrency Revolving Facility Agreement (anexo 4.19 del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https://www.sec.gov/Archives/edgar/data/1858985/000185898524000012/exhibit419_chf700000000m.htm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Announces Appointment of New Chief Financial Officer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https://www.sec.gov/Archives/edgar/data/1858985/000185898526000003/exhibit991_pressrelease.htm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Co-Founders to Lead Next Chapter of Growth as Co-CEOs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the Annual General Meeting 2026 (6-K,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https://www.sec.gov/Archives/edgar/data/1858985/000095010326005884/dp245359_ex9901.htm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 Quarter 2021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https://www.sec.gov/Archives/edgar/data/1858985/000185898521000004/a991pressreleasedatednovem.htm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2021 and Q4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https://www.sec.gov/Archives/edgar/data/1858985/000185898522000008/a991pressreleasedatedmarch.htm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https://www.sec.gov/Archives/edgar/data/1858985/000185898522000016/a22q1-pressrelease.htm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https://www.sec.gov/Archives/edgar/data/1858985/000185898522000020/a22q2-pressrelease.htm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https://www.sec.gov/Archives/edgar/data/1858985/000185898522000025/a22q3-pressrelease.htm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2022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https://www.sec.gov/Archives/edgar/data/1858985/000185898523000015/a991pressreleasedatedmarch.htm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https://www.sec.gov/Archives/edgar/data/1858985/000185898523000034/a23q1-ex991xpressrelease.htm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https://www.sec.gov/Archives/edgar/data/1858985/000185898523000042/a23q2-ex993xpressrelease.htm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2023 results press release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https://www.sec.gov/Archives/edgar/data/1858985/000185898523000052/a23q3-ex991xpressrelease.htm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Description of securities (anexo 2.1 del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https://www.sec.gov/Archives/edgar/data/1858985/000185898526000008/exhibit21_descriptionofsec.htm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income statement and sporting goods industry development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https://www.adidas-group.com/en/investors/financial-reports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fiscal 2026 (ejercicio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https://www.sec.gov/cgi-bin/browse-edgar?action=getcompany&amp;CIK=0000320187&amp;type=10-K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MD&amp;A del primer trimestre de 2025 (6-K, Exhibit 99.2): política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https://www.sec.gov/Archives/edgar/data/1858985/000185898525000008/a25q1-exhibit992xmda.htm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Athletic Footwear Market Size, Share &amp; Trends Analysis Report, 2024-2030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https://www.grandviewresearch.com/industry-analysis/athletic-footwear-market-report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industry growth to slow, new report finds (McKinsey/WFSGI, Sporting Goods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SGI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https://sginews.com/Content/sporting-goods-industry-growth-to-slow-new-report-finds.aspx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Annual Report 2025: economic conditions and year-on-year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PUMA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https://annual-report.puma.com/2025/en/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 Consolidated financial results FY2025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ASICS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https://corp.asics.com/en/investor_relations/library/financial_results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a los cierres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CourtListener (RECAP): expedientes con «On Holding AG» y «On Inc.»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Law Project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https://www.courtlistener.com/?q=%22On+Holding+AG%22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Compensation Report 2025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https://www.sec.gov/Archives/edgar/data/1858985/000185898526000010/ex992_compensationreport.htm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Amendment No. 1 to the Shareholders' Agreement (6-K,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https://www.sec.gov/Archives/edgar/data/1858985/000095010326004606/dp244091_ex9902.htm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Results y estatutos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https://www.sec.gov/Archives/edgar/data/1858985/000095010326007952/dp246675_6k.htm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2026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https://s21.q4cdn.com/241001792/files/doc_events/2026/May/28/AGM-Minutes-2026-vf-Website-Version.pdf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2025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https://s21.q4cdn.com/241001792/files/doc_events/2025/05/250522-On-Holding-AG-AGM-Minutes.pdf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de accionistas 2024 (AGM Minutes)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https://s21.q4cdn.com/241001792/files/doc_events/230423-On-Holding-AG-AGM-Minutes-1.pdf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salida del co-CEO Marc Maurer y nombramientos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https://www.sec.gov/Archives/edgar/data/1858985/000095010325004152/dp226991_ex9901.htm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Governance (dirección y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https://investors.on-running.com/governance/default.aspx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David Allemann, Olivier Bernhard y Caspar Coppetti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Martin Hoffmann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https://www.sec.gov/Archives/edgar/data/1858985/000095010326012253/xslSCHEDULE_13G_X02/primary_doc.xml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Baron Capital Group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https://www.sec.gov/Archives/edgar/data/1858985/000101791826000061/xslSCHEDULE_13G_X02/primary_doc.xml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https://www.sec.gov/Archives/edgar/data/1858985/000031506626002100/xslSCHEDULE_13G_X02/primary_doc.xml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FMR LLC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https://www.sec.gov/Archives/edgar/data/1858985/000031506626001250/xslSCHEDULE_13G_X02/primary_doc.xml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Morgan Stanley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https://www.sec.gov/Archives/edgar/data/1858985/000089542126000054/xslSCHEDULE_13G_X01/primary_doc.xml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AllianceBernstein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https://www.sec.gov/Archives/edgar/data/1858985/000110944825000142/xslSCHEDULE_13G_X01/primary_doc.xml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Carlos Alberto Sicupira / CHL Investment Fund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https://www.sec.gov/Archives/edgar/data/1858985/000155249024000002/xslSCHEDULE_13G_X01/primary_doc.xml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(aviso de 175.000 acciones; ventas de jul-ago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https://www.sec.gov/Archives/edgar/data/1858985/000195824426000633/xsl144X01/primary_doc.xml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Martin Hoffmann (ventas de abr-jun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https://www.sec.gov/Archives/edgar/data/1858985/000195824426000434/xsl144X01/primary_doc.xml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Marc Maurer (ventas de mar-may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https://www.sec.gov/Archives/edgar/data/1858985/000195824426000356/xsl144X01/primary_doc.xml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144: David Allemann (venta por consolidación de PSU)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https://www.sec.gov/Archives/edgar/data/1858985/000195917326002036/xsl144X01/primary_doc.xml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BCE (USD/EUR y CHF/EUR, diarios)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https://data-api.ecb.europa.eu/service/data/EXR/D.USD+CHF.EUR.SP00.A?startPeriod=2025-09-01&amp;endPeriod=2026-10-06&amp;format=csvdata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cotizaciones diarias desde la OPV, índices S&amp;P 500 (^GSPC) y Consumer Discretionary Select Sector SPDR (XLY); cálculo de rentabilidades, beta, volatilidad y caída máxima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https://finance.yahoo.com/quote/ONON/history/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datos financieros y estimaciones 2026-2028, consenso y valoración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consenso, precios objetivo y titulares de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https://www.marketscreener.com/quote/stock/ON-HOLDING-AG-126877786/consensus/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(ONON): previsiones, precios objetivo (S&amp;P Global) y estadísticas (acciones, flotante, posición corta, beta)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https://stockanalysis.com/stocks/onon/forecast/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(capitalización, valor empresa, ROIC, FCF yield) de Deckers, Nike, adidas, Asics, Lululemon, Amer Sports y Birkenstock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https://stockanalysis.com/stocks/deck/statistics/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ventas, EBITDA, BPA y deuda neta reales y estimados (páginas /finances/ de cada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https://www.marketscreener.com/quote/stock/DECKERS-OUTDOOR-CORPORATI-16402770/finances/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5,31 % el 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(0,51 %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transacciones</w:t>
      </w:r>
      <w:r>
        <w:t xml:space="preserve"> · Generado el 6 oct 2026.</w:t>
      </w:r>
    </w:p>
    <w:p>
      <w:pPr>
        <w:pStyle w:val="Nota"/>
        <w:spacing w:after="100"/>
      </w:pPr>
      <w:r>
        <w:t xml:space="preserve">Línea cotizada: acciones de Clase A de On Holding AG en la NYSE (USD). Las de Clase B (nominal 0,01 CHF, de los fundadores) no cotizan; las acciones se cuentan en equivalente económico de Clase A (A + B/10): 336,1 M diluidas a 30-jun-2026 (301,7 M de A, 325,0 M de B = 32,5 M de A y 1,9 M de planes con efecto dilutivo). Divisa: las cuentas están en CHF y el análisis también. El precio (31,88 USD, cierre del 5-oct-2026; a la hora del corte el 6-oct cotizaba en torno a 33,0 USD), la capitalización, el rango de 52 semanas, el volumen, los precios objetivo y los comparables cotizados en USD, EUR o JPY se convierten con los tipos de referencia del BCE del 6-oct-2026 (USD/CHF 0,8305 = 0,9359 CHF/EUR ÷ 1,1269 USD/EUR; JPY/CHF 0,00525). Los precios de cierre de cada año usan el USD/CHF del BCE al cierre (0,9121 en 2021, 0,9232 en 2022, 0,8380 en 2023, 0,9060 en 2024 y 0,7927 en 2025). Desde el 1-ene-2026 la moneda funcional de la matriz y de On AG es el USD (la de presentación sigue siendo el CHF), y la empresa ha anunciado un posible cambio de la moneda de presentación. El EBITDA es el NIIF (con la remuneración en acciones como gasto); la empresa solo guía EBITDA ajustado, que la excluye (≈ 2 % de las ventas). El EBITDA de consenso se ha pasado a base NIIF restando esa remuneración estimada (estimación propia). Los comparables toman ventas, EBITDA y BPA de un solo proveedor (MarketScreener) y la capitalización y el valor empresa de otro (Stock Analysis). Sin servicios de pago: no hay consenso histórico, múltiplos NTM históricos ni transcripciones de las conferencias. Dos de los cuatro subagentes de investigación se cortaron por un límite de uso y su parte se rehízo con menos tiempo: transacciones y calificaciones ESG quedan sin cubrir.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On Holding AG (ONON)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IywjIzAuMDA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"/>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Hoja1!$B$2:$B$8</c:f>
              <c:numCache>
                <c:formatCode>#,##0.00</c:formatCode>
                <c:ptCount val="7"/>
                <c:pt idx="0">
                  <c:v>21.89</c:v>
                </c:pt>
                <c:pt idx="1">
                  <c:v>16.58</c:v>
                </c:pt>
                <c:pt idx="2">
                  <c:v>17.87</c:v>
                </c:pt>
                <c:pt idx="3">
                  <c:v>16.29</c:v>
                </c:pt>
                <c:pt idx="4">
                  <c:v>27.34</c:v>
                </c:pt>
                <c:pt idx="5">
                  <c:v>18.18</c:v>
                </c:pt>
                <c:pt idx="6">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Hoja1!$C$2:$C$8</c:f>
              <c:numCache>
                <c:formatCode>#,##0.00</c:formatCode>
                <c:ptCount val="7"/>
                <c:pt idx="0">
                  <c:v>20.53</c:v>
                </c:pt>
                <c:pt idx="1">
                  <c:v>42.79</c:v>
                </c:pt>
                <c:pt idx="2">
                  <c:v>7.059999999999999</c:v>
                </c:pt>
                <c:pt idx="3">
                  <c:v>11.86</c:v>
                </c:pt>
                <c:pt idx="4">
                  <c:v>6.220000000000002</c:v>
                </c:pt>
                <c:pt idx="5">
                  <c:v>21.54</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Mayorista (Wholesale)</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264.8</c:v>
                </c:pt>
                <c:pt idx="1">
                  <c:v>448.8</c:v>
                </c:pt>
                <c:pt idx="2">
                  <c:v>777</c:v>
                </c:pt>
                <c:pt idx="3">
                  <c:v>1120.3</c:v>
                </c:pt>
                <c:pt idx="4">
                  <c:v>1375.5</c:v>
                </c:pt>
                <c:pt idx="5">
                  <c:v>1753.4</c:v>
                </c:pt>
              </c:numCache>
            </c:numRef>
          </c:val>
        </c:ser>
        <c:ser>
          <c:idx val="1"/>
          <c:order val="1"/>
          <c:tx>
            <c:strRef>
              <c:f>Hoja1!$C$1</c:f>
              <c:strCache>
                <c:ptCount val="1"/>
                <c:pt idx="0">
                  <c:v>Venta directa (DTC)</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160.5</c:v>
                </c:pt>
                <c:pt idx="1">
                  <c:v>275.8</c:v>
                </c:pt>
                <c:pt idx="2">
                  <c:v>445.1</c:v>
                </c:pt>
                <c:pt idx="3">
                  <c:v>671.8</c:v>
                </c:pt>
                <c:pt idx="4">
                  <c:v>942.8</c:v>
                </c:pt>
                <c:pt idx="5">
                  <c:v>1260.5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Mayorista (Wholesale)</c:v>
                </c:pt>
                <c:pt idx="1">
                  <c:v>Venta directa (DTC)</c:v>
                </c:pt>
              </c:strCache>
            </c:strRef>
          </c:cat>
          <c:val>
            <c:numRef>
              <c:f>Hoja1!$B$2:$B$3</c:f>
              <c:numCache>
                <c:formatCode>General</c:formatCode>
                <c:ptCount val="2"/>
                <c:pt idx="0">
                  <c:v>58.2</c:v>
                </c:pt>
                <c:pt idx="1">
                  <c:v>41.8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Resto de América</c:v>
                </c:pt>
                <c:pt idx="2">
                  <c:v>EMEA</c:v>
                </c:pt>
                <c:pt idx="3">
                  <c:v>Asia-Pacífico</c:v>
                </c:pt>
              </c:strCache>
            </c:strRef>
          </c:cat>
          <c:val>
            <c:numRef>
              <c:f>Hoja1!$B$2:$B$5</c:f>
              <c:numCache>
                <c:formatCode>0"%"</c:formatCode>
                <c:ptCount val="4"/>
                <c:pt idx="0">
                  <c:v>51.4</c:v>
                </c:pt>
                <c:pt idx="1">
                  <c:v>6.3</c:v>
                </c:pt>
                <c:pt idx="2">
                  <c:v>25.3</c:v>
                </c:pt>
                <c:pt idx="3">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(calzado deportivo mundial, Grand View Research))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2030e</c:v>
                </c:pt>
              </c:strCache>
            </c:strRef>
          </c:cat>
          <c:val>
            <c:numRef>
              <c:f>Hoja1!$B$2:$B$6</c:f>
              <c:numCache>
                <c:formatCode>#,##0</c:formatCode>
                <c:ptCount val="5"/>
                <c:pt idx="0">
                  <c:v>127.3</c:v>
                </c:pt>
                <c:pt idx="1">
                  <c:v>133.1</c:v>
                </c:pt>
                <c:pt idx="2">
                  <c:v>146.7</c:v>
                </c:pt>
                <c:pt idx="3">
                  <c:v>153.9</c:v>
                </c:pt>
                <c:pt idx="4">
                  <c:v>205.8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Nike</c:v>
                </c:pt>
                <c:pt idx="2">
                  <c:v>adidas</c:v>
                </c:pt>
                <c:pt idx="3">
                  <c:v>Lululemon</c:v>
                </c:pt>
                <c:pt idx="4">
                  <c:v>Puma</c:v>
                </c:pt>
                <c:pt idx="5">
                  <c:v>Amer Sports (Salomon, Arc'teryx)</c:v>
                </c:pt>
                <c:pt idx="6">
                  <c:v>Deckers (HOKA, UGG)</c:v>
                </c:pt>
                <c:pt idx="7">
                  <c:v>Asics</c:v>
                </c:pt>
              </c:strCache>
            </c:strRef>
          </c:cat>
          <c:val>
            <c:numRef>
              <c:f>Hoja1!$B$2:$B$9</c:f>
              <c:numCache>
                <c:formatCode>0.0"%"</c:formatCode>
                <c:ptCount val="8"/>
                <c:pt idx="0">
                  <c:v>12.5</c:v>
                </c:pt>
                <c:pt idx="1">
                  <c:v>8.2</c:v>
                </c:pt>
                <c:pt idx="2">
                  <c:v>8.3</c:v>
                </c:pt>
                <c:pt idx="3">
                  <c:v>19.9</c:v>
                </c:pt>
                <c:pt idx="4">
                  <c:v>-4.9</c:v>
                </c:pt>
                <c:pt idx="5">
                  <c:v>10.7</c:v>
                </c:pt>
                <c:pt idx="6">
                  <c:v>23.1</c:v>
                </c:pt>
                <c:pt idx="7">
                  <c:v>17.6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4</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425.3</c:v>
                </c:pt>
                <c:pt idx="1">
                  <c:v>724.6</c:v>
                </c:pt>
                <c:pt idx="2">
                  <c:v>1222.1</c:v>
                </c:pt>
                <c:pt idx="3">
                  <c:v>1792.1</c:v>
                </c:pt>
                <c:pt idx="4">
                  <c:v>2318.3</c:v>
                </c:pt>
                <c:pt idx="5">
                  <c:v>3014</c:v>
                </c:pt>
                <c:pt idx="6">
                  <c:v>3514</c:v>
                </c:pt>
                <c:pt idx="7">
                  <c:v>4112</c:v>
                </c:pt>
                <c:pt idx="8">
                  <c:v>4770</c:v>
                </c:pt>
                <c:pt idx="9">
                  <c:v>5485</c:v>
                </c:pt>
                <c:pt idx="10">
                  <c:v>6198</c:v>
                </c:pt>
                <c:pt idx="11">
                  <c:v>6880</c:v>
                </c:pt>
                <c:pt idx="12">
                  <c:v>7499</c:v>
                </c:pt>
                <c:pt idx="13">
                  <c:v>8024</c:v>
                </c:pt>
                <c:pt idx="14">
                  <c:v>8425</c:v>
                </c:pt>
                <c:pt idx="15">
                  <c:v>8720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-5</c:v>
                </c:pt>
                <c:pt idx="1">
                  <c:v>-109.7</c:v>
                </c:pt>
                <c:pt idx="2">
                  <c:v>131.5</c:v>
                </c:pt>
                <c:pt idx="3">
                  <c:v>245.1</c:v>
                </c:pt>
                <c:pt idx="4">
                  <c:v>316.2</c:v>
                </c:pt>
                <c:pt idx="5">
                  <c:v>504.4</c:v>
                </c:pt>
                <c:pt idx="6">
                  <c:v>668</c:v>
                </c:pt>
                <c:pt idx="7">
                  <c:v>781</c:v>
                </c:pt>
                <c:pt idx="8">
                  <c:v>930</c:v>
                </c:pt>
                <c:pt idx="9">
                  <c:v>1097</c:v>
                </c:pt>
                <c:pt idx="10">
                  <c:v>1240</c:v>
                </c:pt>
                <c:pt idx="11">
                  <c:v>1376</c:v>
                </c:pt>
                <c:pt idx="12">
                  <c:v>1500</c:v>
                </c:pt>
                <c:pt idx="13">
                  <c:v>1605</c:v>
                </c:pt>
                <c:pt idx="14">
                  <c:v>1685</c:v>
                </c:pt>
                <c:pt idx="15">
                  <c:v>1744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54.3</c:v>
                </c:pt>
                <c:pt idx="1">
                  <c:v>59.4</c:v>
                </c:pt>
                <c:pt idx="2">
                  <c:v>56</c:v>
                </c:pt>
                <c:pt idx="3">
                  <c:v>59.6</c:v>
                </c:pt>
                <c:pt idx="4">
                  <c:v>60.6</c:v>
                </c:pt>
                <c:pt idx="5">
                  <c:v>62.8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c:v>
                </c:pt>
                <c:pt idx="1">
                  <c:v>-15.1</c:v>
                </c:pt>
                <c:pt idx="2">
                  <c:v>10.8</c:v>
                </c:pt>
                <c:pt idx="3">
                  <c:v>13.7</c:v>
                </c:pt>
                <c:pt idx="4">
                  <c:v>13.6</c:v>
                </c:pt>
                <c:pt idx="5">
                  <c:v>16.7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c:v>
                </c:pt>
                <c:pt idx="1">
                  <c:v>-19.5</c:v>
                </c:pt>
                <c:pt idx="2">
                  <c:v>7</c:v>
                </c:pt>
                <c:pt idx="3">
                  <c:v>10.1</c:v>
                </c:pt>
                <c:pt idx="4">
                  <c:v>9.1</c:v>
                </c:pt>
                <c:pt idx="5">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-6.5</c:v>
                </c:pt>
                <c:pt idx="1">
                  <c:v>-23.5</c:v>
                </c:pt>
                <c:pt idx="2">
                  <c:v>4.7</c:v>
                </c:pt>
                <c:pt idx="3">
                  <c:v>4.4</c:v>
                </c:pt>
                <c:pt idx="4">
                  <c:v>10.5</c:v>
                </c:pt>
                <c:pt idx="5">
                  <c:v>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32.3</c:v>
                </c:pt>
                <c:pt idx="1">
                  <c:v>35.7</c:v>
                </c:pt>
                <c:pt idx="2">
                  <c:v>43</c:v>
                </c:pt>
                <c:pt idx="3">
                  <c:v>32</c:v>
                </c:pt>
                <c:pt idx="4">
                  <c:v>24.9</c:v>
                </c:pt>
                <c:pt idx="5">
                  <c:v>22.6</c:v>
                </c:pt>
                <c:pt idx="6">
                  <c:v>14.5</c:v>
                </c:pt>
                <c:pt idx="7">
                  <c:v>13.5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33.2</c:v>
                </c:pt>
                <c:pt idx="1">
                  <c:v>40.6</c:v>
                </c:pt>
                <c:pt idx="2">
                  <c:v>40</c:v>
                </c:pt>
                <c:pt idx="3">
                  <c:v>38.2</c:v>
                </c:pt>
                <c:pt idx="4">
                  <c:v>34.5</c:v>
                </c:pt>
                <c:pt idx="5">
                  <c:v>30.6</c:v>
                </c:pt>
                <c:pt idx="6">
                  <c:v>26.4</c:v>
                </c:pt>
                <c:pt idx="7">
                  <c:v>21.6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44</c:v>
                </c:pt>
                <c:pt idx="1">
                  <c:v>50</c:v>
                </c:pt>
                <c:pt idx="2">
                  <c:v>52</c:v>
                </c:pt>
                <c:pt idx="3">
                  <c:v>42</c:v>
                </c:pt>
                <c:pt idx="4">
                  <c:v>39</c:v>
                </c:pt>
                <c:pt idx="5">
                  <c:v>37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193</c:v>
                </c:pt>
                <c:pt idx="1">
                  <c:v>166</c:v>
                </c:pt>
                <c:pt idx="2">
                  <c:v>269</c:v>
                </c:pt>
                <c:pt idx="3">
                  <c:v>180</c:v>
                </c:pt>
                <c:pt idx="4">
                  <c:v>168</c:v>
                </c:pt>
                <c:pt idx="5">
                  <c:v>137</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78</c:v>
                </c:pt>
                <c:pt idx="1">
                  <c:v>57</c:v>
                </c:pt>
                <c:pt idx="2">
                  <c:v>75</c:v>
                </c:pt>
                <c:pt idx="3">
                  <c:v>33</c:v>
                </c:pt>
                <c:pt idx="4">
                  <c:v>67</c:v>
                </c:pt>
                <c:pt idx="5">
                  <c:v>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-37.3</c:v>
                </c:pt>
                <c:pt idx="1">
                  <c:v>-35.400000000000006</c:v>
                </c:pt>
                <c:pt idx="2">
                  <c:v>-330.09999999999997</c:v>
                </c:pt>
                <c:pt idx="3">
                  <c:v>152.89999999999998</c:v>
                </c:pt>
                <c:pt idx="4">
                  <c:v>379</c:v>
                </c:pt>
                <c:pt idx="5">
                  <c:v>189.49999999999997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-27.5</c:v>
                </c:pt>
                <c:pt idx="1">
                  <c:v>-170.2</c:v>
                </c:pt>
                <c:pt idx="2">
                  <c:v>57.7</c:v>
                </c:pt>
                <c:pt idx="3">
                  <c:v>79.6</c:v>
                </c:pt>
                <c:pt idx="4">
                  <c:v>242.3</c:v>
                </c:pt>
                <c:pt idx="5">
                  <c:v>203.7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-38.2</c:v>
                </c:pt>
                <c:pt idx="2">
                  <c:v>11.1</c:v>
                </c:pt>
                <c:pt idx="3">
                  <c:v>23</c:v>
                </c:pt>
                <c:pt idx="4">
                  <c:v>22.6</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c:v>
                </c:pt>
                <c:pt idx="1">
                  <c:v>10</c:v>
                </c:pt>
                <c:pt idx="2">
                  <c:v>10</c:v>
                </c:pt>
                <c:pt idx="3">
                  <c:v>10</c:v>
                </c:pt>
                <c:pt idx="4">
                  <c:v>10</c:v>
                </c:pt>
                <c:pt idx="5">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-31.1</c:v>
                </c:pt>
                <c:pt idx="2">
                  <c:v>6.3</c:v>
                </c:pt>
                <c:pt idx="3">
                  <c:v>7.8</c:v>
                </c:pt>
                <c:pt idx="4">
                  <c:v>19.6</c:v>
                </c:pt>
                <c:pt idx="5">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13.38</c:v>
                </c:pt>
                <c:pt idx="1">
                  <c:v>4.3</c:v>
                </c:pt>
                <c:pt idx="2">
                  <c:v>-1.6</c:v>
                </c:pt>
                <c:pt idx="3">
                  <c:v>-1.08</c:v>
                </c:pt>
                <c:pt idx="4">
                  <c:v>-1.82</c:v>
                </c:pt>
                <c:pt idx="5">
                  <c:v>-0.99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0.2</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3</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Hoja1!$A$2:$A$14</c:f>
              <c:strCache>
                <c:ptCount val="13"/>
                <c:pt idx="0">
                  <c:v>Olivier Bernhard (cofundador)</c:v>
                </c:pt>
                <c:pt idx="1">
                  <c:v>Caspar Coppetti (cofundador)</c:v>
                </c:pt>
                <c:pt idx="2">
                  <c:v>David Allemann (cofundador)</c:v>
                </c:pt>
                <c:pt idx="3">
                  <c:v>Los tres fundadores en conjunto (pacto)</c:v>
                </c:pt>
                <c:pt idx="4">
                  <c:v>Carlos Alberto Sicupira (CHL Investment Fund)</c:v>
                </c:pt>
                <c:pt idx="5">
                  <c:v>Morgan Stanley (MSIM)</c:v>
                </c:pt>
                <c:pt idx="6">
                  <c:v>Marc Lemann (MAAI Ltd.)</c:v>
                </c:pt>
                <c:pt idx="7">
                  <c:v>Baron Capital</c:v>
                </c:pt>
                <c:pt idx="8">
                  <c:v>FMR (Fidelity)</c:v>
                </c:pt>
                <c:pt idx="9">
                  <c:v>Alex Pérez (consejero)</c:v>
                </c:pt>
                <c:pt idx="10">
                  <c:v>Martin Hoffmann (ex CEO y CFO)</c:v>
                </c:pt>
                <c:pt idx="11">
                  <c:v>AllianceBernstein</c:v>
                </c:pt>
                <c:pt idx="12">
                  <c:v>Autocartera</c:v>
                </c:pt>
              </c:strCache>
            </c:strRef>
          </c:cat>
          <c:val>
            <c:numRef>
              <c:f>Hoja1!$B$2:$B$14</c:f>
              <c:numCache>
                <c:formatCode>0.0"%"</c:formatCode>
                <c:ptCount val="13"/>
                <c:pt idx="0">
                  <c:v>5</c:v>
                </c:pt>
                <c:pt idx="1">
                  <c:v>3.9</c:v>
                </c:pt>
                <c:pt idx="2">
                  <c:v>3.9</c:v>
                </c:pt>
                <c:pt idx="3">
                  <c:v>12.9</c:v>
                </c:pt>
                <c:pt idx="4">
                  <c:v>6</c:v>
                </c:pt>
                <c:pt idx="5">
                  <c:v>5.8</c:v>
                </c:pt>
                <c:pt idx="6">
                  <c:v>5.4</c:v>
                </c:pt>
                <c:pt idx="7">
                  <c:v>5.1</c:v>
                </c:pt>
                <c:pt idx="8">
                  <c:v>4.8</c:v>
                </c:pt>
                <c:pt idx="9">
                  <c:v>3</c:v>
                </c:pt>
                <c:pt idx="10">
                  <c:v>1</c:v>
                </c:pt>
                <c:pt idx="11">
                  <c:v>3.3</c:v>
                </c:pt>
                <c:pt idx="12">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Hoja1!$A$2:$A$6</c:f>
              <c:strCache>
                <c:ptCount val="5"/>
                <c:pt idx="0">
                  <c:v>2021 (desde 15-sep)</c:v>
                </c:pt>
                <c:pt idx="1">
                  <c:v>2022</c:v>
                </c:pt>
                <c:pt idx="2">
                  <c:v>2023</c:v>
                </c:pt>
                <c:pt idx="3">
                  <c:v>2024</c:v>
                </c:pt>
                <c:pt idx="4">
                  <c:v>2025</c:v>
                </c:pt>
              </c:strCache>
            </c:strRef>
          </c:cat>
          <c:val>
            <c:numRef>
              <c:f>Hoja1!$B$2:$B$6</c:f>
              <c:numCache>
                <c:formatCode>0"%"</c:formatCode>
                <c:ptCount val="5"/>
                <c:pt idx="0">
                  <c:v>8</c:v>
                </c:pt>
                <c:pt idx="1">
                  <c:v>-54.6</c:v>
                </c:pt>
                <c:pt idx="2">
                  <c:v>57.2</c:v>
                </c:pt>
                <c:pt idx="3">
                  <c:v>103.1</c:v>
                </c:pt>
                <c:pt idx="4">
                  <c:v>-15.1</c:v>
                </c:pt>
              </c:numCache>
            </c:numRef>
          </c:val>
        </c:ser>
        <c:ser>
          <c:idx val="1"/>
          <c:order val="1"/>
          <c:tx>
            <c:strRef>
              <c:f>Hoja1!$C$1</c:f>
              <c:strCache>
                <c:ptCount val="1"/>
                <c:pt idx="0">
                  <c:v>Índice</c:v>
                </c:pt>
              </c:strCache>
            </c:strRef>
          </c:tx>
          <c:spPr>
            <a:solidFill>
              <a:srgbClr val="EB6834"/>
            </a:solidFill>
            <a:ln w="9525">
              <a:noFill/>
            </a:ln>
          </c:spPr>
          <c:invertIfNegative val="0"/>
          <c:cat>
            <c:strRef>
              <c:f>Hoja1!$A$2:$A$6</c:f>
              <c:strCache>
                <c:ptCount val="5"/>
                <c:pt idx="0">
                  <c:v>2021 (desde 15-sep)</c:v>
                </c:pt>
                <c:pt idx="1">
                  <c:v>2022</c:v>
                </c:pt>
                <c:pt idx="2">
                  <c:v>2023</c:v>
                </c:pt>
                <c:pt idx="3">
                  <c:v>2024</c:v>
                </c:pt>
                <c:pt idx="4">
                  <c:v>2025</c:v>
                </c:pt>
              </c:strCache>
            </c:strRef>
          </c:cat>
          <c:val>
            <c:numRef>
              <c:f>Hoja1!$C$2:$C$6</c:f>
              <c:numCache>
                <c:formatCode>0"%"</c:formatCode>
                <c:ptCount val="5"/>
                <c:pt idx="0">
                  <c:v>6.4</c:v>
                </c:pt>
                <c:pt idx="1">
                  <c:v>-19.4</c:v>
                </c:pt>
                <c:pt idx="2">
                  <c:v>24.2</c:v>
                </c:pt>
                <c:pt idx="3">
                  <c:v>23.3</c:v>
                </c:pt>
                <c:pt idx="4">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0.0"x"</c:formatCode>
                <c:ptCount val="4"/>
                <c:pt idx="0">
                  <c:v>36.9</c:v>
                </c:pt>
                <c:pt idx="1">
                  <c:v>28.7</c:v>
                </c:pt>
                <c:pt idx="2">
                  <c:v>49.7</c:v>
                </c:pt>
                <c:pt idx="3">
                  <c:v>23.4</c:v>
                </c:pt>
              </c:numCache>
            </c:numRef>
          </c:val>
          <c:smooth val="0"/>
        </c:ser>
        <c:ser>
          <c:idx val="1"/>
          <c:order val="1"/>
          <c:tx>
            <c:strRef>
              <c:f>Hoja1!$C$1</c:f>
              <c:strCache>
                <c:ptCount val="1"/>
                <c:pt idx="0">
                  <c:v>Media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0.0"x"</c:formatCode>
                <c:ptCount val="4"/>
                <c:pt idx="0">
                  <c:v>34.7</c:v>
                </c:pt>
                <c:pt idx="1">
                  <c:v>34.7</c:v>
                </c:pt>
                <c:pt idx="2">
                  <c:v>34.7</c:v>
                </c:pt>
                <c:pt idx="3">
                  <c:v>34.7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On</c:v>
                </c:pt>
                <c:pt idx="1">
                  <c:v>Deckers (HOKA, UGG)</c:v>
                </c:pt>
                <c:pt idx="2">
                  <c:v>Nike</c:v>
                </c:pt>
                <c:pt idx="3">
                  <c:v>adidas</c:v>
                </c:pt>
                <c:pt idx="4">
                  <c:v>Asics</c:v>
                </c:pt>
                <c:pt idx="5">
                  <c:v>Lululemon</c:v>
                </c:pt>
                <c:pt idx="6">
                  <c:v>Amer Sports (Salomon, Arc'teryx)</c:v>
                </c:pt>
                <c:pt idx="7">
                  <c:v>Birkenstock</c:v>
                </c:pt>
              </c:strCache>
            </c:strRef>
          </c:cat>
          <c:val>
            <c:numRef>
              <c:f>Hoja1!$B$2:$B$9</c:f>
              <c:numCache>
                <c:formatCode>0.0"x"</c:formatCode>
                <c:ptCount val="8"/>
                <c:pt idx="0">
                  <c:v>11.2</c:v>
                </c:pt>
                <c:pt idx="1">
                  <c:v>7.1</c:v>
                </c:pt>
                <c:pt idx="2">
                  <c:v>15.6</c:v>
                </c:pt>
                <c:pt idx="3">
                  <c:v>7.4</c:v>
                </c:pt>
                <c:pt idx="4">
                  <c:v>11.8</c:v>
                </c:pt>
                <c:pt idx="5">
                  <c:v>5.8</c:v>
                </c:pt>
                <c:pt idx="6">
                  <c:v>9.1</c:v>
                </c:pt>
                <c:pt idx="7">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19.2</c:v>
                </c:pt>
              </c:numCache>
            </c:numRef>
          </c:xVal>
          <c:yVal>
            <c:numRef>
              <c:f>Hoja1!$C$2</c:f>
              <c:numCache>
                <c:formatCode>0.0"x"</c:formatCode>
                <c:ptCount val="1"/>
                <c:pt idx="0">
                  <c:v>11.2</c:v>
                </c:pt>
              </c:numCache>
            </c:numRef>
          </c:yVal>
          <c:smooth val="0"/>
        </c:ser>
        <c:ser>
          <c:idx val="1"/>
          <c:order val="1"/>
          <c:tx>
            <c:strRef>
              <c:f>Hoja1!$A$3</c:f>
              <c:strCache>
                <c:ptCount val="1"/>
                <c:pt idx="0">
                  <c:v>Deckers (HOKA, UGG)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7.4</c:v>
                </c:pt>
              </c:numCache>
            </c:numRef>
          </c:xVal>
          <c:yVal>
            <c:numRef>
              <c:f>Hoja1!$C$3</c:f>
              <c:numCache>
                <c:formatCode>0.0"x"</c:formatCode>
                <c:ptCount val="1"/>
                <c:pt idx="0">
                  <c:v>7.1</c:v>
                </c:pt>
              </c:numCache>
            </c:numRef>
          </c:yVal>
          <c:smooth val="0"/>
        </c:ser>
        <c:ser>
          <c:idx val="2"/>
          <c:order val="2"/>
          <c:tx>
            <c:strRef>
              <c:f>Hoja1!$A$4</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-4.3</c:v>
                </c:pt>
              </c:numCache>
            </c:numRef>
          </c:xVal>
          <c:yVal>
            <c:numRef>
              <c:f>Hoja1!$C$4</c:f>
              <c:numCache>
                <c:formatCode>0.0"x"</c:formatCode>
                <c:ptCount val="1"/>
                <c:pt idx="0">
                  <c:v>15.6</c:v>
                </c:pt>
              </c:numCache>
            </c:numRef>
          </c:yVal>
          <c:smooth val="0"/>
        </c:ser>
        <c:ser>
          <c:idx val="3"/>
          <c:order val="3"/>
          <c:tx>
            <c:strRef>
              <c:f>Hoja1!$A$5</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7.7</c:v>
                </c:pt>
              </c:numCache>
            </c:numRef>
          </c:xVal>
          <c:yVal>
            <c:numRef>
              <c:f>Hoja1!$C$5</c:f>
              <c:numCache>
                <c:formatCode>0.0"x"</c:formatCode>
                <c:ptCount val="1"/>
                <c:pt idx="0">
                  <c:v>7.4</c:v>
                </c:pt>
              </c:numCache>
            </c:numRef>
          </c:yVal>
          <c:smooth val="0"/>
        </c:ser>
        <c:ser>
          <c:idx val="4"/>
          <c:order val="4"/>
          <c:tx>
            <c:strRef>
              <c:f>Hoja1!$A$6</c:f>
              <c:strCache>
                <c:ptCount val="1"/>
                <c:pt idx="0">
                  <c:v>Asics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16.8</c:v>
                </c:pt>
              </c:numCache>
            </c:numRef>
          </c:xVal>
          <c:yVal>
            <c:numRef>
              <c:f>Hoja1!$C$6</c:f>
              <c:numCache>
                <c:formatCode>0.0"x"</c:formatCode>
                <c:ptCount val="1"/>
                <c:pt idx="0">
                  <c:v>11.8</c:v>
                </c:pt>
              </c:numCache>
            </c:numRef>
          </c:yVal>
          <c:smooth val="0"/>
        </c:ser>
        <c:ser>
          <c:idx val="5"/>
          <c:order val="5"/>
          <c:tx>
            <c:strRef>
              <c:f>Hoja1!$A$7</c:f>
              <c:strCache>
                <c:ptCount val="1"/>
                <c:pt idx="0">
                  <c:v>Lululemon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-3.2</c:v>
                </c:pt>
              </c:numCache>
            </c:numRef>
          </c:xVal>
          <c:yVal>
            <c:numRef>
              <c:f>Hoja1!$C$7</c:f>
              <c:numCache>
                <c:formatCode>0.0"x"</c:formatCode>
                <c:ptCount val="1"/>
                <c:pt idx="0">
                  <c:v>5.8</c:v>
                </c:pt>
              </c:numCache>
            </c:numRef>
          </c:yVal>
          <c:smooth val="0"/>
        </c:ser>
        <c:ser>
          <c:idx val="6"/>
          <c:order val="6"/>
          <c:tx>
            <c:strRef>
              <c:f>Hoja1!$A$8</c:f>
              <c:strCache>
                <c:ptCount val="1"/>
                <c:pt idx="0">
                  <c:v>Amer Sports (Salomon, Arc'teryx)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18.4</c:v>
                </c:pt>
              </c:numCache>
            </c:numRef>
          </c:xVal>
          <c:yVal>
            <c:numRef>
              <c:f>Hoja1!$C$8</c:f>
              <c:numCache>
                <c:formatCode>0.0"x"</c:formatCode>
                <c:ptCount val="1"/>
                <c:pt idx="0">
                  <c:v>9.1</c:v>
                </c:pt>
              </c:numCache>
            </c:numRef>
          </c:yVal>
          <c:smooth val="0"/>
        </c:ser>
        <c:ser>
          <c:idx val="7"/>
          <c:order val="7"/>
          <c:tx>
            <c:strRef>
              <c:f>Hoja1!$A$9</c:f>
              <c:strCache>
                <c:ptCount val="1"/>
                <c:pt idx="0">
                  <c:v>Birkenstock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13.1</c:v>
                </c:pt>
              </c:numCache>
            </c:numRef>
          </c:xVal>
          <c:yVal>
            <c:numRef>
              <c:f>Hoja1!$C$9</c:f>
              <c:numCache>
                <c:formatCode>0.0"x"</c:formatCode>
                <c:ptCount val="1"/>
                <c:pt idx="0">
                  <c:v>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307</c:v>
                </c:pt>
                <c:pt idx="1">
                  <c:v>353</c:v>
                </c:pt>
                <c:pt idx="2">
                  <c:v>446</c:v>
                </c:pt>
                <c:pt idx="3">
                  <c:v>550</c:v>
                </c:pt>
                <c:pt idx="4">
                  <c:v>642</c:v>
                </c:pt>
                <c:pt idx="5">
                  <c:v>741</c:v>
                </c:pt>
                <c:pt idx="6">
                  <c:v>833</c:v>
                </c:pt>
                <c:pt idx="7">
                  <c:v>902</c:v>
                </c:pt>
                <c:pt idx="8">
                  <c:v>982</c:v>
                </c:pt>
                <c:pt idx="9">
                  <c:v>1038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3998</c:v>
                </c:pt>
                <c:pt idx="1">
                  <c:v>5475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26,48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18.18</c:v>
                </c:pt>
                <c:pt idx="1">
                  <c:v>30.07</c:v>
                </c:pt>
                <c:pt idx="2">
                  <c:v>39.72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26,48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Hoja1!$B$2:$B$8</c:f>
              <c:numCache>
                <c:formatCode>#,##0.00</c:formatCode>
                <c:ptCount val="7"/>
                <c:pt idx="0">
                  <c:v>21.89</c:v>
                </c:pt>
                <c:pt idx="1">
                  <c:v>16.58</c:v>
                </c:pt>
                <c:pt idx="2">
                  <c:v>17.87</c:v>
                </c:pt>
                <c:pt idx="3">
                  <c:v>16.29</c:v>
                </c:pt>
                <c:pt idx="4">
                  <c:v>27.34</c:v>
                </c:pt>
                <c:pt idx="5">
                  <c:v>18.18</c:v>
                </c:pt>
                <c:pt idx="6">
                  <c:v>26.35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(21,89 – 42,42)</c:v>
                </c:pt>
                <c:pt idx="1">
                  <c:v>Precio objetivo de los analistas (16,58 – 59,37)</c:v>
                </c:pt>
                <c:pt idx="2">
                  <c:v>Comparables: EV/EBITDA NTM (17,87 – 24,93)</c:v>
                </c:pt>
                <c:pt idx="3">
                  <c:v>Comparables: PER NTM (16,29 – 28,15)</c:v>
                </c:pt>
                <c:pt idx="4">
                  <c:v>DCF (WACC y g ± 0,5) (27,34 – 33,56)</c:v>
                </c:pt>
                <c:pt idx="5">
                  <c:v>Escenarios (bajista – alcista) (18,18 – 39,72)</c:v>
                </c:pt>
                <c:pt idx="6">
                  <c:v>Precio actual (26,48)</c:v>
                </c:pt>
              </c:strCache>
            </c:strRef>
          </c:cat>
          <c:val>
            <c:numRef>
              <c:f>Hoja1!$C$2:$C$8</c:f>
              <c:numCache>
                <c:formatCode>#,##0.00</c:formatCode>
                <c:ptCount val="7"/>
                <c:pt idx="0">
                  <c:v>20.53</c:v>
                </c:pt>
                <c:pt idx="1">
                  <c:v>42.79</c:v>
                </c:pt>
                <c:pt idx="2">
                  <c:v>7.059999999999999</c:v>
                </c:pt>
                <c:pt idx="3">
                  <c:v>11.86</c:v>
                </c:pt>
                <c:pt idx="4">
                  <c:v>6.220000000000002</c:v>
                </c:pt>
                <c:pt idx="5">
                  <c:v>21.54</c:v>
                </c:pt>
                <c:pt idx="6">
                  <c:v>0.259999999999998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2026-10-06T16:38:37.855Z</dcterms:created>
  <dcterms:modified xsi:type="dcterms:W3CDTF">2026-10-06T16:38:37.856Z</dcterms:modified>
</cp:coreProperties>
</file>

<file path=docProps/custom.xml><?xml version="1.0" encoding="utf-8"?>
<Properties xmlns="http://schemas.openxmlformats.org/officeDocument/2006/custom-properties" xmlns:vt="http://schemas.openxmlformats.org/officeDocument/2006/docPropsVTypes"/>
</file>