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Broadridge Financial Solutions, Inc.</w:t>
      </w:r>
    </w:p>
    <w:p>
      <w:pPr>
        <w:spacing w:after="60"/>
        <w:rPr>
          <w:color w:val="52514E"/>
          <w:sz w:val="22"/>
          <w:szCs w:val="22"/>
        </w:rPr>
      </w:pPr>
      <w:r>
        <w:rPr>
          <w:color w:val="52514E"/>
          <w:sz w:val="22"/>
          <w:szCs w:val="22"/>
        </w:rPr>
        <w:t xml:space="preserve">BR · NYSE · ISIN US11133T1034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168,26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211,03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+27,7 % (base +25,0 %)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165,77 USD · mercado 191,11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19.283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Broadridge Financial Solutions,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 / US11133T1034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(procesamiento de datos y externalización)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Lake Success, Nueva York · 2007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www.broadridge.com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168,26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133,83 – 236,02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21.966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180,5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211,03 USD</w:t>
      </w:r>
      <w:r>
        <w:t xml:space="preserve"> frente a 168,26 · Rentabilidad a 12 meses </w:t>
      </w:r>
      <w:r>
        <w:rPr>
          <w:b/>
          <w:bCs/>
        </w:rPr>
        <w:t xml:space="preserve">+27,7 % (base +25,0 %)</w:t>
      </w:r>
      <w:r>
        <w:t xml:space="preserve"> · Valor intrínseco 165,77 USD · con la prima implícita del mercado: 191,11 (+13,6 %) · Alcista / bajista +13,8 % / -34,9 %</w:t>
      </w:r>
    </w:p>
    <w:p>
      <w:pPr>
        <w:spacing w:after="100"/>
      </w:pPr>
      <w:r>
        <w:rPr>
          <w:b/>
        </w:rPr>
        <w:t xml:space="preserve">La recomendación y por qué.</w:t>
      </w:r>
      <w:r>
        <w:t xml:space="preserve"> Mantener con convicción baja. El objetivo a 12 meses es de 211,03 USD (+27,7 % ponderado con dividendo; +25,0 % el base): la regla supone que el PER adelantado vuelve de 18,1x a 19,9x, todavía muy por debajo de su mediana de cinco años (27,7x), y el objetivo medio de los analistas (216,00) queda cerca. Pero el valor intrínseco es de 165,77 USD, un 1,5 % bajo el precio de 168,26, y la regla exige que el valor intrínseco cubra el precio: no es Comprar. Asimetría de 0,40 veces con nuestro WACC. La convicción es baja porque las reglas discrepan (absoluta Mantener, relativa Comprar): subiría si el precio bajara de 165,77 o si la temporada de juntas de 2027 y el texto final de Reg E-Delivery confirmaran un crecimiento recurrente ≥ 6 %.</w:t>
      </w:r>
    </w:p>
    <w:p>
      <w:pPr>
        <w:spacing w:after="100"/>
      </w:pPr>
      <w:r>
        <w:rPr>
          <w:b/>
        </w:rPr>
        <w:t xml:space="preserve">El negocio.</w:t>
      </w:r>
      <w:r>
        <w:t xml:space="preserve"> Broadridge es el procesador casi único de las juntas y comunicaciones de los titulares en cuentas de valores de EE. UU. (unas 900 millones de posiciones) y una plataforma de post-contratación que procesa más de 15 billones de USD al día [12]. ROIC del 18,3 % frente a un WACC del 9,30 % (55,6 % sin el fondo de comercio de Itiviti): calidad sí, con nueve puntos de margen. La sostenibilidad del crecimiento es «Sí»: proyectamos un 4,1 % anual, la mitad del histórico, sin compras ni capital, apoyado en el aumento de posiciones (+12 % en 2026).</w:t>
      </w:r>
    </w:p>
    <w:p>
      <w:pPr>
        <w:spacing w:after="100"/>
      </w:pPr>
      <w:r>
        <w:rPr>
          <w:b/>
        </w:rPr>
        <w:t xml:space="preserve">Finanzas.</w:t>
      </w:r>
      <w:r>
        <w:t xml:space="preserve"> Ingresos de 7.477 M USD en 2026 (+9 %), recurrentes +8 %, margen EBITDA del 24,2 % y caja libre de 1.233 M (110 % del beneficio ajustado) [2]. Deuda neta ajustada de 2.684 M, 1,6 veces el EBITDA. El BPA publicado de 9,60 lleva 1,94 USD de ganancias de monedas Canton: el normalizado es ≈8,04, y es el que usamos.</w:t>
      </w:r>
    </w:p>
    <w:p>
      <w:pPr>
        <w:spacing w:after="100"/>
      </w:pPr>
      <w:r>
        <w:rPr>
          <w:b/>
        </w:rPr>
        <w:t xml:space="preserve">Valoración.</w:t>
      </w:r>
      <w:r>
        <w:t xml:space="preserve"> El DCF (166,72) y el DCF inverso coinciden con el precio: el mercado descuenta un 4,2 % de crecimiento anual, casi nuestro caso base (4,1 %), y una rentabilidad del 9,2 %. La distancia con el objetivo a 12 meses es de múltiplo: cotiza a 17,5 veces el beneficio de 12 meses, un 45 % bajo su media de ocho años (31,7x), en parte por el bono al 5,2 %. Con la prima del mercado (4,2 %), el valor sería de 191,11 USD.</w:t>
      </w:r>
    </w:p>
    <w:p>
      <w:pPr>
        <w:spacing w:after="100"/>
      </w:pPr>
      <w:r>
        <w:rPr>
          <w:b/>
        </w:rPr>
        <w:t xml:space="preserve">Riesgos y catalizadores.</w:t>
      </w:r>
      <w:r>
        <w:t xml:space="preserve"> Tres riesgos: Reg E-Delivery (propuesta el 16-jul-2026; la empresa espera una rebaja «modesta» del recurrente en 2-3 años; −10 % a −15 % del valor), la tokenización que desintermedie el voto (baja probabilidad, −34,9 % en el bajista) y la IA (exposición media, sentido mixto: amenaza el voto institucional y la redacción de comunicaciones, no el reenvío regulado; −10 % en un caso adverso parcial). ¿Se come la IA el negocio? No a cinco años: el núcleo es una obligación regulada con red y responsabilidad, y Broadridge ya vende IA. Los foros han pasado de la capitulación a un optimismo prudente. Catalizadores: resultados del 1T (≈3-nov-2026), junta (10-nov) y texto final de Reg E-Delivery (2027).</w:t>
      </w:r>
    </w:p>
    <w:p>
      <w:pPr>
        <w:spacing w:after="100"/>
      </w:pPr>
      <w:r>
        <w:rPr>
          <w:b/>
        </w:rPr>
        <w:t xml:space="preserve">Qué cambiaría la decisión.</w:t>
      </w:r>
      <w:r>
        <w:t xml:space="preserve"> Comprar por debajo de 165,77 USD (con v3 y v2 a la vez); vender por encima de 238,81 USD. Pasaríamos a Vender si el crecimiento recurrente de ICS bajara del 5 % dos trimestres seguidos o si un gran emisor llevara su junta a un registro tokenizado sin Broadridge.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211,03 USD</w:t>
      </w:r>
      <w:r>
        <w:t xml:space="preserve"> (rentabilidad +27,7 % (base +25,0 %)) · Valor intrínseco: 165,77 USD (-1,5 % sobre 168,26) · con la prima implícita del mercado: 191,11 (+13,6 %)</w:t>
      </w:r>
    </w:p>
    <w:p>
      <w:pPr>
        <w:spacing w:after="100"/>
      </w:pPr>
      <w:r>
        <w:t xml:space="preserve">Broadridge cobra un peaje por cada comunicación y cada voto de los titulares de acciones y fondos en cuentas de valores de EE. UU., un papel casi único que le da un ROIC del 18,3 % (55,6 % sin fondo de comercio), un 65 % de ingresos recurrentes y una conversión de caja del 110 % [2, 12]. Ha cumplido sus objetivos a tres años por quinto ciclo seguido [2].</w:t>
      </w:r>
    </w:p>
    <w:p>
      <w:pPr>
        <w:spacing w:after="100"/>
      </w:pPr>
      <w:r>
        <w:t xml:space="preserve">El precio (168,26 USD, 18,1 veces nuestro BPA de 2027) descuenta, según el DCF inverso, un crecimiento del 4,2 % anual, la mitad del histórico, y una rentabilidad del 9,2 %. Cotiza un 45 % por debajo de su PER medio de ocho años por el miedo a la IA, a la tokenización y a Reg E-Delivery.</w:t>
      </w:r>
    </w:p>
    <w:p>
      <w:pPr>
        <w:spacing w:after="100"/>
      </w:pPr>
      <w:r>
        <w:t xml:space="preserve">El mercado acierta en que el papel va a desaparecer y exagera al tratar a Broadridge como software por puesto: el reenvío regulado no lo sustituye un agente de IA. Para invertir hay que creer que el recurrente crecerá ≥ 6 % pese a Reg E-Delivery y que el múltiplo se recupera algo; a este precio el DCF no deja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8,96 = 131,71 · 19,9x × 10,37 = 206,36 · 26,9x × 11,14 = 299,67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 /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216,00 (nuestro base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165,77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165,77 y 238,81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238,81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165,77 USD: Comprar (pasa v3 y v2 y el valor intrínseco).</w:t>
      </w:r>
    </w:p>
    <w:p>
      <w:pPr>
        <w:pStyle w:val="ListParagraph"/>
        <w:numPr>
          <w:ilvl w:val="0"/>
          <w:numId w:val="2"/>
        </w:numPr>
        <w:spacing w:after="60"/>
      </w:pPr>
      <w:r>
        <w:t xml:space="preserve">Precio por encima de 238,81 USD: Vender.</w:t>
      </w:r>
    </w:p>
    <w:p>
      <w:pPr>
        <w:pStyle w:val="ListParagraph"/>
        <w:numPr>
          <w:ilvl w:val="0"/>
          <w:numId w:val="2"/>
        </w:numPr>
        <w:spacing w:after="60"/>
      </w:pPr>
      <w:r>
        <w:t xml:space="preserve">Crecimiento recurrente de ICS &lt; 5 % dos trimestres seguidos: revisar a Vender.</w:t>
      </w:r>
    </w:p>
    <w:p>
      <w:pPr>
        <w:pStyle w:val="ListParagraph"/>
        <w:numPr>
          <w:ilvl w:val="0"/>
          <w:numId w:val="2"/>
        </w:numPr>
        <w:spacing w:after="60"/>
      </w:pPr>
      <w:r>
        <w:t xml:space="preserve">Texto final de Reg E-Delivery que imponga el envío digital sin opción de papel en menos de un año: rebajar el caso base.</w:t>
      </w:r>
    </w:p>
    <w:p>
      <w:pPr>
        <w:pStyle w:val="ListParagraph"/>
        <w:numPr>
          <w:ilvl w:val="0"/>
          <w:numId w:val="2"/>
        </w:numPr>
        <w:spacing w:after="60"/>
      </w:pPr>
      <w:r>
        <w:t xml:space="preserve">Un gran emisor celebra su junta en un registro tokenizado sin Broadridge: revisar la tesis.</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4,2 % anual y una rentabilidad del 9,2 %: un negocio maduro amenazado por la digitalización, la tokenización y la IA, a 18 veces el beneficio, frente a las 28-31 veces de su historia.</w:t>
      </w:r>
    </w:p>
    <w:p>
      <w:pPr>
        <w:keepNext/>
        <w:spacing w:after="100"/>
      </w:pPr>
      <w:r>
        <w:rPr>
          <w:b/>
          <w:bCs/>
        </w:rPr>
        <w:t xml:space="preserve">Lo que creemos nosotros.</w:t>
      </w:r>
    </w:p>
    <w:p>
      <w:pPr>
        <w:spacing w:after="100"/>
      </w:pPr>
      <w:r>
        <w:t xml:space="preserve">Coincidimos en el negocio (4,1 % de crecimiento, margen al 26 %). Discrepamos poco: creemos que la IA es más oportunidad que amenaza para el núcleo regulado y que Reg E-Delivery mejora el margen, pero no vemos un valor intrínseco por encima del precio con un WACC del 9,3 %.</w:t>
      </w:r>
    </w:p>
    <w:p>
      <w:pPr>
        <w:keepNext/>
        <w:spacing w:after="100"/>
      </w:pPr>
      <w:r>
        <w:rPr>
          <w:b/>
          <w:bCs/>
        </w:rPr>
        <w:t xml:space="preserve">Por qué podemos tener razón.</w:t>
      </w:r>
    </w:p>
    <w:p>
      <w:pPr>
        <w:spacing w:after="100"/>
      </w:pPr>
      <w:r>
        <w:t xml:space="preserve">Sin visión distinta del mercado en las cifras: la recomendación depende de la tasa de descuento (con la prima del mercado, +13,6 %) y del múltiplo. Es una conclusión válida: Mantener y comprar por debajo de 165,77.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8,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Peaje casi único</w:t>
      </w:r>
      <w:r>
        <w:t xml:space="preserve">: procesa unas 900 millones de posiciones en acciones de EE. UU. [12].</w:t>
      </w:r>
    </w:p>
    <w:p>
      <w:pPr>
        <w:pStyle w:val="ListParagraph"/>
        <w:numPr>
          <w:ilvl w:val="0"/>
          <w:numId w:val="2"/>
        </w:numPr>
        <w:spacing w:after="60"/>
      </w:pPr>
      <w:r>
        <w:rPr>
          <w:b/>
        </w:rPr>
        <w:t xml:space="preserve">Calidad</w:t>
      </w:r>
      <w:r>
        <w:t xml:space="preserve">: ROIC del 18,3 % frente a un WACC del 9,30 % (55,6 % sin fondo de comercio).</w:t>
      </w:r>
    </w:p>
    <w:p>
      <w:pPr>
        <w:pStyle w:val="ListParagraph"/>
        <w:numPr>
          <w:ilvl w:val="0"/>
          <w:numId w:val="2"/>
        </w:numPr>
        <w:spacing w:after="60"/>
      </w:pPr>
      <w:r>
        <w:rPr>
          <w:b/>
        </w:rPr>
        <w:t xml:space="preserve">Caja</w:t>
      </w:r>
      <w:r>
        <w:t xml:space="preserve">: 1.233 M USD de caja libre en 2026 (110 % del beneficio ajustado) y recompra de 1.500 M [2].</w:t>
      </w:r>
    </w:p>
    <w:p>
      <w:pPr>
        <w:pStyle w:val="ListParagraph"/>
        <w:numPr>
          <w:ilvl w:val="0"/>
          <w:numId w:val="2"/>
        </w:numPr>
        <w:spacing w:after="60"/>
      </w:pPr>
      <w:r>
        <w:rPr>
          <w:b/>
        </w:rPr>
        <w:t xml:space="preserve">Barata frente a su historia</w:t>
      </w:r>
      <w:r>
        <w:t xml:space="preserve">: 17,5 veces el beneficio de 12 meses frente a 31,7 de media.</w:t>
      </w:r>
    </w:p>
    <w:p>
      <w:pPr>
        <w:pStyle w:val="ListParagraph"/>
        <w:numPr>
          <w:ilvl w:val="0"/>
          <w:numId w:val="2"/>
        </w:numPr>
        <w:spacing w:after="60"/>
      </w:pPr>
      <w:r>
        <w:rPr>
          <w:b/>
        </w:rPr>
        <w:t xml:space="preserve">Cumple</w:t>
      </w:r>
      <w:r>
        <w:t xml:space="preserve">: objetivos a tres años cumplidos por quinto ciclo; dividendo +12 % [2].</w:t>
      </w:r>
    </w:p>
    <w:p>
      <w:pPr>
        <w:pStyle w:val="Heading2"/>
      </w:pPr>
      <w:r>
        <w:t xml:space="preserve">En contra</w:t>
      </w:r>
    </w:p>
    <w:p>
      <w:pPr>
        <w:pStyle w:val="ListParagraph"/>
        <w:numPr>
          <w:ilvl w:val="0"/>
          <w:numId w:val="2"/>
        </w:numPr>
        <w:spacing w:after="60"/>
      </w:pPr>
      <w:r>
        <w:rPr>
          <w:b/>
        </w:rPr>
        <w:t xml:space="preserve">Reg E-Delivery</w:t>
      </w:r>
      <w:r>
        <w:t xml:space="preserve">: rebaja «modesta» del recurrente en 2-3 años según la propia empresa [1].</w:t>
      </w:r>
    </w:p>
    <w:p>
      <w:pPr>
        <w:pStyle w:val="ListParagraph"/>
        <w:numPr>
          <w:ilvl w:val="0"/>
          <w:numId w:val="2"/>
        </w:numPr>
        <w:spacing w:after="60"/>
      </w:pPr>
      <w:r>
        <w:rPr>
          <w:b/>
        </w:rPr>
        <w:t xml:space="preserve">Sin margen de seguridad</w:t>
      </w:r>
      <w:r>
        <w:t xml:space="preserve">: valor intrínseco de 165,77 USD, un 1,5 % bajo el precio.</w:t>
      </w:r>
    </w:p>
    <w:p>
      <w:pPr>
        <w:pStyle w:val="ListParagraph"/>
        <w:numPr>
          <w:ilvl w:val="0"/>
          <w:numId w:val="2"/>
        </w:numPr>
        <w:spacing w:after="60"/>
      </w:pPr>
      <w:r>
        <w:rPr>
          <w:b/>
        </w:rPr>
        <w:t xml:space="preserve">Asimetría</w:t>
      </w:r>
      <w:r>
        <w:t xml:space="preserve">: alcista +13,8 % frente a bajista −34,9 % con nuestro WACC.</w:t>
      </w:r>
    </w:p>
    <w:p>
      <w:pPr>
        <w:pStyle w:val="ListParagraph"/>
        <w:numPr>
          <w:ilvl w:val="0"/>
          <w:numId w:val="2"/>
        </w:numPr>
        <w:spacing w:after="60"/>
      </w:pPr>
      <w:r>
        <w:rPr>
          <w:b/>
        </w:rPr>
        <w:t xml:space="preserve">Tokenización</w:t>
      </w:r>
      <w:r>
        <w:t xml:space="preserve">: riesgo de desintermediación declarado en el 10-K [1].</w:t>
      </w:r>
    </w:p>
    <w:p>
      <w:pPr>
        <w:pStyle w:val="ListParagraph"/>
        <w:numPr>
          <w:ilvl w:val="0"/>
          <w:numId w:val="2"/>
        </w:numPr>
        <w:spacing w:after="60"/>
      </w:pPr>
      <w:r>
        <w:rPr>
          <w:b/>
        </w:rPr>
        <w:t xml:space="preserve">Remuneración</w:t>
      </w:r>
      <w:r>
        <w:t xml:space="preserve">: el variable premia el BPA ajustado, no la rentabilidad del capital [24].</w:t>
      </w:r>
    </w:p>
    <w:p>
      <w:pPr>
        <w:pStyle w:val="Heading2"/>
      </w:pPr>
      <w:r>
        <w:t xml:space="preserve">Qué tiene que pasar para que la tesis funcione</w:t>
      </w:r>
    </w:p>
    <w:p>
      <w:pPr>
        <w:spacing w:after="100"/>
      </w:pPr>
      <w:r>
        <w:t xml:space="preserve">La tesis depende de que el ingreso recurrente siga creciendo al 6-8 % pese a Reg E-Delivery y la IA. La señal de que falla: crecimiento recurrente de ICS por debajo del 5 % dos trimestres seguidos, ventas cerradas por debajo de 250 M USD o caída de tarifas en las renovaciones de ProxyEdge.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recurrente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Reg E-Delivery y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cerradas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el crecimiento de 1-2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posiciones en acciones con ingreso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volumen de Regulatory.</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≈21 %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Broadridge nació en 2007 como escisión de ADP, que había creado el negocio de distribución de juntas y votos por cuenta de los brókeres en los años sesenta y lo había convertido en el procesador casi único de las comunicaciones a los accionistas en «street name» de EE. UU. Desde la escisión ha hecho dos cosas: ampliar las comunicaciones (fondos, emisores, comunicaciones a clientes, compra del negocio de comunicaciones de DST) y construir una segunda pata tecnológica para mercados de capitales y patrimonios. La compra de Itiviti (2021, 2.580 M USD) llevó GTO a la parte de órdenes y conectividad; en 2025-2026 añadió SIS de Kyndryl, CQG y Acolin, y montó una plataforma de repos sobre registro distribuido (DLR)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ADP y salida a bolsa en la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 Gokey sucede a Rich Daly como primer ejecutivo.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Itiviti por 2.580 M USD: entra en la negociación y la conectividad (front office)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cobrar en monedas Canton como validador de la red Canton (repos tokenizados).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negocio de servicios a la industria de valores de Kyndryl (SIS) y CQG.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Acolin; 227 M USD de ganancias por activos digitales; la SEC propone Reg E-Delivery (16-jul)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Perry, presidente desde 2026, entra en el consejo: sucesión ordenada de Gokey en preparación.</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Broadridge es la infraestructura que conecta a los emisores y fondos con sus inversores a través de los brókeres y bancos, y procesa operaciones para los mercados de capitales. ICS (74 % de los ingresos) distribuye las convocatorias de junta, los informes y los folletos a los titulares de acciones y fondos en cuentas de valores, recoge y cuenta los votos (ProxyEdge para institucionales) y presta servicios a emisores y comunicaciones a clientes; da servicio a unas 900 millones de posiciones en acciones de EE. UU. y a más de 170 millones de cuentas minoristas [1, 12]. GTO (26 %) da plataformas de post-contratación, órdenes y conectividad (procesa más de 15 billones de USD al día en renta fija y variable) y software para gestoras y patrimonios [12].</w:t>
      </w:r>
    </w:p>
    <w:p>
      <w:pPr>
        <w:pStyle w:val="Heading2"/>
      </w:pPr>
      <w:r>
        <w:t xml:space="preserve">Cómo gana dinero</w:t>
      </w:r>
    </w:p>
    <w:p>
      <w:pPr>
        <w:spacing w:after="100"/>
      </w:pPr>
      <w:r>
        <w:t xml:space="preserve">Cobra por unidad procesada: por posición o por comunicación en ICS (tarifas fijadas en parte por las reglas de la NYSE, que el emisor paga y Broadridge reparte con los brókeres) y por cuenta u operación en GTO, con contratos plurianuales [1]. El 65 % de los ingresos es recurrente (4.878 M), el 5 % es por eventos (fusiones, campañas de fondos: 348 M) y el 30 % es distribución (franqueo e impresión: 2.251 M) con margen casi nulo [2]. El margen depende de la escala: ICS ganó un 30,6 % antes de impuestos en el 4T, la temporada de juntas, y un 19,8 % en el año; los costes de conversión de clientes nuevos se activan y se amortizan [1, 2]. Estacionalidad fuerte: el 4T (abril-junio) concentra la temporada de juntas.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Investor Communication Solutions (ICS)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Technology and Operations (GTO)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(conciliación)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Investor Communication Solutions (ICS)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Technology and Operations (GTO)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(conciliación)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pesa el 7 % de los ingresos de 2026 [1]. Los clientes de ICS son los brókeres y bancos (que delegan la obligación de reenviar comunicaciones) y los emisores y fondos que pagan; en GTO, 21 de los 25 creadores de mercado primario de la deuda de EE. UU. y 7 de los 10 mayores bancos de inversión [12]. Los contratos son plurianuales y el cambio de proveedor exige migrar datos de cuentas y posiciones. El poder de precios es indirecto: el crecimiento de Regulatory (+12 % en 2026) sale del número de posiciones (+12 %), no de subidas de tarifa, y las tarifas de juntas las fija la NYSE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 M USD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 M USD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 a tipo constante; 7 puntos orgánicos en ICS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cerradas (closed sales)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2027: 290-330 M [2]. En el 3T la empresa había bajado la previsión del año a 240-290 M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posiciones en acciones con ingreso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(14 % en el 4T)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volumen de Regulatory; fondos y ETF +6 %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de operaciones (trades)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clientes de las plataformas de negociación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distribución (franqueo e impresión)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 M por subidas de tarifas postales; margen casi nulo, es lo que reduciría Reg E-Delivery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libre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libre de 1.233 M USD sobre beneficio neto ajustado de 1.124 M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infraestructura tecnológica y de comunicaciones para la industria de valores: distribución y votación de juntas y comunicaciones reguladas, procesamiento post-contratación, órdenes y conectividad y plataformas de patrimonios. La empresa estima su mercado direccionable «vendido» (lo que hoy se compra a terceros) en 60.000 M USD [12]; no hay una segunda fuente independiente con ese perímetro. Como contraste, el gasto mundial en datos y análisis de mercados financieros fue de ≈49.200 M USD en 2025, +6,5 % (Burton-Taylor), con un perímetro distinto (terminales, índices, datos) [16]. Usamos los 60.000 M de la empresa para la cuota y lo marcamos como dato de la propia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60.000 M USD de mercado direccionable vendido (empresa, 2026) [12]; datos y análisis de mercados financieros ≈ 49.200 M USD en 2025 (Burton-Taylor)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en comunicaciones al inversor de EE. UU.; fragmentada en tecnología para mercados de capitales y patrimonios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atos y análisis de mercados financieros, Burton-Taylor; perímetro de contrast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posiciones de inversores (más cuentas minoristas, acciones fraccionadas,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en acciones +16 % en 2026 (+12 % las que generan ingreso); fondos y ETF +6 %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interno de operaciones +15 % en 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papel a digital (Reg E-Delivery propuesta el 16-jul-2026)</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una «modesta» rebaja del crecimiento recurrente durante 2-3 años y menos ingresos de distribución, con mejor margen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Tokenización de valores y registros distribuidos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desintermediación declarado en el 10-K; a la vez, DLR procesa repos tokenizados (354.000 M USD al día en mayo, +392 %)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la tecnología de los bancos y brókeres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cerradas récord de 305 M USD en 2026; acuerdo ampliado con Kyndryl (may-2026)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(ingresos del flotante)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ingresos por intereses del flotante restaron margen en 2026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distribución de juntas a titulares en cuentas de valores de EE. UU. Broadridge procesa casi todas las posiciones (unos 900 millones) [12]; la rivalidad está en GTO (SS&amp;C, FIS, ION, proveedores internos).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(el primero, 7 % de los ingresos) que negocian contratos plurianuales; las fusiones de brókeres concentran poder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principales son personal, correo (repercutido) y centros de datos; las tarifas postales se repercuten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regulatoria y de red: hay que conectar a miles de brókeres, emisores y fondos y cumplir las reglas de la SEC y la NYSE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papel desaparece (Reg E-Delivery), la tokenización puede llevar el registro y el voto a la cadena de bloques y la IA puede automatizar el voto institucional y las comunicaciones [1, 15].</w:t>
            </w:r>
          </w:p>
        </w:tc>
      </w:tr>
    </w:tbl>
    <w:p>
      <w:pPr>
        <w:spacing w:after="160" w:before="0"/>
      </w:pPr>
    </w:p>
    <w:p>
      <w:pPr>
        <w:pStyle w:val="Heading2"/>
      </w:pPr>
      <w:r>
        <w:t xml:space="preserve">Ciclo</w:t>
      </w:r>
    </w:p>
    <w:p>
      <w:pPr>
        <w:spacing w:after="100"/>
      </w:pPr>
      <w:r>
        <w:t xml:space="preserve">El negocio recurrente apenas nota el ciclo: los ingresos crecieron en 2009 (según la empresa), en 2020 (+3,8 %) y en 2022 (+14 %) [19, 21]. Lo cíclico son los ingresos por eventos (fusiones y campañas de fondos, 5 % de los ingresos) y el volumen de negociación en GTO. Hoy los volúmenes y las posiciones crecen a doble dígito: es la parte alta para esos indicadores.</w:t>
      </w:r>
    </w:p>
    <w:p>
      <w:pPr>
        <w:pStyle w:val="Heading2"/>
      </w:pPr>
      <w:r>
        <w:t xml:space="preserve">Regulación</w:t>
      </w:r>
    </w:p>
    <w:p>
      <w:pPr>
        <w:spacing w:after="100"/>
      </w:pPr>
      <w:r>
        <w:t xml:space="preserve">Las tarifas por reenviar comunicaciones a los titulares en cuentas de valores las fijan las reglas de la NYSE aprobadas por la SEC [1]. El 16-jul-2026 la SEC propuso Reg E-Delivery: permitiría que el envío electrónico sea el método por defecto sin consentimiento previo, para folletos, juntas, informes y confirmaciones; el periodo de comentarios era de 60 días. La empresa no espera efecto en el ejercicio 2027 y sí una rebaja «modesta» del crecimiento recurrente durante dos o tres años, que espera compensar, y menos distribución [1]. Además: marco de los valores tokenizados aún sin definir en EE. UU. [1].</w:t>
      </w:r>
    </w:p>
    <w:p>
      <w:pPr>
        <w:pStyle w:val="Heading2"/>
      </w:pPr>
      <w:r>
        <w:t xml:space="preserve">Tendencias y disrupción</w:t>
      </w:r>
    </w:p>
    <w:p>
      <w:pPr>
        <w:spacing w:after="100"/>
      </w:pPr>
      <w:r>
        <w:t xml:space="preserve">Tres tendencias mueven la tesis. (1) Digitalización: menos papel y más interacción digital con el accionista; la empresa vende herramientas digitales (crecimiento a doble dígito durante cuatro años) [12]. (2) Tokenización: Broadridge ya presta voto y comunicaciones a valores tokenizados (primer voto en cadena de bloques de una cotizada de EE. UU., Ondo, Galaxy) y su plataforma DLR mueve repos tokenizados [11, 12]; si gana, se convierte en la capa de gobierno de esos valores; si no, pierde el peaje. (3) IA: la usa en el motor de políticas de voto personalizadas (800.000 M USD de activos) y en eficiencia interna; el mercado teme que la IA abarate las comunicaciones y el voto [12,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comunicaciones a inversores y voto de juntas en EE. UU. (procesador casi único de las posiciones en cuentas de valores); 12,5 % del mercado direccionable de 60.000 M USD que estima la empresa (7.477 / 60.000; estimación propia con dato de la empresa)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SS&amp;C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y servicios para gestoras y fondos (DST, transferencia de fondos); compite con GTO y con la distribución de fondos; compró Calastone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mercados de capitales y banca; compite en post-contratación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Computershare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accionistas y agente de transferencias (titulares registrados): competidor y socio en juntas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Donnelley Financial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DFIN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Informes regulatorios y comunicaciones de fondos y emisores; compite con las soluciones de emisores y fondos de ICS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SEI Investments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y externalización para patrimonios y gestoras; compite con Wealth and Investment Management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Jack Henry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JKHY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Proceso bancario para entidades medianas; comparable de modelo (procesamiento recurrente), no competidor directo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Conecta a miles de brókeres, bancos, emisores y fondos con 170 millones de cuentas: cada parte usa la red porque las demás ya están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posiciones, preferencias de envío y el voto de un bróker o la post-contratación de un banco lleva años; contratos plurianuales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180 patentes y solicitudes; reconocimiento regulatorio de su papel en el proceso de juntas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margen antes de impuestos de ICS del 19,8 % en el año con el franqueo incluido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reenvío de comunicaciones de EE. UU. solo admite un procesador eficiente; no hay rival de tamaño comparable [1, 2].</w:t>
            </w:r>
          </w:p>
        </w:tc>
      </w:tr>
    </w:tbl>
    <w:p>
      <w:pPr>
        <w:spacing w:after="160" w:before="0"/>
      </w:pPr>
    </w:p>
    <w:p>
      <w:pPr>
        <w:pStyle w:val="Heading2"/>
      </w:pPr>
      <w:r>
        <w:t xml:space="preserve">Amenazas</w:t>
      </w:r>
    </w:p>
    <w:p>
      <w:pPr>
        <w:spacing w:after="100"/>
      </w:pPr>
      <w:r>
        <w:t xml:space="preserve">Tres amenazas, de más a menos probables. (1) Reg E-Delivery: menos papel reduce la distribución (sin margen) y, según la empresa, algo el crecimiento recurrente durante 2-3 años [1]; probabilidad alta de que se apruebe en alguna forma, efecto moderado. (2) Tokenización: si las acciones pasan a registros distribuidos donde el emisor ve al titular final, el papel de intermediario de Broadridge puede desaparecer; probabilidad baja a cinco años, alta a quince, y Broadridge se está posicionando como capa de gobierno de esos registros [1, 11]. (3) IA: abarata el voto institucional (políticas de voto automáticas) y la redacción de comunicaciones; afecta más a las herramientas que al proceso regulado de reenvío, que exige auditoría y responsabilidad [15,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FY2019-FY2026: ingresos </w:t>
      </w:r>
      <w:r>
        <w:rPr>
          <w:b/>
          <w:bCs/>
        </w:rPr>
        <w:t xml:space="preserve">8,0 %</w:t>
      </w:r>
      <w:r>
        <w:t xml:space="preserve">, EBITDA </w:t>
      </w:r>
      <w:r>
        <w:rPr>
          <w:b/>
          <w:bCs/>
        </w:rPr>
        <w:t xml:space="preserve">10,3 %</w:t>
      </w:r>
      <w:r>
        <w:t xml:space="preserve">, BPA </w:t>
      </w:r>
      <w:r>
        <w:rPr>
          <w:b/>
          <w:bCs/>
        </w:rPr>
        <w:t xml:space="preserve">13,1 %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4.362 M USD en 2019 a 7.477 M en 2026 [2, 9]. La compra de Itiviti (2021) y de SIS, CQG, Acolin, Signal e iJoin (2025-2026) explica parte; en 2026 el recurrente creció un 8 % con unos 7 puntos orgánicos en ICS y 4 en GTO [2]. Los ingresos de distribución (2.251 M, el 30 % del total) son franqueo e impresión repercutidos con margen casi nulo: diluyen el margen contable, que hay que leer sobre los ingresos recurrentes [2]. El margen EBIT subió del 13,3 % de 2022 al 17,4 % de 2026 por la escala en ICS (beneficio antes de impuestos del segmento: 726 M a 1.104 M) y la recuperación de GTO (de 140 M a 298 M) [2, 7]. El margen ajustado de explotación fue del 20,5 %, con 40 puntos básicos de presión por la distribución y por menos intereses del flotante [2].</w:t>
      </w:r>
    </w:p>
    <w:p>
      <w:pPr>
        <w:pStyle w:val="Heading2"/>
      </w:pPr>
      <w:r>
        <w:t xml:space="preserve">Ajustes y partidas no recurrentes</w:t>
      </w:r>
    </w:p>
    <w:p>
      <w:pPr>
        <w:spacing w:after="100"/>
      </w:pPr>
      <w:r>
        <w:t xml:space="preserve">Usamos las cifras publicadas. El BPA de 2026 (9,60 USD) incluye 227 M de ganancias no realizadas y realizadas de activos digitales (monedas Canton recibidas como validador de la red Canton) y 7,3 M de plusvalía de una inversión: son no recurrentes y están por debajo del EBIT [1, 2]. Sin ellas, al tipo efectivo del 22,2 %, el BPA normalizado es ≈8,04 USD (estimación propia). En 2021 hubo 72,7 M de «otros ingresos no operativos», sobre todo la ganancia de un instrumento de cobertura de divisa de la compra de Itiviti [8, 13]: BPA normalizado ≈4,16. La empresa publica un BPA ajustado (9,60 en 2026 y 8,55 en 2025) que suma la amortización de intangibles comprados (203,6 M en 2026), los costes de compras (17,5 M) y de reestructuración (13,2 M) y resta las ganancias de activos digitales [2]. Los costes de compras se repiten cada año: no los tratamos como no recurrentes.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 (4-ago-2026) la dirección habló de «infraestructura para los mercados del futuro»: comunicaciones digitales, IA agéntica y activos tokenizados [2, 11]. Datos: recurrente +8 % en el año y +10 % en ICS en el 4T, ventas cerradas de 158 M en el trimestre (+39 %) y récord de 305 M en el año, conversión de caja del 110 % y una recompra nueva de 1.500 M USD [2]. Cambio frente al 3T (30-abr): entonces bajó la previsión de ventas cerradas a 240-290 M por ciclos de venta más largos y la acción cayó; en agosto las ventas superaron ese rango y el discurso pasó de defender el negocio a vender la tokenización (repos en DLR, voto en Ondo y Galaxy, plataforma DLx) [3, 11, 27]. Lo que más se preguntó: el efecto de Reg E-Delivery, propuesta el 16-jul, y la IA. La dirección no cuantificó Reg E-Delivery más allá de «modesta» rebaja del crecimiento recurrente en 2-3 años, compensada con soluciones nuevas, ni dio objetivos a tres años para 2027-2029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Itiviti, comprada el 12-may-2021 por 2.580 M USD: entra entera en el balance (37 % del activo) y solo con el 1 % de los ingresos del año [13].).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3.613 M en 2021, tras Itiviti, a 2.852 M en 2026, y de 3,6 a 1,6 veces el EBITDA, con la caja libre pagando dividendos, recompras y compras pequeñas. El circulante es negativo (−3,3 % de las ventas en 2026): los clientes pagan por adelantado parte de los servicios y las cuentas a pagar incluyen tasas de brókeres y franqueo que se cobran antes de pagarse. Los costes de conversión de clientes nuevos se activan (819 M en balance) y se amortizan: son una inversión que el EBITDA no ve y que el DCF trata como capex [1,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5.934</w:t>
      </w:r>
      <w:r>
        <w:t xml:space="preserve">, conversión </w:t>
      </w:r>
      <w:r>
        <w:rPr>
          <w:b/>
          <w:bCs/>
        </w:rPr>
        <w:t xml:space="preserve">111 %</w:t>
      </w:r>
      <w:r>
        <w:t xml:space="preserve"> del beneficio neto; adquisiciones 3.821, dividendos 2.550, recompras 1.760.</w:t>
      </w:r>
    </w:p>
    <w:p>
      <w:pPr>
        <w:spacing w:after="100"/>
      </w:pPr>
      <w:r>
        <w:t xml:space="preserve">La conversión es buena y estable: caja libre (flujo operativo menos inmovilizado y software) de 1.233 M en 2026 y 1.056 M en 2025, el 110 % y el 126 % del beneficio neto, y 5.934 M acumulados en 2019-2026 (111 %) [2, 6]. 2022 fue el año flojo (370 M, 69 %) por el aumento de los costes de conversión de clientes grandes, que se pagan por adelantado. Usos de la caja en ocho años: 3.821 M en compras (Itiviti, 2.580 M), 2.550 M en dividendos y 1.760 M en recompras. Capex de mantenimiento (estimación propia): el inmovilizado y el software, ≈1,5 % de las ventas; los costes de conversión (≈150-160 M al año, ≈2,1 %) son de crecimiento, porque solo se pagan cuando entra un cliente.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con dos matices. Primero, el BPA de 2026 lleva 227 M de ganancias por monedas Canton y la operación CNTN, que no son del negocio y la empresa excluye de su BPA ajustado [2]; el impuesto diferido subió 105,8 M por ellas. Segundo, la empresa activa los costes de conversión y de puesta en marcha de clientes (819 M en balance) y los amortiza (167 M en 2026): el beneficio no los ve cuando se pagan [1, 2]. El pago en acciones fue de 93,9 M (8,4 % del beneficio). El BPA ajustado excluye la amortización de intangibles comprados (203,6 M), cifra real pero sin caja. Indicadores del motor: Altman Z de 3,97 (zona segura), Piotroski F de 9 (máximo) y Beneish M de −2,56 (por debajo del umbral de manipulación de −1,78). Sin cambios de criterio; auditoría de Deloitte favorable y control interno eficaz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activos digitales en el BPA de 2026 (227 M; 1,94 USD por acción)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y volátiles; excluidas del BPA normalizado y de la rentabilidad a 12 meses.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conversión de clientes activados (819 M en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Práctica del sector (ASC 340); los tratamos como capex en el DCF.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de la dirección sin amortización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diferencia con el publicado (≈1 USD por acción) es la base de la remuneración variable.</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3.788 M en FY2026 (el 67 % del capital invertido medio); ha subido más de un 5 % en 2 de 7 años: compra única grande. ROIC publicado 18,3 %; sin fondo de comercio, 55,6 %.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15,4 % · </w:t>
      </w:r>
      <w:r>
        <w:rPr>
          <w:b/>
          <w:bCs/>
        </w:rPr>
        <w:t xml:space="preserve">WACC</w:t>
      </w:r>
      <w:r>
        <w:t xml:space="preserve">: 9,3 %.</w:t>
      </w:r>
    </w:p>
    <w:p>
      <w:pPr>
        <w:spacing w:after="100"/>
      </w:pPr>
      <w:r>
        <w:t xml:space="preserve">Broadridge crea valor: ROIC del 18,3 % en 2026 frente a un WACC del 9,30 %, nueve puntos, y por encima del WACC todos los años desde 2019 (mínimo 11,2 % en 2022, tras Itiviti). Sin fondo de comercio (el 67 % del capital invertido), el ROIC sería del 55,6 %: el negocio operativo apenas necesita capital y lo que baja la cifra es lo pagado por las compras. El ROIC sale del margen y de un capital casi todo intangible; la caída de 2021-2022 fue por la compra de Itiviti (2.580 M), que dobló el capital invertido y tardó cinco años en dar el beneficio de GTO de 2021. El ROIC incremental histórico es del 15,4 %. Frente a los comparables: por encima de SS&amp;C (8,7 %) y por debajo de Jack Henry (22,7 %) o SEI (22,4 %), que no compraron grande [17, 19, 21].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402,9 M USD a 30-jun-2026 y 1.225 M disponibles de la línea de crédito de 1.500 M (vence en dic-2029)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Baa2, S&amp;P BBB, Fitch BBB+ (calificaciones previstas de los bonos de 2036, may-2026)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de 3.274,7 M USD en principal: bonos de 750 M (2,90 %, 2029), 1.000 M (2,60 %, 2031) y 500 M (5,75 %, 2036, emitidos en mayo para pagar los 500 M al 3,40 % que vencían en junio), préstamo a plazo de 750 M (2030) y 275 M dispuestos de la línea de crédito [1]. Sin vencimientos hasta el ejercicio 2030. Los préstamos tienen una ratio de apalancamiento como compromiso, que cumple. Arrendamientos operativos de 262,9 M (US GAAP: ya están en el EBITDA, no van al puente). Pasivos de contratos no corrientes de 312,8 M (cobros anticipados) y 387 M de impuestos diferidos, que suben por las ganancias no realizadas de las monedas Canton [1]. Activos digitales: 1.500 millones de monedas Canton por 216,1 M a valor de mercado (189,9 M bloqueados) y opciones y acciones de CNTN: los sumamos al puente netos de impuesto (168 M) [1]. Pensiones pequeñas (planes SORP y SERP con fondo de garantía).</w:t>
      </w:r>
    </w:p>
    <w:p>
      <w:pPr>
        <w:pStyle w:val="Heading1"/>
      </w:pPr>
      <w:r>
        <w:t xml:space="preserve">12. Asignación de capital</w:t>
      </w:r>
    </w:p>
    <w:p>
      <w:pPr>
        <w:pStyle w:val="Confianza"/>
        <w:spacing w:after="100"/>
      </w:pPr>
      <w:r>
        <w:t xml:space="preserve">Confianza: Alta</w:t>
      </w:r>
    </w:p>
    <w:p>
      <w:pPr>
        <w:spacing w:after="100"/>
      </w:pPr>
      <w:r>
        <w:t xml:space="preserve">Prioridades declaradas: dividendo creciente (pago ≈45 % del BPA ajustado; +12 % hasta 4,36 USD anuales, 20.º año seguido de subida), compras pequeñas complementarias y recompras con la caja sobrante, manteniendo el grado de inversión [2, 12]. El 3-ago-2026 aprobó una recompra de hasta 1.500 M USD sin fecha de caducidad (≈8 % de la capitalización) que sustituye a la anterior; en 2026 recompró 604 M, un récord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Itiviti Holding AB (negociación y conectividad para mercados de capitales, Suecia)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a plazo de 2.550 M USD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1.932 M; el beneficio de GTO cayó de 200 M (2021) a 140 M (2022) y no volvió a superar el de 2021 hasta 2026 (298 M) [2, 7, 13].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del ejercicio, la principal el negocio Securities Industry Services de Kyndryl (SIS)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 aportó 5 puntos al crecimiento de Wealth and Investment Management en 2026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CQG, Acolin (distribución transfronteriza de fondos), Signal e iJoin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recientes; CQG aportó 1-3 puntos al crecimiento de Capital Markets [2].</w:t>
            </w:r>
          </w:p>
        </w:tc>
      </w:tr>
    </w:tbl>
    <w:p>
      <w:pPr>
        <w:spacing w:after="160" w:before="0"/>
      </w:pPr>
    </w:p>
    <w:p>
      <w:pPr>
        <w:spacing w:after="100"/>
      </w:pPr>
      <w:r>
        <w:t xml:space="preserve">Buen asignador de capital en el negocio propio y discutible en la gran compra. En ocho años generó 5.934 M de caja libre y devolvió 4.310 M (2.550 M en dividendos, 1.760 M en recompras), con un número de acciones diluidas que bajó de 118,8 M a 117,1 M. Itiviti (2.580 M, el 43 % de lo invertido en compras) llevó el ROIC del 20 % al 11 % y el beneficio de GTO no superó el de 2021 hasta 2026; no hubo deterioros, pero tampoco la rentabilidad que justificaba el precio. Las compras de 2025-2026 son pequeñas (≈476 M en total) y la deuda ha vuelto a 1,6 veces el EBITDA, lo que deja la recompra de 1.500 M financiable con dos años de caja libre libre de dividendos.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C. Gokey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Broadridge desde 2010 (director financiero, director de operaciones, presidente); antes en H&amp;R Block y McKinsey. Como CEO cumplió los objetivos a tres años de crecimiento recurrente y BPA ajustado en los ciclos de su mandato [2]. Compró 5.300 acciones en mercado en marzo de 2026 a 194,49 USD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Perry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(operativo)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 las ventas y los clientes globales durante años; entra en el consejo en 2026, lo que apunta a la sucesión de Gokey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Ashima Ghei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interna en finanzas de Broadridge; vicepresidenta corporativa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Eileen K.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presidenta del consejo de gobernadores de FINRA y ex co-CEO de Bridgewater; consejera desde 2022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 Carey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corporativo, GTO y producto y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GTO desde 2018; desde julio de 2026 también producto y tecnología de todo el grupo [24]. Vendió acciones por 2,7 M USD en 12 meses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Douglas R. DeSchutter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corporativo, ICS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segmento de comunicaciones al inversor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tres años: ingresos recurrentes +7-9 % y BPA ajustado +8-12 % anual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Cumplidos: la empresa los da por logrados por quinto ciclo seguido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 en el 3T: recurrente ≥ 7 % a tipo constante, BPA ajustado +10-12 %, ventas cerradas 240-290 M USD [27]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 +8 %, BPA ajustado +12 %, ventas cerradas 305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Recurrente +6-8 % a tipo constante, margen ajustado ≈21 %, BPA ajustado +8-12 %, conversión de caja ≥ 100 %, ventas cerradas 290-330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(1T el 3-nov-2026 aprox.)</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cumplió los objetivos a tres años por quinto ciclo seguido y la guía revisada de 2026 [2]. Estable: Gokey es primer ejecutivo desde 2019 y está en la casa desde 2010; la directora financiera y los jefes de segmento son de carrera interna. La sucesión parece encaminada con Chris Perry como presidente y consejero desde 2026 (Gokey tiene 65 años). El CEO compró 1,0 M USD en acciones en marzo de 2026 a 194,49 USD, una señal de confianza que de momento pierde un 13 % [25]; los demás directivos solo vendieron (≈3,0 M).</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Eileen K.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C. Gokey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Perry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operativo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Melvin L. Flowers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N. Duelks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L. Nazareth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Maura A. Markus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A. Mosconi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T. Diganci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Srinivas D. Tallapragada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Candidato (junta del 10-nov-2026)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(si es elegido)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1,03 / ventas 3,99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 de ene-2024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(mar-2026), tras la división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(40,4 M acciones sobre 154,5 M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 acciones en el ejercicio 2026 (recompras de 604 M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C. Gokey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J. Perry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P. Carey (VP corporativo)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N. Duelks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Hope M. Jarkowski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P. Carey (VP corporativo)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19,1 M USD en 2026 (17,2 M en 2025 y 14,3 M en 2024): 1,1 M de fijo, 1,9 M de bonus anual y 14,6 M en acciones y opciones (6,7 M en acciones de rendimiento y 7,9 M en opciones a diez años) [24]. Las acciones de rendimiento (PRSU) dependen del BPA ajustado medio de tres años y, desde 2026, del ingreso recurrente orgánico medio; pueden pagar entre el 0 % y el 165 % [24]. No hay métrica de rentabilidad sobre el capital ni de rentabilidad total para el accionista: premia crecer el BPA ajustado, que excluye la amortización de las compras, lo que favorece comprar empresas. Hay política de recuperación (clawback) amplia y prohibición de coberturas y prendas. Ratio CEO/empleado mediano: 285 a 1. El voto consultivo de 2025 sacó un 92 % a favor [24].</w:t>
      </w:r>
    </w:p>
    <w:p>
      <w:pPr>
        <w:pStyle w:val="Heading2"/>
      </w:pPr>
      <w:r>
        <w:t xml:space="preserve">Operaciones vinculadas, estructura de control y defensas</w:t>
      </w:r>
    </w:p>
    <w:p>
      <w:pPr>
        <w:spacing w:after="100"/>
      </w:pPr>
      <w:r>
        <w:t xml:space="preserve">Sin accionista de control: los tres mayores son gestoras indexadas (BlackRock 8,6 %, Vanguard 13,3 % en dos vehículos) [24]. Una acción, un voto; consejo de mayoría independiente con presidenta independiente desde 2025 y las tres comisiones formadas solo por independientes. No hay operaciones vinculadas relevantes declaradas. Amit Zavery deja el consejo en la junta de 2026 sin desacuerdo, y entra Srinivas Tallapragada (ex Salesforce), un perfil de tecnología e IA [24].</w:t>
      </w:r>
    </w:p>
    <w:p>
      <w:pPr>
        <w:pStyle w:val="Heading2"/>
      </w:pPr>
      <w:r>
        <w:t xml:space="preserve">Señales de alerta</w:t>
      </w:r>
    </w:p>
    <w:p>
      <w:pPr>
        <w:pStyle w:val="ListParagraph"/>
        <w:numPr>
          <w:ilvl w:val="0"/>
          <w:numId w:val="2"/>
        </w:numPr>
        <w:spacing w:after="60"/>
      </w:pPr>
      <w:r>
        <w:t xml:space="preserve">El variable a largo plazo se mide con BPA ajustado (sin la amortización de compras) e ingreso recurrente: premia crecer, no la rentabilidad sobre el capital.</w:t>
      </w:r>
    </w:p>
    <w:p>
      <w:pPr>
        <w:pStyle w:val="ListParagraph"/>
        <w:numPr>
          <w:ilvl w:val="0"/>
          <w:numId w:val="2"/>
        </w:numPr>
        <w:spacing w:after="60"/>
      </w:pPr>
      <w:r>
        <w:t xml:space="preserve">Ventas de directivos por 4,0 M USD frente a una sola compra (CEO, 1,0 M) en 12 meses; ninguna con plan 10b5-1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ejercicio 2027 (4-ago-2026): ingresos recurrentes +6-8 % a tipo constante, margen operativo ajustado ≈21 % (≈19 % publicado), BPA ajustado +8-12 % (10,37-10,75 USD) y BPA publicado entre −4 % y 0 % sobre 9,60 (sin activos digitales, que no se pueden prever), conversión de caja libre ≥ 100 % y ventas cerradas de 290-330 M USD [2]. Los objetivos a tres años 2027-2029 se presentarán con el día del inversor; los de 2024-2026 se cumplieron. Sin cambios de la guía desde agosto.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vía Stock Analysis, 9 analistas; BPA AJUSTADO (sin amortización de compras)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176,00 – 257,00</w:t>
            </w:r>
          </w:p>
        </w:tc>
      </w:tr>
    </w:tbl>
    <w:p>
      <w:pPr>
        <w:spacing w:after="160" w:before="0"/>
      </w:pPr>
    </w:p>
    <w:p>
      <w:pPr>
        <w:pStyle w:val="Heading2"/>
      </w:pPr>
      <w:r>
        <w:t xml:space="preserve">Revisiones de estimaciones</w:t>
      </w:r>
    </w:p>
    <w:p>
      <w:pPr>
        <w:spacing w:after="100"/>
      </w:pPr>
      <w:r>
        <w:t xml:space="preserve">Solo una fuente gratuita con estimaciones completas del ejercicio 2027 (S&amp;P Global, 9 analistas: BPA ajustado 10,55 USD, rango 10,40-10,65; ventas 7.860 M) [29]; antes de los resultados de agosto el consenso del BPA ajustado de 2027 era 10,41 y la guía (10,37-10,75) lo dejó casi igual. Precio objetivo: 213,38 USD de media para S&amp;P Global (176-250) y 216,00 para MarketBeat (176-257) [29, 30]. Tras los resultados, Morgan Stanley subió el objetivo de 169 a 176 (igual peso), RBC de 225 a 226 (sobreponderar) y UBS lo dejó en 180 (neutral) [30]: objetivos estables o algo al alza en 3 meses. Sin BPA de consenso de 2028 gratuito.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La acción cae un 23,2 % en 2026 y un 26,8 % en un año frente a +17,5 % del S&amp;P 500, y en cinco años apenas sube un 0,7 % anual con dividendos. La caída tuvo tres tramos: el «apocalipsis del SaaS» de febrero (−6,2 % el 3-feb, día en que las herramientas de IA hundieron el software, y −6,0 % el 6-feb), el 3T (30-abr) con la rebaja de la previsión de ventas cerradas, y el miedo a la tokenización y a Reg E-Delivery hasta el mínimo de 133,83 USD del 22-jun [23, 28]. Desde entonces sube un 26 %, con los resultados de agosto (+7 % el día) [40]. Caída máxima de 5 años del −48,2 % (ago-2025 a jun-2026). Beta de 0,92 (mensual, 5 años) y 0,67 (semanal, 2 años): defensiva en volatilidad, no en múltiplo.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Broadridge cotiza a 17,5 veces el beneficio de los últimos 12 meses y 12,1 veces el EBITDA, un 45 % y un 31 % por debajo de sus medias de ocho años (31,7x y 17,5x), en el percentil 13. En PER adelantado publicado normalizado, 18,1x frente a una mediana de 27,7x. Lo que ha cambiado: el bono a 10 años al 5,2 % frente al 1-3 % de 2019-2022, el riesgo regulatorio de Reg E-Delivery y la duda sobre si la tokenización y la IA acortan la vida del negocio de comunicaciones. Las dos primeras justifican parte de la rebaja; la tercera es la apuesta.</w:t>
      </w:r>
    </w:p>
    <w:p>
      <w:pPr>
        <w:pStyle w:val="Heading1"/>
      </w:pPr>
      <w:r>
        <w:t xml:space="preserve">18. Comparables cotizados</w:t>
      </w:r>
    </w:p>
    <w:p>
      <w:pPr>
        <w:pStyle w:val="Confianza"/>
        <w:spacing w:after="100"/>
      </w:pPr>
      <w:r>
        <w:t xml:space="preserve">Confianza: Media</w:t>
      </w:r>
    </w:p>
    <w:p>
      <w:pPr>
        <w:spacing w:after="100"/>
      </w:pPr>
      <w:r>
        <w:t xml:space="preserve">Procesadores y proveedores de tecnología recurrente para la industria financiera con la misma economía (cobro por cuenta, posición u operación, contratos plurianuales): SS&amp;C (fondos y gestoras), Jack Henry (proceso bancario), SEI (plataformas de patrimonios), Computershare (registro de accionistas), Donnelley Financial (comunicaciones reguladas), y FactSet y Thomson Reuters (datos y contenido regulatorio, de la ficha sectorial). Fuera FIS: su PER adelantado de 5,5x refleja un problema propio (deuda de 5,9 veces el EBITDA tras la compra del negocio de emisión de Global Payments) y hundiría la mediana. Bases de BPA mezcladas (la mayoría ajustadas). Crecimiento: previsión de ventas a 3 años de Stock Analysis para los que no tienen ficha.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Broadridge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SS&amp;C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SEI Investments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Computershare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Donnelley Financial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15,3x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16,5x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4,7x / 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Broadridge cotiza a 15,9 veces el BPA ajustado de los próximos 12 meses, casi en la mediana de los comparables (16,5x), con un crecimiento previsto menor (3,9 % frente a 5,7-8,9 % de SS&amp;C, Jack Henry y SEI) y un ROIC del 18,3 %, en la parte media-alta [17, 19, 20, 21, 22, 35]. Su EV/EBITDA (12,1x) es de los más bajos: el EBITDA lleva 2.251 M de franqueo sin margen que infla las ventas y abarata el EV/ventas (2,94x). El PER NTM de la mediana da un valor de 174,08 USD. Excluido FIS (5,5x) por su problema de deuda. No hay prima ni descuento claro frente al grupo: el descuento está frente a su propia historia.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Itiviti (negociación y conectividad)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Broadridge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compra neto de caja del 10-K de 2021 [13]; la empresa no publicó ventas ni EBITDA de Itiviti.</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Envestnet (plataforma de patrimonios)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63,15 USD por acción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Calastone (red de distribución de fondos)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SS&amp;C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≈766 M GBP a Carlyle [37].</w:t>
            </w:r>
          </w:p>
        </w:tc>
      </w:tr>
    </w:tbl>
    <w:p>
      <w:pPr>
        <w:spacing w:after="160" w:before="0"/>
      </w:pPr>
    </w:p>
    <w:p>
      <w:pPr>
        <w:spacing w:after="160" w:before="0"/>
      </w:pPr>
    </w:p>
    <w:p>
      <w:pPr>
        <w:spacing w:after="100"/>
      </w:pPr>
      <w:r>
        <w:t xml:space="preserve">Las tres operaciones del sector de los últimos cinco años no publicaron múltiplos: sirven para ver que el capital riesgo y los consolidadores pagan miles de millones por redes de distribución y plataformas, no para valorar. Broadridge no es un objetivo realista: capitalización de ≈19.000 M USD, accionariado disperso y, sobre todo, un papel cuasi regulatorio en las juntas de EE. UU. que haría muy difícil que la comprara un competidor o un banco. Peso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+5,0 % en 2027 (consenso 7.860 M, +5,1 %; guía de recurrente +6-8 % y distribución creciendo menos) [2, 29]; +4,0 % en 2028 y +4,5 % en 2029-2030 por la caída de la distribución con Reg E-Delivery y una rebaja de 1 punto del recurrente, como anticipa la empresa [1]; bajando al 3,0 % en 2033. La TCAC histórica es del 8,0 % (con compras): proyectamos la mitad, sin compras.</w:t>
      </w:r>
    </w:p>
    <w:p>
      <w:pPr>
        <w:keepNext/>
        <w:spacing w:after="100"/>
      </w:pPr>
      <w:r>
        <w:rPr>
          <w:b/>
          <w:bCs/>
        </w:rPr>
        <w:t xml:space="preserve">Márgenes.</w:t>
      </w:r>
    </w:p>
    <w:p>
      <w:pPr>
        <w:spacing w:after="100"/>
      </w:pPr>
      <w:r>
        <w:t xml:space="preserve">Margen EBITDA del 24,2 % en 2026 al 24,6 % en 2027 (la guía sube el margen ajustado de 20,5 % a ≈21 %) y al 26,0 % en 2031, por la escala y porque la distribución sin margen pierde peso [2]. Precedente: el margen subió del 20,3 % de 2021 al 24,5 % de 2025.</w:t>
      </w:r>
    </w:p>
    <w:p>
      <w:pPr>
        <w:keepNext/>
        <w:spacing w:after="100"/>
      </w:pPr>
      <w:r>
        <w:rPr>
          <w:b/>
          <w:bCs/>
        </w:rPr>
        <w:t xml:space="preserve">Inversión y circulante.</w:t>
      </w:r>
    </w:p>
    <w:p>
      <w:pPr>
        <w:spacing w:after="100"/>
      </w:pPr>
      <w:r>
        <w:t xml:space="preserve">Capex del 3,7 % de las ventas = inmovilizado y software (1,5 %) + costes de conversión de clientes activados (≈2,1 %), porque su amortización está fuera del EBITDA [2]. Amortización del 5,7 % al 3,7 %: la de intangibles comprados (203,6 M en 2026) se agota. Circulante del −3,0 % de las ventas (−3,3 % en 2026).</w:t>
      </w:r>
    </w:p>
    <w:p>
      <w:pPr>
        <w:keepNext/>
        <w:spacing w:after="100"/>
      </w:pPr>
      <w:r>
        <w:rPr>
          <w:b/>
          <w:bCs/>
        </w:rPr>
        <w:t xml:space="preserve">Coste del capital.</w:t>
      </w:r>
    </w:p>
    <w:p>
      <w:pPr>
        <w:spacing w:after="100"/>
      </w:pPr>
      <w:r>
        <w:t xml:space="preserve">Tasa libre del 5,21 % (bono de EE. UU. a 10 años, 13-oct-2026) [32]; beta de 0,90 entre la mensual de 5 años (0,92; ajustada 0,95) y la semanal de 2 años (0,67) [28]; prima del 5,5 %; coste de la deuda del 5,5 % antes de impuestos (la emisión de 2036 rinde el 5,79 %) [14]; peso de la deuda del 14,5 % a valor de mercado. WACC del 9,30 %. Con la beta semanal (0,67) el valor subiría un 20 % aproximadamente: la recomendación depende de la beta.</w:t>
      </w:r>
    </w:p>
    <w:p>
      <w:pPr>
        <w:keepNext/>
        <w:spacing w:after="100"/>
      </w:pPr>
      <w:r>
        <w:rPr>
          <w:b/>
          <w:bCs/>
        </w:rPr>
        <w:t xml:space="preserve">Valor terminal.</w:t>
      </w:r>
    </w:p>
    <w:p>
      <w:pPr>
        <w:spacing w:after="100"/>
      </w:pPr>
      <w:r>
        <w:t xml:space="preserve">Gordon con un 2,5 % (inflación de EE. UU. más un crecimiento real pequeño, por debajo de la tasa libre menos medio punto). Equivale a ≈10 veces el EBITDA final, por debajo de los comparables (12-16x) y de su historia (17,5x): conservador por la tasa libre alta y el riesgo de sustitución.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(reinvierte el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 (histórico: 15,4 %)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frente al 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(hoy: 12,5 %)</w:t>
            </w:r>
          </w:p>
        </w:tc>
      </w:tr>
    </w:tbl>
    <w:p>
      <w:pPr>
        <w:spacing w:after="160" w:before="0"/>
      </w:pPr>
    </w:p>
    <w:p>
      <w:pPr>
        <w:spacing w:after="100"/>
      </w:pPr>
      <w:r>
        <w:t xml:space="preserve">La proyección apenas necesita inversión neta de la amortización (reinversión acumulada de -539 M, con un capex bruto medio del 3,7 % de las ventas). En un negocio de activos ligeros, el crecimiento medio del 4,1 % tiene que salir de subir precios y de ganar volumen sin capital nuevo, y la prueba es el poder de precios y la cuota (11,6 % del mercado en FY2033e, frente al 12,5 %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posiciones +6-12 % y operaciones +15 % en 2026 [2]; precio ≈1 % (tasas reguladas y contratos con actualización); guía de recurrente +6-8 %.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 E-Delivery: menos distribución y 1 punto menos de recurrente (otros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año de transición a digital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posiciones y externalización en GTO;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del mercado.</w:t>
            </w:r>
          </w:p>
        </w:tc>
      </w:tr>
    </w:tbl>
    <w:p>
      <w:pPr>
        <w:spacing w:after="160" w:before="0"/>
      </w:pPr>
    </w:p>
    <w:p>
      <w:pPr>
        <w:spacing w:after="100"/>
      </w:pPr>
      <w:r>
        <w:t xml:space="preserve">Sí. El crecimiento proyectado (4,1 % de media) es la mitad del histórico (8,0 %) y no necesita compras ni capital: el negocio funciona con circulante negativo y un capex del 3,7 % de las ventas, y el motor confirma que lo financia la reinversión bruta (22 % del NOPAT). Lo sostienen el foso de red (procesador casi único de las juntas en cuentas de valores de EE. UU.), el crecimiento estructural de posiciones (+12 % en 2026) y un ROIC del 18,3 % (55,6 % sin fondo de comercio). La cuota implícita baja del 12,5 % al 11,6 % del mercado direccionable. El rendimiento implícito del capital bruto (30,4 % frente al 15,4 % histórico) es alto porque el capital histórico está inflado por Itiviti; sin fondo de comercio la empresa rinde más del 50 %. El riesgo para el veredicto no es financiero sino de sustitución (Reg E-Delivery, tokenización, IA), recogido en el base y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9,3 %)</w:t>
            </w:r>
          </w:p>
        </w:tc>
      </w:tr>
    </w:tbl>
    <w:p>
      <w:pPr>
        <w:spacing w:after="160" w:before="0"/>
      </w:pPr>
    </w:p>
    <w:p>
      <w:pPr>
        <w:spacing w:after="100"/>
      </w:pPr>
      <w:r>
        <w:t xml:space="preserve">El DCF da 166,72 USD por acción, un 0,9 % por debajo del precio, con el valor terminal en el 65 % del valor. El DCF inverso dice que el precio descuenta un crecimiento del 4,2 % anual en 2027-2033 con nuestro margen, prácticamente nuestro caso base (4,1 %), o un margen final del 26,2 % con nuestro crecimiento, y una rentabilidad implícita del 9,2 %, igual que nuestro WACC (9,30 %). Es decir: a 168 USD el mercado descuenta exactamente lo que proyectamos, que es la mitad del crecimiento histórico (8,0 %) y ya incluye Reg E-Delivery; no es exigente. Lo que separa una conclusión de otra es la tasa de descuento: con la prima del mercado (4,2 %, WACC del 8,3 %), el valor sube a 191,11 USD (+13,6 %). Por eso la convicción es baja: no discrepamos del mercado en el negocio, solo en cuánto pedirle.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 E-Delivery se aplica deprisa, la IA abarata el voto institucional y las comunicaciones y la tokenización avanza: crecimiento 3 puntos menor, margen 1,5 puntos menor, WACC +0,5 y terminal del 2 %. Ya le pasó a la impresión financiera (Donnelley pasó de crecer a encogerse con la digitalización).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cumplida, Reg E-Delivery con efecto modesto en 2028-2029 y margen que sube con la escala hasta el 26 %.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posiciones siguen a doble dígito, GTO crece con la externalización y la tokenización aporta ingresos: crecimiento 1,5 puntos mayor y margen 0,8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68,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158,63 USD (-5,7 %).</w:t>
      </w:r>
    </w:p>
    <w:p>
      <w:pPr>
        <w:spacing w:after="100"/>
      </w:pPr>
      <w:r>
        <w:t xml:space="preserve">La asimetría es mala con nuestro WACC: el alcista gana un 13,8 % y el bajista pierde un 34,9 % (0,40 veces), porque el valor terminal pesa mucho y el bajista combina menos crecimiento, menos margen y más WACC. Con la prima del mercado, la asimetría pasa a 1,52 veces. El bajista es verosímil (Reg E-Delivery está propuesta), pero no probable en su forma completa: lo ponderamos al 25 %. No compensa comprar por encima del valor intrínseco.</w:t>
      </w:r>
    </w:p>
    <w:p>
      <w:pPr>
        <w:pStyle w:val="Heading1"/>
      </w:pPr>
      <w:r>
        <w:t xml:space="preserve">22. Suma de partes</w:t>
      </w:r>
    </w:p>
    <w:p>
      <w:pPr>
        <w:pStyle w:val="Confianza"/>
        <w:spacing w:after="100"/>
      </w:pPr>
      <w:r>
        <w:t xml:space="preserve">Confianza: Media</w:t>
      </w:r>
    </w:p>
    <w:p>
      <w:pPr>
        <w:spacing w:after="100"/>
      </w:pPr>
      <w:r>
        <w:t xml:space="preserve">No aplica: ICS y GTO comparten clientes (bancos y brókeres) y la tesis depende del conjunto; GTO es el 26 % de los ingresos y el 21 % del beneficio de los segmentos, sin comparables puros que den un múltiplo distinto con fiabilidad.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68,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165,77 USD (-1,5 % sobre 168,26).</w:t>
      </w:r>
    </w:p>
    <w:p>
      <w:pPr>
        <w:spacing w:after="100"/>
      </w:pPr>
      <w:r>
        <w:t xml:space="preserve">Pesos: DCF 50 %, escenarios 30 % y comparables 20 %, sin transacciones (sin múltiplos publicados) ni suma de partes. El DCF es el método más fiable para un negocio de flujos tan estables; los comparables (PER de la mediana, 174,08 USD) usan BPA ajustado y empresas con otros riesgos, y por eso pesan poco. La dispersión es moderada: el DCF ±0,5 puntos va de 146 a 194 USD, los comparables de 142 a 211 y los escenarios de 110 a 192; el valor intrínseco sintético es de 165,77 USD (−1,5 %). Con la prima del mercado, 191,11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(18.1x) × 1.1 (tope: la mediana de 5 años, 27.7x,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r>
    </w:tbl>
    <w:p>
      <w:pPr>
        <w:spacing w:after="160" w:before="0"/>
      </w:pPr>
    </w:p>
    <w:p>
      <w:pPr>
        <w:spacing w:after="100"/>
      </w:pPr>
      <w:r>
        <w:rPr>
          <w:b/>
          <w:bCs/>
        </w:rPr>
        <w:t xml:space="preserve">Objetivo a 12 meses (ponderado):</w:t>
      </w:r>
      <w:r>
        <w:t xml:space="preserve"> 211,03 USD · rentabilidad +27,7 % (base +25,0 %) · señal Mantener.</w:t>
      </w:r>
    </w:p>
    <w:p>
      <w:pPr>
        <w:spacing w:after="100"/>
      </w:pPr>
      <w:r>
        <w:t xml:space="preserve">Para comparar, con la regla v2 (historia al cierre, mismo precio): 17,0x / 18,1x / 23,5x, 19,6 % Mantener; con el tope anterior del base (×1,3, 14-oct mediodía): 37,8 %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(9,31 USD) queda un 11,8 % bajo el consenso (10,55), pero no por las cifras del negocio: el consenso es el BPA ajustado, que no resta la amortización de los intangibles comprados ni los costes de compras (≈0,99 USD por acción en la guía de 2027) [2]; nuestro 9,31 está dentro de la guía de BPA publicado (−4 % a 0 % sobre 9,60). En ventas vamos con el consenso (7.851 M frente a 7.860 M). El precio base (206,36) queda un 4,5 % bajo el objetivo medio de los analistas (216,00), dentro de su rango (176-257).</w:t>
      </w:r>
    </w:p>
    <w:p>
      <w:pPr>
        <w:keepNext/>
        <w:spacing w:after="100"/>
      </w:pPr>
      <w:r>
        <w:rPr>
          <w:b/>
          <w:bCs/>
        </w:rPr>
        <w:t xml:space="preserve">Del valor intrínseco al objetivo a 12 meses.</w:t>
      </w:r>
    </w:p>
    <w:p>
      <w:pPr>
        <w:spacing w:after="100"/>
      </w:pPr>
      <w:r>
        <w:t xml:space="preserve">El objetivo a 12 meses (211,03 USD) supera en un 27 % al valor intrínseco (165,77). La distancia es de múltiplo: la regla supone que el PER adelantado pasa de 18,1x a 19,9x, todavía muy por debajo de su mediana de cinco años (27,7x), mientras que nuestro DCF con un WACC del 9,30 % solo justifica unas 18x. Para cerrarla hace falta que el mercado vuelva a pagar por Broadridge lo que pagó en 2022-2025 (catalizador: la temporada de juntas de 2027 sin daño de la IA y una Reg E-Delivery digerida) o que los tipos bajen. Con la prima del mercado (4,2 %), el valor sube a 191,11.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nov-2026 (≈3-nov,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del ejercicio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guía (recurrente +6-8 %) y de las ventas cerradas tras el récord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(virtual)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Tallapragada (ex Salesforce) y voto consultivo de la remuneración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Texto final de Reg E-Delivery de la SEC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cuánto papel desaparece y en qué plazo; la empresa espera una rebaja modesta del recurrente en 2-3 años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del ejercicio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la recompra de 1.500 M y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Abr-jun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juntas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posiciones (12 % en 2026) y uso del voto digital y automatizado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Tokenización: volumen de DLR y voto de activos tokenizados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convierte el volumen (354.000 M USD al día) en ingresos visibles, cambia el relato de víctima a ganadora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 E-Delivery: el envío electrónico por defecto reduce el papel y parte del ingreso recurrente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(entre el base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distribución que desaparece no tiene margen; la empresa vende herramientas digitales y espera compensar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Texto final de la SEC y crecimiento recurrente de ICS por debajo del 5 %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Tokenización que desintermedia el reenvío de comunicaciones y el voto (el emisor ve al titular final en un registro distribuido)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−34,9 % (escenario bajista)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Broadridge ya da voto y comunicaciones a valores tokenizados y opera DLR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emisores o brókeres que lleven la junta a una cadena de bloques sin Broadridge.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voto institucional automatizado, comunicaciones generadas por IA y presión de tarifas al renovar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parcial)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reenvío es una obligación regulada con responsabilidad y auditoría; Broadridge vende IA (motor de políticas de voto con 800.000 M USD de activos)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un gran cliente de ProxyEdge o caída de las tarifas en las renovaciones.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y consolidación de clientes (el primero, el 7 %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costes de cambio altos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dos grandes brókeres o aviso de no renovación.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actividad de mercado: menos operaciones, menos fusiones y campañas de fondos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5 % de los ingresos es por eventos; las posiciones crecen aunque caiga la bolsa.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interno de operaciones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las tarifas de reenvío fijadas por la NYSE y la SEC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en 2013-2014 sin daño grave; los emisores no tienen alternativa más barata.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la SEC sobre la estructura de tasas de las juntas.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de ciberseguridad o de continuidad en una plataforma crítica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ciberdefensa (Project Glasswing)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comunicado en un 8-K.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Activos digitales: volatilidad de las monedas Canton y de CNTN en el resultado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(168 M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BPA ajustado y de nuestro BPA normalizado.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trimestrales por activos digitales (−11 M en el 4T26).</w:t>
            </w:r>
          </w:p>
        </w:tc>
      </w:tr>
    </w:tbl>
    <w:p>
      <w:pPr>
        <w:spacing w:after="160" w:before="0"/>
      </w:pPr>
    </w:p>
    <w:p>
      <w:pPr>
        <w:pStyle w:val="Heading2"/>
      </w:pPr>
      <w:r>
        <w:t xml:space="preserve">Pre-mortem</w:t>
      </w:r>
    </w:p>
    <w:p>
      <w:pPr>
        <w:spacing w:after="100"/>
      </w:pPr>
      <w:r>
        <w:t xml:space="preserve">Octubre de 2029: la acción ha perdido un 40 %. La SEC aprobó Reg E-Delivery a mediados de 2027 y los brókeres, que ganan con el envío digital, pasaron a la mayoría de sus clientes a correo electrónico en un año: los ingresos de distribución cayeron un tercio y, con ellos, las tarifas de impresión y procesado que Broadridge cobra por pieza; la «modesta» rebaja del recurrente fue de 3 puntos durante tres años. Al mismo tiempo, las grandes gestoras automatizaron su voto con agentes de IA y renegociaron ProxyEdge a la baja, y dos emisores grandes celebraron su junta sobre un registro tokenizado con el voto directo del titular. El crecimiento recurrente bajó al 2-3 %, el margen dejó de subir y el mercado, que ya pagaba 18 veces, pasó a pagar 13 veces un BPA estancado. Los indicadores que lo habrían anticipado: el crecimiento recurrente de ICS por debajo del 5 % dos trimestres seguidos, las ventas cerradas por debajo de 250 M y la caída de las tarifas en las renovaciones de ProxyEdge.</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 en un caso adverso parcial (−34,9 % en el bajista, que suma Reg E-Delivery); +5 % si la monetiza como capa de gobierno y de voto automatizado</w:t>
      </w:r>
    </w:p>
    <w:p>
      <w:pPr>
        <w:spacing w:after="100"/>
      </w:pPr>
      <w:r>
        <w:t xml:space="preserve">La IA toca unos dos tercios de ICS: la redacción y personalización de comunicaciones reguladas (Customer communications, 753 M), el voto institucional (ProxyEdge y el motor de políticas, dentro de Regulatory, 1.435 M) y la atención a emisores; no toca el núcleo regulado de reenvío y recuento por cuenta de los brókeres, que exige responsabilidad, auditoría y la red de 170 millones de cuentas [2, 12]. Broadridge ya vende IA (políticas de voto personalizadas con 800.000 M USD de activos, modelo de demanda de fondos usado por 23 gestoras) y la usa para ganar un 25 % de eficiencia en plantilla [12]. El mercado castigó a la empresa con todo el software el 3-feb-2026 sin distinguir. Señal que avisaría: caída de tarifas o pérdida de clientes en las renovaciones de ProxyEdge y comunicaciones, o un crecimiento recurrente de ICS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la ciberseguridad y la continuidad del servicio (procesa datos personales de 170 millones de cuentas y operaciones por más de 15 billones de USD al día: un fallo grave sería sanción y pérdida de clientes) y el papel: menos impresión y envío reduce emisiones y la distribución sin margen [1, 12]. La empresa forma parte del Project Glasswing de Anthropic para usar modelos de IA en ciberdefensa [1].</w:t>
      </w:r>
    </w:p>
    <w:p>
      <w:pPr>
        <w:pStyle w:val="Heading2"/>
      </w:pPr>
      <w:r>
        <w:t xml:space="preserve">Controversias</w:t>
      </w:r>
    </w:p>
    <w:p>
      <w:pPr>
        <w:spacing w:after="100"/>
      </w:pPr>
      <w:r>
        <w:t xml:space="preserve">Sin controversias materiales identificadas en el 10-K de 2026 (sin litigios relevantes declarados)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 E-Delivery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ingreso recurrente de ICS depende del número de piezas en papel y cuánto se perdería si el 80 % de los titulares pasa a digital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con más probabilidad; la empresa solo dice «modesta».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Tokenización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factura hoy Broadridge por los valores tokenizados (voto, DLR) y cuál es el modelo de cobro si el registro pasa a una cadena de bloques?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tokenización es amenaza u oportunidad; hoy los ingresos son pequeños (16,5 M en Canton).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tarifas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bajado las tarifas o se han perdido clientes en las renovaciones de ProxyEdge y comunicaciones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señal temprana del riesgo de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2027-2029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objetivo de BPA ajustado del 8-12 % anual a tres años con Reg E-Delivery?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a 12 meses supone que el mercado vuelve a confiar en ese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digitales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conservar 216 M en monedas Canton bloqueadas y una participación en CNTN, y cuál es la política de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Añaden volatilidad al resultado y al balance sin relación con el negocio.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ROIC da hoy Itiviti sobre los 2.580 M pagados?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disciplina en las compras, que la remuneración no premia.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marzo los títulos de los análisis pasan de «el apocalipsis del SaaS ha creado un punto de entrada» a «los bajistas se han adelantado» (subida de recomendación en agosto), «monetiza su propia disrupción» y «construye la infraestructura de la tokenización» (29-sep)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mayoritariamente alcistas de particulares: compras entre 135 y 170 USD, celebración de los volúmenes del repo tokenizado (7,5 billones en septiembre) y del dividendo; algunos venden en la subida de agosto y uno recuerda el aviso de Reg E-Delivery del 10-K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7 % el día de resultados, el autor dice que el miedo a la tokenización y a la digitalización de las comunicaciones reguladas puede ser exagerado y ya está en el precio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Insider Monkey (cartas de fondos)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la caída de Broadridge en el 2T por miedo a la disrupción de la IA y a las acciones tokenizadas, en la carta de un gestor de pequeñas y medianas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el «apocalipsis del SaaS» se comen el negocio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castigo fue de todo el software (6 % el 3-feb y otro 6 % el 6-feb); las cifras no muestran daño: recurrente +8 % y ventas cerradas récord en 2026 [23,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Tokenización: amenaza u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repo tokenizado crece rápido pero sus ingresos son pequeños (16,5 M USD de servicios en Canton en 2026); el riesgo de desintermediación está en el 10-K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 E-Delivery y el fin del papel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una rebaja «modesta» del recurrente durante 2-3 años y mejor margen; lo incorporamos al caso base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+12 % (20.º año de subida) y recompra nueva de 1.500 M USD: cierto [39].</w:t>
            </w:r>
          </w:p>
        </w:tc>
      </w:tr>
    </w:tbl>
    <w:p>
      <w:pPr>
        <w:spacing w:after="160" w:before="0"/>
      </w:pPr>
    </w:p>
    <w:p>
      <w:pPr>
        <w:spacing w:after="100"/>
      </w:pPr>
      <w:r>
        <w:t xml:space="preserve">El sentimiento ha pasado de la capitulación de febrero-junio (mínimo de 133,83 USD el 22-jun) a un optimismo prudente tras los resultados de agosto. No es extremo: los particulares compran la caída y hablan de tokenización, los analistas están repartidos (4 comprar y 4 mantener). El riesgo que los foros recogen y que pesa en la tesis es Reg E-Delivery; el de la IA se discute más como contagio del sector que con datos de la empresa. No contradice al consenso de analistas.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40 (19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11,6 % en FY2033e frente al 12,5 %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-3,3 %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5, 10, 26, 31,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crecimiento de los trimestres del ejercicio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de 2026 (solo cuenta, sin amortizaciones por trimestre); 2) XBRL de los 10-Q (amortizaciones acumuladas); 3) notas trimestrales de 2025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2026 (informe de Deloitte sin el año de inicio); 2) proxy 2026 (ratificación del auditor); 3) búsqueda no hecha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(sin calificaciones de terceros); 2) informe de sostenibilidad no descargado; 3) búsqueda web no hecha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y cuotas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EBITDA y múltiplos); 2) informes anuales de SS&amp;C, Computershare y DFIN no leídos por tiempo; 3) no hay cuotas publicadas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cada directivo en 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propiedad del proxy (no leída entera por tiempo); 2) Form 4 (saldos tras cada operación, no consolidados); 3) no hay otra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 (EV/ventas,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2021 de Broadridge (Itiviti sin ventas ni EBITDA); 2) nota de Envestnet y prensa de Calastone (sin múltiplos); 3) búsqueda web de múltiplos (sin cifras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2028 y 2029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Stock Analysis (2028 y 2029 de pago); 3) Yahoo Finance análisis (no carga) y búsqueda web (cifras de modelos propios, no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30-jun-2026 (cuentas, notas de deuda, activos digitales, geografías, cuentas a pagar)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https://www.sec.gov/Archives/edgar/data/1383312/000162828026052243/br-20260630.htm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del 4T y del ejercicio 2026 (Exhibit 99.1; cuenta, balance, flujos, segmentos, conciliaciones)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https://www.sec.gov/Archives/edgar/data/1383312/000138331226000022/ex991earningsrelease4q2026.htm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https://www.sec.gov/Archives/edgar/data/1383312/000138331226000013/ex991earningsrelease3q2026.htm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https://www.sec.gov/Archives/edgar/data/1383312/000138331226000005/ex991earningsrelease2q2026.htm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https://www.sec.gov/Archives/edgar/data/1383312/000138331225000032/ex991earningsrelease1q2026.htm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(con 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https://www.sec.gov/Archives/edgar/data/1383312/000138331224000037/ex991earningsrelease4q2024.htm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2022 (con 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https://www.sec.gov/Archives/edgar/data/1383312/000138331222000035/ex991earningsrelease4q2022.htm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https://www.sec.gov/Archives/edgar/data/1383312/000138331221000044/ex991earningsrelease4q2021.htm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2020 (con 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https://www.sec.gov/Archives/edgar/data/1383312/000138331220000052/ex991earningsrelease4q.htm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los 10-K (companyfacts, CIK 0001383312)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https://data.sec.gov/api/xbrl/companyfacts/CIK0001383312.json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4T del ejercicio 2026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https://www.sec.gov/Archives/edgar/data/1383312/000138331226000022/ex992earnings_presentati.htm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mayo de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https://www.sec.gov/Archives/edgar/data/1383312/000138331226000015/ex991investorpresentatio.htm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2021 (precio de compra de Itiviti y ganancia del instrumento de cobertura)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https://www.sec.gov/Archives/edgar/data/1383312/000138331221000047/br-20210630.htm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al 5,750 % con vencimiento en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https://www.sec.gov/Archives/edgar/data/0001383312/000114036126018900/ef20072386_fwp.htm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software de aplicaciones (repositorio, 14-oct-2026; mapa del riesgo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(repositorio, 14-oct-2026;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SS&amp;C Technologies (SSNC):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https://stockanalysis.com/stocks/ssnc/statistics/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National Information Services (FIS):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(JKHY):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https://stockanalysis.com/stocks/jkhy/statistics/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Donnelley Financial Solutions (DFIN):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https://stockanalysis.com/stocks/dfin/statistics/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 Investments (SEIC):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https://stockanalysis.com/stocks/seic/statistics/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Computershare (ASX: CPU):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https://stockanalysis.com/quote/asx/CPU/statistics/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 (BR) Fell Amid Concerns Over AI Disruption and Tokenized Equities (carta del 2T26 de SouthernSun)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https://www.insidermonkey.com/blog/broadridge-financial-solutions-br-fell-amid-concerns-over-ai-disruption-and-tokenized-equities-1804258/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10-nov-2026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https://www.sec.gov/Archives/edgar/data/1383312/000114036126037937/ny20075597x1_def14a.htm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(oct-2025 a oct-2026),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https://www.sec.gov/cgi-bin/browse-edgar?action=getcompany&amp;CIK=0001383312&amp;type=4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Appoints Todd Diganci to its Board of Directors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Financial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https://www.sec.gov/Archives/edgar/data/1383312/000138331226000019/exhibit991prrediganci.htm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Broadridge targets at or above 7% recurring revenue growth and 10% to 12% adjusted EPS growth while cutting sales outlook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https://seekingalpha.com/symbol/BR/news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BR, SPY y XLI (precio, rango, volumen, beta, rentabilidades, cierres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 forecast: consenso de S&amp;P Global (9 analistas, BPA y ventas FY2027,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 price target and analyst ratings (8 analistas, cambios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https://www.marketbeat.com/stocks/NYSE/BR/forecast/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 statistics (capitalización, valor empresa, PER adelantado, acciones,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del Tesoro de EE. UU. a 10 años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la ficha sectorial de infraestructura de mercados y datos (FactSet, Thomson Reuters;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Envestnet announces $4.5 billion take-private transaction with Bain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Envestnet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https://www.envestnet.com/newsroom/press-releases/envestnet-leading-wealth-technology-platform-announces-45-billion-take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SS&amp;C Technologies inks $1bn agreement to acquire Calastone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FinTech Futures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https://www.fintechfutures.com/m-a/ssc-technologies-inks-1bn-agreement-to-acquire-calastone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RSS de BR (análisis y noticias, mar-oct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https://seekingalpha.com/api/sa/combined/BR.xml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$BR (30 mensajes,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https://api.stocktwits.com/api/2/streams/symbol/BR.json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Broadridge Financial Solutions stock is soaring (resultados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https://www.fool.com/investing/2026/08/04/why-broadridge-financial-solutions-stock-is-soarin/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rentabilidad</w:t>
      </w:r>
      <w:r>
        <w:t xml:space="preserve"> · Generado el 15 oct 2026.</w:t>
      </w:r>
    </w:p>
    <w:p>
      <w:pPr>
        <w:pStyle w:val="Nota"/>
        <w:spacing w:after="100"/>
      </w:pPr>
      <w:r>
        <w:t xml:space="preserve">Ejercicio a 30 de junio con la etiqueta del año en que termina (FY2026 = julio de 2025 a junio de 2026); trimestres con la numeración fiscal (1T26 = julio-septiembre de 2025). Precio: cierre del 14-oct-2026 en la NYSE (168,26 USD); la sesión del 15-oct no había cerrado. El XBRL de la SEC da como beneficio antes de impuestos solo el de EE. UU. y como amortización solo la depreciación: se usan las cifras de las notas de resultados (beneficio antes de impuestos = beneficio neto + impuesto; amortización = depreciación + intangibles comprados + otros activos). El BPA de 2026 (9,60) lleva 227 M de ganancias de activos digitales; para la rentabilidad a 12 meses se usa el BPA publicado normalizado (sin esas ganancias ni la de 2021), no el ajustado de la empresa, que excluye además la amortización de las compras. El consenso gratuito solo da el BPA ajustado del ejercicio 2027 (S&amp;P Global, 9 analistas); no hay consenso de 2028 ni de EBITDA. Arrendamientos operativos (US GAAP) fuera de la deuda. Cuentas a pagar = «payables and accrued expenses» (incluyen el dividendo pendiente, 111 M en 2026). Segmentos con el beneficio antes de impuestos de cada uno desde el ejercicio 2021.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Broadridge Financial Solutions, Inc. (BR)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168,26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(133,83 – 236,02)</c:v>
                </c:pt>
                <c:pt idx="1">
                  <c:v>Precio objetivo de los analistas (176,00 – 257,00)</c:v>
                </c:pt>
                <c:pt idx="2">
                  <c:v>Comparables: PER NTM (141,90 – 211,00)</c:v>
                </c:pt>
                <c:pt idx="3">
                  <c:v>DCF (WACC y g ± 0,5) (146,16 – 194,26)</c:v>
                </c:pt>
                <c:pt idx="4">
                  <c:v>Escenarios (bajista – alcista) (109,51 – 191,56)</c:v>
                </c:pt>
                <c:pt idx="5">
                  <c:v>DCF con la prima implícita del mercado (4,2 %)</c:v>
                </c:pt>
                <c:pt idx="6">
                  <c:v>Precio actual (168,26)</c:v>
                </c:pt>
              </c:strCache>
            </c:strRef>
          </c:cat>
          <c:val>
            <c:numRef>
              <c:f>Hoja1!$B$2:$B$8</c:f>
              <c:numCache>
                <c:formatCode>#,##0</c:formatCode>
                <c:ptCount val="7"/>
                <c:pt idx="0">
                  <c:v>133.83</c:v>
                </c:pt>
                <c:pt idx="1">
                  <c:v>176</c:v>
                </c:pt>
                <c:pt idx="2">
                  <c:v>141.9</c:v>
                </c:pt>
                <c:pt idx="3">
                  <c:v>146.16</c:v>
                </c:pt>
                <c:pt idx="4">
                  <c:v>109.51</c:v>
                </c:pt>
                <c:pt idx="5">
                  <c:v>181.69</c:v>
                </c:pt>
                <c:pt idx="6">
                  <c:v>167.42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(133,83 – 236,02)</c:v>
                </c:pt>
                <c:pt idx="1">
                  <c:v>Precio objetivo de los analistas (176,00 – 257,00)</c:v>
                </c:pt>
                <c:pt idx="2">
                  <c:v>Comparables: PER NTM (141,90 – 211,00)</c:v>
                </c:pt>
                <c:pt idx="3">
                  <c:v>DCF (WACC y g ± 0,5) (146,16 – 194,26)</c:v>
                </c:pt>
                <c:pt idx="4">
                  <c:v>Escenarios (bajista – alcista) (109,51 – 191,56)</c:v>
                </c:pt>
                <c:pt idx="5">
                  <c:v>DCF con la prima implícita del mercado (4,2 %)</c:v>
                </c:pt>
                <c:pt idx="6">
                  <c:v>Precio actual (168,26)</c:v>
                </c:pt>
              </c:strCache>
            </c:strRef>
          </c:cat>
          <c:val>
            <c:numRef>
              <c:f>Hoja1!$C$2:$C$8</c:f>
              <c:numCache>
                <c:formatCode>#,##0</c:formatCode>
                <c:ptCount val="7"/>
                <c:pt idx="0">
                  <c:v>102.19</c:v>
                </c:pt>
                <c:pt idx="1">
                  <c:v>81</c:v>
                </c:pt>
                <c:pt idx="2">
                  <c:v>69.1</c:v>
                </c:pt>
                <c:pt idx="3">
                  <c:v>48.099999999999994</c:v>
                </c:pt>
                <c:pt idx="4">
                  <c:v>82.05</c:v>
                </c:pt>
                <c:pt idx="5">
                  <c:v>38.44</c:v>
                </c:pt>
                <c:pt idx="6">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Investor Communication Solutions (ICS)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3827</c:v>
                </c:pt>
                <c:pt idx="1">
                  <c:v>4262.1</c:v>
                </c:pt>
                <c:pt idx="2">
                  <c:v>4535.6</c:v>
                </c:pt>
                <c:pt idx="3">
                  <c:v>4857.9</c:v>
                </c:pt>
                <c:pt idx="4">
                  <c:v>5113</c:v>
                </c:pt>
                <c:pt idx="5">
                  <c:v>5560.8</c:v>
                </c:pt>
              </c:numCache>
            </c:numRef>
          </c:val>
        </c:ser>
        <c:ser>
          <c:idx val="1"/>
          <c:order val="1"/>
          <c:tx>
            <c:strRef>
              <c:f>Hoja1!$C$1</c:f>
              <c:strCache>
                <c:ptCount val="1"/>
                <c:pt idx="0">
                  <c:v>Global Technology and Operations (GTO)</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1186.2</c:v>
                </c:pt>
                <c:pt idx="1">
                  <c:v>1474.4</c:v>
                </c:pt>
                <c:pt idx="2">
                  <c:v>1525.2</c:v>
                </c:pt>
                <c:pt idx="3">
                  <c:v>1648.9</c:v>
                </c:pt>
                <c:pt idx="4">
                  <c:v>1776.1</c:v>
                </c:pt>
                <c:pt idx="5">
                  <c:v>1916</c:v>
                </c:pt>
              </c:numCache>
            </c:numRef>
          </c:val>
        </c:ser>
        <c:ser>
          <c:idx val="2"/>
          <c:order val="2"/>
          <c:tx>
            <c:strRef>
              <c:f>Hoja1!$D$1</c:f>
              <c:strCache>
                <c:ptCount val="1"/>
                <c:pt idx="0">
                  <c:v>Divisa (conciliación)</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-19.5</c:v>
                </c:pt>
                <c:pt idx="1">
                  <c:v>-27.4</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Investor Communication Solutions (ICS)</c:v>
                </c:pt>
                <c:pt idx="1">
                  <c:v>Global Technology and Operations (GTO)</c:v>
                </c:pt>
                <c:pt idx="2">
                  <c:v>Divisa (conciliación)</c:v>
                </c:pt>
              </c:strCache>
            </c:strRef>
          </c:cat>
          <c:val>
            <c:numRef>
              <c:f>Hoja1!$B$2:$B$4</c:f>
              <c:numCache>
                <c:formatCode>General</c:formatCode>
                <c:ptCount val="3"/>
                <c:pt idx="0">
                  <c:v>74.4</c:v>
                </c:pt>
                <c:pt idx="1">
                  <c:v>25.6</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Canadá</c:v>
                </c:pt>
                <c:pt idx="2">
                  <c:v>Europa</c:v>
                </c:pt>
                <c:pt idx="3">
                  <c:v>Otros</c:v>
                </c:pt>
              </c:strCache>
            </c:strRef>
          </c:cat>
          <c:val>
            <c:numRef>
              <c:f>Hoja1!$B$2:$B$5</c:f>
              <c:numCache>
                <c:formatCode>0"%"</c:formatCode>
                <c:ptCount val="4"/>
                <c:pt idx="0">
                  <c:v>85.3</c:v>
                </c:pt>
                <c:pt idx="1">
                  <c:v>7.3</c:v>
                </c:pt>
                <c:pt idx="2">
                  <c:v>6.6</c:v>
                </c:pt>
                <c:pt idx="3">
                  <c:v>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(datos y análisis de mercados financieros, Burton-Taylor; perímetro de contraste))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2019</c:v>
                </c:pt>
                <c:pt idx="1">
                  <c:v>2022</c:v>
                </c:pt>
                <c:pt idx="2">
                  <c:v>2023</c:v>
                </c:pt>
                <c:pt idx="3">
                  <c:v>2025</c:v>
                </c:pt>
                <c:pt idx="4">
                  <c:v>2030e</c:v>
                </c:pt>
              </c:strCache>
            </c:strRef>
          </c:cat>
          <c:val>
            <c:numRef>
              <c:f>Hoja1!$B$2:$B$6</c:f>
              <c:numCache>
                <c:formatCode>#,##0</c:formatCode>
                <c:ptCount val="5"/>
                <c:pt idx="0">
                  <c:v>32000</c:v>
                </c:pt>
                <c:pt idx="1">
                  <c:v>37300</c:v>
                </c:pt>
                <c:pt idx="2">
                  <c:v>42000</c:v>
                </c:pt>
                <c:pt idx="3">
                  <c:v>49200</c:v>
                </c:pt>
                <c:pt idx="4">
                  <c:v>70000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Broadridge</c:v>
                </c:pt>
                <c:pt idx="1">
                  <c:v>SS&amp;C Technologies</c:v>
                </c:pt>
                <c:pt idx="2">
                  <c:v>FIS</c:v>
                </c:pt>
                <c:pt idx="3">
                  <c:v>Computershare</c:v>
                </c:pt>
                <c:pt idx="4">
                  <c:v>Donnelley Financial Solutions</c:v>
                </c:pt>
                <c:pt idx="5">
                  <c:v>SEI Investments</c:v>
                </c:pt>
                <c:pt idx="6">
                  <c:v>Jack Henry</c:v>
                </c:pt>
              </c:strCache>
            </c:strRef>
          </c:cat>
          <c:val>
            <c:numRef>
              <c:f>Hoja1!$B$2:$B$8</c:f>
              <c:numCache>
                <c:formatCode>0.0"%"</c:formatCode>
                <c:ptCount val="7"/>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strCache>
            </c:strRef>
          </c:cat>
          <c:val>
            <c:numRef>
              <c:f>Hoja1!$B$2:$B$16</c:f>
              <c:numCache>
                <c:formatCode>#,##0</c:formatCode>
                <c:ptCount val="15"/>
                <c:pt idx="0">
                  <c:v>4362.2</c:v>
                </c:pt>
                <c:pt idx="1">
                  <c:v>4529</c:v>
                </c:pt>
                <c:pt idx="2">
                  <c:v>4993.7</c:v>
                </c:pt>
                <c:pt idx="3">
                  <c:v>5709.1</c:v>
                </c:pt>
                <c:pt idx="4">
                  <c:v>6060.9</c:v>
                </c:pt>
                <c:pt idx="5">
                  <c:v>6506.8</c:v>
                </c:pt>
                <c:pt idx="6">
                  <c:v>6889.1</c:v>
                </c:pt>
                <c:pt idx="7">
                  <c:v>7476.8</c:v>
                </c:pt>
                <c:pt idx="8">
                  <c:v>7851</c:v>
                </c:pt>
                <c:pt idx="9">
                  <c:v>8165</c:v>
                </c:pt>
                <c:pt idx="10">
                  <c:v>8532</c:v>
                </c:pt>
                <c:pt idx="11">
                  <c:v>8916</c:v>
                </c:pt>
                <c:pt idx="12">
                  <c:v>9273</c:v>
                </c:pt>
                <c:pt idx="13">
                  <c:v>9597</c:v>
                </c:pt>
                <c:pt idx="14">
                  <c:v>9885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strCache>
            </c:strRef>
          </c:cat>
          <c:val>
            <c:numRef>
              <c:f>Hoja1!$C$2:$C$16</c:f>
              <c:numCache>
                <c:formatCode>#,##0</c:formatCode>
                <c:ptCount val="15"/>
                <c:pt idx="0">
                  <c:v>912.7</c:v>
                </c:pt>
                <c:pt idx="1">
                  <c:v>924.2</c:v>
                </c:pt>
                <c:pt idx="2">
                  <c:v>1013.4</c:v>
                </c:pt>
                <c:pt idx="3">
                  <c:v>1223.9</c:v>
                </c:pt>
                <c:pt idx="4">
                  <c:v>1361.4</c:v>
                </c:pt>
                <c:pt idx="5">
                  <c:v>1495</c:v>
                </c:pt>
                <c:pt idx="6">
                  <c:v>1686.7</c:v>
                </c:pt>
                <c:pt idx="7">
                  <c:v>1809</c:v>
                </c:pt>
                <c:pt idx="8">
                  <c:v>1931</c:v>
                </c:pt>
                <c:pt idx="9">
                  <c:v>2057</c:v>
                </c:pt>
                <c:pt idx="10">
                  <c:v>2184</c:v>
                </c:pt>
                <c:pt idx="11">
                  <c:v>2300</c:v>
                </c:pt>
                <c:pt idx="12">
                  <c:v>2411</c:v>
                </c:pt>
                <c:pt idx="13">
                  <c:v>2495</c:v>
                </c:pt>
                <c:pt idx="14">
                  <c:v>2570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28.2</c:v>
                </c:pt>
                <c:pt idx="1">
                  <c:v>27.9</c:v>
                </c:pt>
                <c:pt idx="2">
                  <c:v>28.5</c:v>
                </c:pt>
                <c:pt idx="3">
                  <c:v>27.9</c:v>
                </c:pt>
                <c:pt idx="4">
                  <c:v>29.5</c:v>
                </c:pt>
                <c:pt idx="5">
                  <c:v>29.7</c:v>
                </c:pt>
                <c:pt idx="6">
                  <c:v>31</c:v>
                </c:pt>
                <c:pt idx="7">
                  <c:v>31.8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20.9</c:v>
                </c:pt>
                <c:pt idx="1">
                  <c:v>20.4</c:v>
                </c:pt>
                <c:pt idx="2">
                  <c:v>20.3</c:v>
                </c:pt>
                <c:pt idx="3">
                  <c:v>21.4</c:v>
                </c:pt>
                <c:pt idx="4">
                  <c:v>22.5</c:v>
                </c:pt>
                <c:pt idx="5">
                  <c:v>23</c:v>
                </c:pt>
                <c:pt idx="6">
                  <c:v>24.5</c:v>
                </c:pt>
                <c:pt idx="7">
                  <c:v>24.2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15</c:v>
                </c:pt>
                <c:pt idx="1">
                  <c:v>13.8</c:v>
                </c:pt>
                <c:pt idx="2">
                  <c:v>13.6</c:v>
                </c:pt>
                <c:pt idx="3">
                  <c:v>13.3</c:v>
                </c:pt>
                <c:pt idx="4">
                  <c:v>15.4</c:v>
                </c:pt>
                <c:pt idx="5">
                  <c:v>15.6</c:v>
                </c:pt>
                <c:pt idx="6">
                  <c:v>17.3</c:v>
                </c:pt>
                <c:pt idx="7">
                  <c:v>17.4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11.1</c:v>
                </c:pt>
                <c:pt idx="1">
                  <c:v>10.2</c:v>
                </c:pt>
                <c:pt idx="2">
                  <c:v>11</c:v>
                </c:pt>
                <c:pt idx="3">
                  <c:v>9.4</c:v>
                </c:pt>
                <c:pt idx="4">
                  <c:v>10.4</c:v>
                </c:pt>
                <c:pt idx="5">
                  <c:v>10.7</c:v>
                </c:pt>
                <c:pt idx="6">
                  <c:v>12.2</c:v>
                </c:pt>
                <c:pt idx="7">
                  <c:v>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4">
                  <c:v>11.7</c:v>
                </c:pt>
                <c:pt idx="5">
                  <c:v>7.8</c:v>
                </c:pt>
                <c:pt idx="6">
                  <c:v>7.8</c:v>
                </c:pt>
                <c:pt idx="7">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56</c:v>
                </c:pt>
                <c:pt idx="1">
                  <c:v>57</c:v>
                </c:pt>
                <c:pt idx="2">
                  <c:v>60</c:v>
                </c:pt>
                <c:pt idx="3">
                  <c:v>61</c:v>
                </c:pt>
                <c:pt idx="4">
                  <c:v>59</c:v>
                </c:pt>
                <c:pt idx="5">
                  <c:v>60</c:v>
                </c:pt>
                <c:pt idx="6">
                  <c:v>57</c:v>
                </c:pt>
                <c:pt idx="7">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c:v>
                </c:pt>
                <c:pt idx="1">
                  <c:v>2</c:v>
                </c:pt>
                <c:pt idx="2">
                  <c:v>2</c:v>
                </c:pt>
                <c:pt idx="3">
                  <c:v>3</c:v>
                </c:pt>
                <c:pt idx="4">
                  <c:v>3</c:v>
                </c:pt>
                <c:pt idx="5">
                  <c:v>2</c:v>
                </c:pt>
                <c:pt idx="6">
                  <c:v>2</c:v>
                </c:pt>
                <c:pt idx="7">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83</c:v>
                </c:pt>
                <c:pt idx="1">
                  <c:v>93</c:v>
                </c:pt>
                <c:pt idx="2">
                  <c:v>113</c:v>
                </c:pt>
                <c:pt idx="3">
                  <c:v>99</c:v>
                </c:pt>
                <c:pt idx="4">
                  <c:v>87</c:v>
                </c:pt>
                <c:pt idx="5">
                  <c:v>95</c:v>
                </c:pt>
                <c:pt idx="6">
                  <c:v>85</c:v>
                </c:pt>
                <c:pt idx="7">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544.4</c:v>
                </c:pt>
                <c:pt idx="1">
                  <c:v>499.50000000000006</c:v>
                </c:pt>
                <c:pt idx="2">
                  <c:v>539.4</c:v>
                </c:pt>
                <c:pt idx="3">
                  <c:v>370.4</c:v>
                </c:pt>
                <c:pt idx="4">
                  <c:v>748.0999999999999</c:v>
                </c:pt>
                <c:pt idx="5">
                  <c:v>943.2</c:v>
                </c:pt>
                <c:pt idx="6">
                  <c:v>1056.3999999999999</c:v>
                </c:pt>
                <c:pt idx="7">
                  <c:v>1233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482.1</c:v>
                </c:pt>
                <c:pt idx="1">
                  <c:v>462.5</c:v>
                </c:pt>
                <c:pt idx="2">
                  <c:v>547.5</c:v>
                </c:pt>
                <c:pt idx="3">
                  <c:v>539.1</c:v>
                </c:pt>
                <c:pt idx="4">
                  <c:v>630.6</c:v>
                </c:pt>
                <c:pt idx="5">
                  <c:v>698.1</c:v>
                </c:pt>
                <c:pt idx="6">
                  <c:v>839.5</c:v>
                </c:pt>
                <c:pt idx="7">
                  <c:v>1124.3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22.3</c:v>
                </c:pt>
                <c:pt idx="1">
                  <c:v>20</c:v>
                </c:pt>
                <c:pt idx="2">
                  <c:v>13.2</c:v>
                </c:pt>
                <c:pt idx="3">
                  <c:v>11.2</c:v>
                </c:pt>
                <c:pt idx="4">
                  <c:v>13.6</c:v>
                </c:pt>
                <c:pt idx="5">
                  <c:v>15.2</c:v>
                </c:pt>
                <c:pt idx="6">
                  <c:v>17.8</c:v>
                </c:pt>
                <c:pt idx="7">
                  <c:v>18.3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9.3</c:v>
                </c:pt>
                <c:pt idx="1">
                  <c:v>9.3</c:v>
                </c:pt>
                <c:pt idx="2">
                  <c:v>9.3</c:v>
                </c:pt>
                <c:pt idx="3">
                  <c:v>9.3</c:v>
                </c:pt>
                <c:pt idx="4">
                  <c:v>9.3</c:v>
                </c:pt>
                <c:pt idx="5">
                  <c:v>9.3</c:v>
                </c:pt>
                <c:pt idx="6">
                  <c:v>9.3</c:v>
                </c:pt>
                <c:pt idx="7">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42.8</c:v>
                </c:pt>
                <c:pt idx="1">
                  <c:v>37.4</c:v>
                </c:pt>
                <c:pt idx="2">
                  <c:v>34.7</c:v>
                </c:pt>
                <c:pt idx="3">
                  <c:v>28.9</c:v>
                </c:pt>
                <c:pt idx="4">
                  <c:v>30.3</c:v>
                </c:pt>
                <c:pt idx="5">
                  <c:v>31.7</c:v>
                </c:pt>
                <c:pt idx="6">
                  <c:v>34.8</c:v>
                </c:pt>
                <c:pt idx="7">
                  <c:v>40.9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1.31</c:v>
                </c:pt>
                <c:pt idx="1">
                  <c:v>1.42</c:v>
                </c:pt>
                <c:pt idx="2">
                  <c:v>3.57</c:v>
                </c:pt>
                <c:pt idx="3">
                  <c:v>2.92</c:v>
                </c:pt>
                <c:pt idx="4">
                  <c:v>2.32</c:v>
                </c:pt>
                <c:pt idx="5">
                  <c:v>2.04</c:v>
                </c:pt>
                <c:pt idx="6">
                  <c:v>1.6</c:v>
                </c:pt>
                <c:pt idx="7">
                  <c:v>1.58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0</c:v>
                </c:pt>
                <c:pt idx="1">
                  <c:v>0</c:v>
                </c:pt>
                <c:pt idx="2">
                  <c:v>0</c:v>
                </c:pt>
                <c:pt idx="3">
                  <c:v>1024.7</c:v>
                </c:pt>
                <c:pt idx="4">
                  <c:v>1750</c:v>
                </c:pt>
                <c:pt idx="5">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354.7</c:v>
                </c:pt>
                <c:pt idx="1">
                  <c:v>339.1</c:v>
                </c:pt>
                <c:pt idx="2">
                  <c:v>2603.6</c:v>
                </c:pt>
                <c:pt idx="3">
                  <c:v>13.3</c:v>
                </c:pt>
                <c:pt idx="4">
                  <c:v>0</c:v>
                </c:pt>
                <c:pt idx="5">
                  <c:v>34.3</c:v>
                </c:pt>
                <c:pt idx="6">
                  <c:v>193.5</c:v>
                </c:pt>
                <c:pt idx="7">
                  <c:v>282.7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211.2</c:v>
                </c:pt>
                <c:pt idx="1">
                  <c:v>241</c:v>
                </c:pt>
                <c:pt idx="2">
                  <c:v>261.7</c:v>
                </c:pt>
                <c:pt idx="3">
                  <c:v>290.7</c:v>
                </c:pt>
                <c:pt idx="4">
                  <c:v>331</c:v>
                </c:pt>
                <c:pt idx="5">
                  <c:v>368.2</c:v>
                </c:pt>
                <c:pt idx="6">
                  <c:v>402.3</c:v>
                </c:pt>
                <c:pt idx="7">
                  <c:v>443.5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397.8</c:v>
                </c:pt>
                <c:pt idx="1">
                  <c:v>69.3</c:v>
                </c:pt>
                <c:pt idx="2">
                  <c:v>21.5</c:v>
                </c:pt>
                <c:pt idx="3">
                  <c:v>22.8</c:v>
                </c:pt>
                <c:pt idx="4">
                  <c:v>24.3</c:v>
                </c:pt>
                <c:pt idx="5">
                  <c:v>485.4</c:v>
                </c:pt>
                <c:pt idx="6">
                  <c:v>134.9</c:v>
                </c:pt>
                <c:pt idx="7">
                  <c:v>603.7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Vanguard Capital Management</c:v>
                </c:pt>
                <c:pt idx="2">
                  <c:v>Vanguard Portfolio Management</c:v>
                </c:pt>
                <c:pt idx="3">
                  <c:v>Autocartera</c:v>
                </c:pt>
              </c:strCache>
            </c:strRef>
          </c:cat>
          <c:val>
            <c:numRef>
              <c:f>Hoja1!$B$2:$B$5</c:f>
              <c:numCache>
                <c:formatCode>0.0"%"</c:formatCode>
                <c:ptCount val="4"/>
                <c:pt idx="0">
                  <c:v>8.55</c:v>
                </c:pt>
                <c:pt idx="1">
                  <c:v>7.7</c:v>
                </c:pt>
                <c:pt idx="2">
                  <c:v>5.61</c:v>
                </c:pt>
                <c:pt idx="3">
                  <c:v>26.2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25.9</c:v>
                </c:pt>
                <c:pt idx="1">
                  <c:v>39.1</c:v>
                </c:pt>
                <c:pt idx="2">
                  <c:v>7.9</c:v>
                </c:pt>
                <c:pt idx="3">
                  <c:v>30.6</c:v>
                </c:pt>
                <c:pt idx="4">
                  <c:v>26.3</c:v>
                </c:pt>
                <c:pt idx="5">
                  <c:v>21.1</c:v>
                </c:pt>
                <c:pt idx="6">
                  <c:v>-25.3</c:v>
                </c:pt>
                <c:pt idx="7">
                  <c:v>56.2</c:v>
                </c:pt>
                <c:pt idx="8">
                  <c:v>11.7</c:v>
                </c:pt>
                <c:pt idx="9">
                  <c:v>0.3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17.9</c:v>
                </c:pt>
                <c:pt idx="1">
                  <c:v>17.4</c:v>
                </c:pt>
                <c:pt idx="2">
                  <c:v>22.3</c:v>
                </c:pt>
                <c:pt idx="3">
                  <c:v>16.7</c:v>
                </c:pt>
                <c:pt idx="4">
                  <c:v>16.8</c:v>
                </c:pt>
                <c:pt idx="5">
                  <c:v>17.7</c:v>
                </c:pt>
                <c:pt idx="6">
                  <c:v>18.6</c:v>
                </c:pt>
                <c:pt idx="7">
                  <c:v>10.4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17.5</c:v>
                </c:pt>
                <c:pt idx="1">
                  <c:v>17.5</c:v>
                </c:pt>
                <c:pt idx="2">
                  <c:v>17.5</c:v>
                </c:pt>
                <c:pt idx="3">
                  <c:v>17.5</c:v>
                </c:pt>
                <c:pt idx="4">
                  <c:v>17.5</c:v>
                </c:pt>
                <c:pt idx="5">
                  <c:v>17.5</c:v>
                </c:pt>
                <c:pt idx="6">
                  <c:v>17.5</c:v>
                </c:pt>
                <c:pt idx="7">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Broadridge</c:v>
                </c:pt>
                <c:pt idx="1">
                  <c:v>SS&amp;C Technologies</c:v>
                </c:pt>
                <c:pt idx="2">
                  <c:v>Jack Henry</c:v>
                </c:pt>
                <c:pt idx="3">
                  <c:v>SEI Investments</c:v>
                </c:pt>
                <c:pt idx="4">
                  <c:v>Computershare</c:v>
                </c:pt>
                <c:pt idx="5">
                  <c:v>Donnelley Financial</c:v>
                </c:pt>
                <c:pt idx="6">
                  <c:v>FactSet</c:v>
                </c:pt>
                <c:pt idx="7">
                  <c:v>Thomson Reuters</c:v>
                </c:pt>
              </c:strCache>
            </c:strRef>
          </c:cat>
          <c:val>
            <c:numRef>
              <c:f>Hoja1!$B$2:$B$9</c:f>
              <c:numCache>
                <c:formatCode>0.0"x"</c:formatCode>
                <c:ptCount val="8"/>
                <c:pt idx="6">
                  <c:v>11.5</c:v>
                </c:pt>
                <c:pt idx="7">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FactSet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6.3</c:v>
                </c:pt>
              </c:numCache>
            </c:numRef>
          </c:xVal>
          <c:yVal>
            <c:numRef>
              <c:f>Hoja1!$C$2</c:f>
              <c:numCache>
                <c:formatCode>0.0"x"</c:formatCode>
                <c:ptCount val="1"/>
                <c:pt idx="0">
                  <c:v>11.5</c:v>
                </c:pt>
              </c:numCache>
            </c:numRef>
          </c:yVal>
          <c:smooth val="0"/>
        </c:ser>
        <c:ser>
          <c:idx val="1"/>
          <c:order val="1"/>
          <c:tx>
            <c:strRef>
              <c:f>Hoja1!$A$3</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8.2</c:v>
                </c:pt>
              </c:numCache>
            </c:numRef>
          </c:xVal>
          <c:yVal>
            <c:numRef>
              <c:f>Hoja1!$C$3</c:f>
              <c:numCache>
                <c:formatCode>0.0"x"</c:formatCode>
                <c:ptCount val="1"/>
                <c:pt idx="0">
                  <c:v>13.7</c:v>
                </c:pt>
              </c:numCache>
            </c:numRef>
          </c:yVal>
          <c:smooth val="0"/>
        </c:ser>
        <c:axId val="10"/>
        <c:axId val="20"/>
      </c:scatterChart>
      <c:valAx>
        <c:axId val="10"/>
        <c:scaling>
          <c:orientation val="minMax"/>
          <c:max val="8.700000000000001"/>
          <c:min val="5.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1285</c:v>
                </c:pt>
                <c:pt idx="1">
                  <c:v>1389</c:v>
                </c:pt>
                <c:pt idx="2">
                  <c:v>1471</c:v>
                </c:pt>
                <c:pt idx="3">
                  <c:v>1543</c:v>
                </c:pt>
                <c:pt idx="4">
                  <c:v>1611</c:v>
                </c:pt>
                <c:pt idx="5">
                  <c:v>1662</c:v>
                </c:pt>
                <c:pt idx="6">
                  <c:v>1706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7630</c:v>
                </c:pt>
                <c:pt idx="1">
                  <c:v>14160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168,26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109.51</c:v>
                </c:pt>
                <c:pt idx="1">
                  <c:v>166.72</c:v>
                </c:pt>
                <c:pt idx="2">
                  <c:v>191.56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168,26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(133,83 – 236,02)</c:v>
                </c:pt>
                <c:pt idx="1">
                  <c:v>Precio objetivo de los analistas (176,00 – 257,00)</c:v>
                </c:pt>
                <c:pt idx="2">
                  <c:v>Comparables: PER NTM (141,90 – 211,00)</c:v>
                </c:pt>
                <c:pt idx="3">
                  <c:v>DCF (WACC y g ± 0,5) (146,16 – 194,26)</c:v>
                </c:pt>
                <c:pt idx="4">
                  <c:v>Escenarios (bajista – alcista) (109,51 – 191,56)</c:v>
                </c:pt>
                <c:pt idx="5">
                  <c:v>DCF con la prima implícita del mercado (4,2 %)</c:v>
                </c:pt>
                <c:pt idx="6">
                  <c:v>Precio actual (168,26)</c:v>
                </c:pt>
              </c:strCache>
            </c:strRef>
          </c:cat>
          <c:val>
            <c:numRef>
              <c:f>Hoja1!$B$2:$B$8</c:f>
              <c:numCache>
                <c:formatCode>#,##0</c:formatCode>
                <c:ptCount val="7"/>
                <c:pt idx="0">
                  <c:v>133.83</c:v>
                </c:pt>
                <c:pt idx="1">
                  <c:v>176</c:v>
                </c:pt>
                <c:pt idx="2">
                  <c:v>141.9</c:v>
                </c:pt>
                <c:pt idx="3">
                  <c:v>146.16</c:v>
                </c:pt>
                <c:pt idx="4">
                  <c:v>109.51</c:v>
                </c:pt>
                <c:pt idx="5">
                  <c:v>181.69</c:v>
                </c:pt>
                <c:pt idx="6">
                  <c:v>167.42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(133,83 – 236,02)</c:v>
                </c:pt>
                <c:pt idx="1">
                  <c:v>Precio objetivo de los analistas (176,00 – 257,00)</c:v>
                </c:pt>
                <c:pt idx="2">
                  <c:v>Comparables: PER NTM (141,90 – 211,00)</c:v>
                </c:pt>
                <c:pt idx="3">
                  <c:v>DCF (WACC y g ± 0,5) (146,16 – 194,26)</c:v>
                </c:pt>
                <c:pt idx="4">
                  <c:v>Escenarios (bajista – alcista) (109,51 – 191,56)</c:v>
                </c:pt>
                <c:pt idx="5">
                  <c:v>DCF con la prima implícita del mercado (4,2 %)</c:v>
                </c:pt>
                <c:pt idx="6">
                  <c:v>Precio actual (168,26)</c:v>
                </c:pt>
              </c:strCache>
            </c:strRef>
          </c:cat>
          <c:val>
            <c:numRef>
              <c:f>Hoja1!$C$2:$C$8</c:f>
              <c:numCache>
                <c:formatCode>#,##0</c:formatCode>
                <c:ptCount val="7"/>
                <c:pt idx="0">
                  <c:v>102.19</c:v>
                </c:pt>
                <c:pt idx="1">
                  <c:v>81</c:v>
                </c:pt>
                <c:pt idx="2">
                  <c:v>69.1</c:v>
                </c:pt>
                <c:pt idx="3">
                  <c:v>48.099999999999994</c:v>
                </c:pt>
                <c:pt idx="4">
                  <c:v>82.05</c:v>
                </c:pt>
                <c:pt idx="5">
                  <c:v>38.44</c:v>
                </c:pt>
                <c:pt idx="6">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