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Burckhardt Compression Holding AG</w:t>
      </w:r>
    </w:p>
    <w:p>
      <w:pPr>
        <w:spacing w:after="60"/>
        <w:rPr>
          <w:color w:val="52514E"/>
          <w:sz w:val="22"/>
          <w:szCs w:val="22"/>
        </w:rPr>
      </w:pPr>
      <w:r>
        <w:rPr>
          <w:color w:val="52514E"/>
          <w:sz w:val="22"/>
          <w:szCs w:val="22"/>
        </w:rPr>
        <w:t xml:space="preserve">BCHN · SIX Swiss Exchange · ISIN CH0025536027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486,00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541,27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+15,1 % (base +17,0 %)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581,39 CHF · mercado 691,72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1.639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Burckhardt Compression Holding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BCHN / CH0025536027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 / SPI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Winterthur (Suiza) · 1844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https://www.burckhardtcompression.com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486,00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434,50 – 595,00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1.639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1.528 M CHF</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3,5 M CHF/día (3 meses; 7.165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541,27 CHF</w:t>
      </w:r>
      <w:r>
        <w:t xml:space="preserve"> frente a 486,00 · Rentabilidad a 12 meses </w:t>
      </w:r>
      <w:r>
        <w:rPr>
          <w:b/>
          <w:bCs/>
        </w:rPr>
        <w:t xml:space="preserve">+15,1 % (base +17,0 %)</w:t>
      </w:r>
      <w:r>
        <w:t xml:space="preserve"> · Valor intrínseco 581,39 CHF · con la prima implícita del mercado: 691,72 (+42,3 %) · Alcista / bajista +43,6 % / -15,7 %</w:t>
      </w:r>
    </w:p>
    <w:p>
      <w:pPr>
        <w:spacing w:after="100"/>
      </w:pPr>
      <w:r>
        <w:rPr>
          <w:b/>
        </w:rPr>
        <w:t xml:space="preserve">La recomendación y por qué.</w:t>
      </w:r>
      <w:r>
        <w:t xml:space="preserve"> Comprar con convicción baja. El objetivo a 12 meses es de 541,27 CHF y el valor intrínseco de 581,39 CHF, frente a un precio de 486,00 CHF (cierre del 14-oct-2026); los analistas apuntan a 604,33 de media. La rentabilidad a 12 meses es del 15,1 % ponderada y del 17,0 % en el base, con dividendo, y la asimetría de los escenarios es de 2,78 veces. La razón: el precio descuenta que FY2026 no es el fondo del ciclo de pedidos sino el nuevo nivel, y la empresa sale de él con caja neta, servicio y un ahorro de 20 M. La convicción es baja porque la ponderada está a 0,1 puntos del umbral del 15 %: con el BPA del consenso baja al 14,2 % y la prueba de robustez da Mantener. Subiría si los pedidos del primer semestre (3-nov-2026) superan los 400 M; bajaría por debajo de 350 M.</w:t>
      </w:r>
    </w:p>
    <w:p>
      <w:pPr>
        <w:spacing w:after="100"/>
      </w:pPr>
      <w:r>
        <w:rPr>
          <w:b/>
        </w:rPr>
        <w:t xml:space="preserve">El negocio.</w:t>
      </w:r>
      <w:r>
        <w:t xml:space="preserve"> Burckhardt es líder en compresores de pistón para gas de evaporación en buques de GLP y GNL e hipercompresores de polietileno, con un servicio que da la mitad del EBIT con un margen del 24 % [1]. El ROIC del 43,1 % frente a un WACC del 6,74 % deja unos 36 puntos; incluso sin el efecto de los anticipos de clientes rondaría el 25 %. La sostenibilidad del crecimiento es «Sí»: proyectamos un 1,7 % anual, muy por debajo de lo que financia su ROIC y de su 9,9 % histórico, y el poder de precios se ve en el margen bruto de Systems (19,1 % a 21,1 % con ventas planas).</w:t>
      </w:r>
    </w:p>
    <w:p>
      <w:pPr>
        <w:spacing w:after="100"/>
      </w:pPr>
      <w:r>
        <w:rPr>
          <w:b/>
        </w:rPr>
        <w:t xml:space="preserve">Sector y ciclo.</w:t>
      </w:r>
      <w:r>
        <w:t xml:space="preserve"> Los pedidos cayeron un 31,9 % en FY2025 (Systems −42,3 %) por los aranceles de EE. UU., el conflicto de Oriente Medio y la sobrecapacidad petroquímica china; la empresa aplazó sin fecha su plan de 1.200 M de ventas y espera 900-1.000 M en FY2026 con margen EBIT de ~12 % [6]. China es el 41 % de las ventas.</w:t>
      </w:r>
    </w:p>
    <w:p>
      <w:pPr>
        <w:spacing w:after="100"/>
      </w:pPr>
      <w:r>
        <w:rPr>
          <w:b/>
        </w:rPr>
        <w:t xml:space="preserve">Finanzas.</w:t>
      </w:r>
      <w:r>
        <w:t xml:space="preserve"> Caja neta de 111 M, bono de 150 M a 2028 pagable con caja, y conversión del beneficio en caja del 134 % en seis años. El riesgo financiero es el circulante: los anticipos (285 M) bajarán con los pedidos.</w:t>
      </w:r>
    </w:p>
    <w:p>
      <w:pPr>
        <w:spacing w:after="100"/>
      </w:pPr>
      <w:r>
        <w:rPr>
          <w:b/>
        </w:rPr>
        <w:t xml:space="preserve">Equipo y gobierno.</w:t>
      </w:r>
      <w:r>
        <w:t xml:space="preserve"> Cumplió el plan de 2022 dos años antes de tiempo, pero rota la cúpula: presidente, Services y ahora Systems (1-nov-2026). Los estatutos limitan el voto al 5 % y el variable a largo plazo mide BPA y ventas, no rentabilidad.</w:t>
      </w:r>
    </w:p>
    <w:p>
      <w:pPr>
        <w:spacing w:after="100"/>
      </w:pPr>
      <w:r>
        <w:rPr>
          <w:b/>
        </w:rPr>
        <w:t xml:space="preserve">Valoración.</w:t>
      </w:r>
      <w:r>
        <w:t xml:space="preserve"> El DCF da 598,86 CHF y el DCF inverso dice que el precio descuenta una caída de ventas del 3,5 % anual hasta FY2032e o un margen EBITDA del 13,5 %. A 17,1 veces nuestro BPA de FY2027e cotiza por debajo de su mediana adelantada (18,4x) y de los comparables (20,0x). Coincidimos con el consenso en el BPA (FY2028e 31,12 frente a 30,87); discrepamos en el múltiplo que se pagará.</w:t>
      </w:r>
    </w:p>
    <w:p>
      <w:pPr>
        <w:spacing w:after="100"/>
      </w:pPr>
      <w:r>
        <w:rPr>
          <w:b/>
        </w:rPr>
        <w:t xml:space="preserve">Riesgos y catalizadores.</w:t>
      </w:r>
      <w:r>
        <w:t xml:space="preserve"> El bajista (409,84 CHF, −15,7 %) es que los pedidos no toquen fondo; China y el franco suman riesgo. La IA es una oportunidad menor en el servicio, no una amenaza. Los foros apenas tienen debate; la prensa suiza habla de «año de transición». Catalizadores: resultados del 3-nov-2026 y la nueva fecha del plan en junio de 2027.</w:t>
      </w:r>
    </w:p>
    <w:p>
      <w:pPr>
        <w:spacing w:after="100"/>
      </w:pPr>
      <w:r>
        <w:rPr>
          <w:b/>
        </w:rPr>
        <w:t xml:space="preserve">Qué cambiaría la decisión.</w:t>
      </w:r>
      <w:r>
        <w:t xml:space="preserve"> Compraríamos con holgura por debajo de 482,60 CHF, el precio al que la tesis pasa también con el BPA del consenso (el límite de la regla es 486,32 CHF); venderíamos por encima de 621,41 CHF. Pasaríamos a Mantener si los pedidos del semestre bajan de 350 M o si la dirección rebaja la guía.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541,27 CHF</w:t>
      </w:r>
      <w:r>
        <w:t xml:space="preserve"> (rentabilidad +15,1 % (base +17,0 %)) · Valor intrínseco: 581,39 CHF (+19,6 % sobre 486,00) · con la prima implícita del mercado: 691,72 (+42,3 %)</w:t>
      </w:r>
    </w:p>
    <w:p>
      <w:pPr>
        <w:spacing w:after="100"/>
      </w:pPr>
      <w:r>
        <w:t xml:space="preserve">Burckhardt Compression fabrica compresores de pistón para gases difíciles (gas de evaporación en metaneros y gaseros, polietileno, hidrógeno, refino) y vive después de sus recambios: Services da la mitad del EBIT con un margen del 24 % y un 60-70 % de cuota en su base instalada [1, 10]. En seis años el margen EBIT subió del 9,2 % al 13,3 %, el BPA del 13,00 al 32,60 CHF y el ROIC al 43,1 %, con caja neta y un capex igual a la amortización.</w:t>
      </w:r>
    </w:p>
    <w:p>
      <w:pPr>
        <w:spacing w:after="100"/>
      </w:pPr>
      <w:r>
        <w:t xml:space="preserve">A 486 CHF el precio descuenta que las ventas caigan un 3,5 % al año hasta FY2032e o que el margen EBITDA se quede en el 13,5 %: es decir, que la caída de pedidos de FY2025 (−32 %) sea permanente. Cotiza a 17,1 veces nuestro BPA de FY2027e, por debajo de su mediana adelantada (18,4x) y de los comparables (20,0x).</w:t>
      </w:r>
    </w:p>
    <w:p>
      <w:pPr>
        <w:spacing w:after="100"/>
      </w:pPr>
      <w:r>
        <w:t xml:space="preserve">Hay que creer que FY2026 es el fondo: que los pedidos aplazados por los aranceles y Oriente Medio vuelven, que el servicio sigue creciendo con la flota de gas y que el ahorro de 20 M sostiene el margen. El mercado acierta en que la visibilidad es baja y China pesa mucho; se equivoca si trata el pico de FY2025 como la norma a la baja.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541,27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 × 22,98 = 326,32 · 17,7x × 31,12 = 550,82 · 20,7x × 35,61 = 737,13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 / 17,0 %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604,33 (nuestro base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581,39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43,6 % / -15,7 %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 frente a 6,7 % y 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691,72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(FY2026e-FY2032e)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 frente a 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23,3 % (&lt; 25 %))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486,32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486,32 y 621,41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621,41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los pedidos del 1S FY2026 (3-nov-2026) bajan de 350 M, pasaríamos a Mantener.</w:t>
      </w:r>
    </w:p>
    <w:p>
      <w:pPr>
        <w:pStyle w:val="ListParagraph"/>
        <w:numPr>
          <w:ilvl w:val="0"/>
          <w:numId w:val="2"/>
        </w:numPr>
        <w:spacing w:after="60"/>
      </w:pPr>
      <w:r>
        <w:t xml:space="preserve">Si la dirección rebaja la guía de FY2026 por debajo de 900 M o del 12 % de margen EBIT, pasaríamos a Mantener.</w:t>
      </w:r>
    </w:p>
    <w:p>
      <w:pPr>
        <w:pStyle w:val="ListParagraph"/>
        <w:numPr>
          <w:ilvl w:val="0"/>
          <w:numId w:val="2"/>
        </w:numPr>
        <w:spacing w:after="60"/>
      </w:pPr>
      <w:r>
        <w:t xml:space="preserve">Si el precio sube por encima de 621,41 CHF sin mejora de pedidos, pasaríamos a Vender.</w:t>
      </w:r>
    </w:p>
    <w:p>
      <w:pPr>
        <w:pStyle w:val="ListParagraph"/>
        <w:numPr>
          <w:ilvl w:val="0"/>
          <w:numId w:val="2"/>
        </w:numPr>
        <w:spacing w:after="60"/>
      </w:pPr>
      <w:r>
        <w:t xml:space="preserve">Si el margen bruto de Systems baja del 19 % (nivel de FY2024), revisaríamos el poder de precios y la sostenibilidad.</w:t>
      </w:r>
    </w:p>
    <w:p>
      <w:pPr>
        <w:pStyle w:val="Heading2"/>
      </w:pPr>
      <w:r>
        <w:t xml:space="preserve">Dónde discrepamos del mercado</w:t>
      </w:r>
    </w:p>
    <w:p>
      <w:pPr>
        <w:keepNext/>
        <w:spacing w:after="100"/>
      </w:pPr>
      <w:r>
        <w:rPr>
          <w:b/>
          <w:bCs/>
        </w:rPr>
        <w:t xml:space="preserve">Lo que descuenta el precio.</w:t>
      </w:r>
    </w:p>
    <w:p>
      <w:pPr>
        <w:spacing w:after="100"/>
      </w:pPr>
      <w:r>
        <w:t xml:space="preserve">Que FY2026 (ventas de 900-1.000 M y margen EBIT del 12 %) es el nuevo nivel y no el fondo: el DCF inverso pide una caída de ventas del 3,5 % anual hasta FY2032e, y el PER de 17 veces un beneficio que cae un 21 % no paga recuperación.</w:t>
      </w:r>
    </w:p>
    <w:p>
      <w:pPr>
        <w:keepNext/>
        <w:spacing w:after="100"/>
      </w:pPr>
      <w:r>
        <w:rPr>
          <w:b/>
          <w:bCs/>
        </w:rPr>
        <w:t xml:space="preserve">Lo que creemos nosotros.</w:t>
      </w:r>
    </w:p>
    <w:p>
      <w:pPr>
        <w:spacing w:after="100"/>
      </w:pPr>
      <w:r>
        <w:t xml:space="preserve">FY2026 es el fondo de un ciclo de pedidos provocado por aplazamientos (aranceles, Oriente Medio) y no por pérdida de cuota: el servicio solo cayó un 0,5 % sin divisa, Systems ganó cuota y el BPA vuelve a 31 CHF en FY2028e.</w:t>
      </w:r>
    </w:p>
    <w:p>
      <w:pPr>
        <w:keepNext/>
        <w:spacing w:after="100"/>
      </w:pPr>
      <w:r>
        <w:rPr>
          <w:b/>
          <w:bCs/>
        </w:rPr>
        <w:t xml:space="preserve">Por qué podemos tener razón.</w:t>
      </w:r>
    </w:p>
    <w:p>
      <w:pPr>
        <w:spacing w:after="100"/>
      </w:pPr>
      <w:r>
        <w:t xml:space="preserve">Porque la base instalada marina crece cada año y alimenta Services, porque la empresa ya demostró poder de precios con ventas planas y porque el ahorro de la reestructuración llega en FY2027. Si fallamos, el bajista cuesta un 16 % y la caja neta limita la caída.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486,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Servicio de alto margen</w:t>
      </w:r>
      <w:r>
        <w:t xml:space="preserve">: Services da la mitad del EBIT con un 24,4 % de margen y un 60-70 % de cuota en su base instalada.</w:t>
      </w:r>
    </w:p>
    <w:p>
      <w:pPr>
        <w:pStyle w:val="ListParagraph"/>
        <w:numPr>
          <w:ilvl w:val="0"/>
          <w:numId w:val="2"/>
        </w:numPr>
        <w:spacing w:after="60"/>
      </w:pPr>
      <w:r>
        <w:rPr>
          <w:b/>
        </w:rPr>
        <w:t xml:space="preserve">ROIC del 43,1 %</w:t>
      </w:r>
      <w:r>
        <w:t xml:space="preserve"> frente a un WACC del 6,74 %, con caja neta de 111 M.</w:t>
      </w:r>
    </w:p>
    <w:p>
      <w:pPr>
        <w:pStyle w:val="ListParagraph"/>
        <w:numPr>
          <w:ilvl w:val="0"/>
          <w:numId w:val="2"/>
        </w:numPr>
        <w:spacing w:after="60"/>
      </w:pPr>
      <w:r>
        <w:rPr>
          <w:b/>
        </w:rPr>
        <w:t xml:space="preserve">Precio que descuenta contracción</w:t>
      </w:r>
      <w:r>
        <w:t xml:space="preserve">: el DCF inverso pide una caída de ventas del 3,5 % anual.</w:t>
      </w:r>
    </w:p>
    <w:p>
      <w:pPr>
        <w:pStyle w:val="ListParagraph"/>
        <w:numPr>
          <w:ilvl w:val="0"/>
          <w:numId w:val="2"/>
        </w:numPr>
        <w:spacing w:after="60"/>
      </w:pPr>
      <w:r>
        <w:rPr>
          <w:b/>
        </w:rPr>
        <w:t xml:space="preserve">Ahorro de 20 M al año</w:t>
      </w:r>
      <w:r>
        <w:t xml:space="preserve"> de la reestructuración, unos 2 puntos de margen EBIT desde FY2027.</w:t>
      </w:r>
    </w:p>
    <w:p>
      <w:pPr>
        <w:pStyle w:val="ListParagraph"/>
        <w:numPr>
          <w:ilvl w:val="0"/>
          <w:numId w:val="2"/>
        </w:numPr>
        <w:spacing w:after="60"/>
      </w:pPr>
      <w:r>
        <w:rPr>
          <w:b/>
        </w:rPr>
        <w:t xml:space="preserve">Múltiplo por debajo de su historia</w:t>
      </w:r>
      <w:r>
        <w:t xml:space="preserve">: 17,1 veces el BPA de FY2027e frente a una mediana de 18,4 veces.</w:t>
      </w:r>
    </w:p>
    <w:p>
      <w:pPr>
        <w:pStyle w:val="Heading2"/>
      </w:pPr>
      <w:r>
        <w:t xml:space="preserve">En contra</w:t>
      </w:r>
    </w:p>
    <w:p>
      <w:pPr>
        <w:pStyle w:val="ListParagraph"/>
        <w:numPr>
          <w:ilvl w:val="0"/>
          <w:numId w:val="2"/>
        </w:numPr>
        <w:spacing w:after="60"/>
      </w:pPr>
      <w:r>
        <w:rPr>
          <w:b/>
        </w:rPr>
        <w:t xml:space="preserve">Pedidos −31,9 %</w:t>
      </w:r>
      <w:r>
        <w:t xml:space="preserve"> en FY2025 y relación pedidos/ventas de 0,74: la cartera se está vaciando.</w:t>
      </w:r>
    </w:p>
    <w:p>
      <w:pPr>
        <w:pStyle w:val="ListParagraph"/>
        <w:numPr>
          <w:ilvl w:val="0"/>
          <w:numId w:val="2"/>
        </w:numPr>
        <w:spacing w:after="60"/>
      </w:pPr>
      <w:r>
        <w:rPr>
          <w:b/>
        </w:rPr>
        <w:t xml:space="preserve">China pesa el 41 %</w:t>
      </w:r>
      <w:r>
        <w:t xml:space="preserve"> de las ventas, con sobrecapacidad petroquímica y competencia local.</w:t>
      </w:r>
    </w:p>
    <w:p>
      <w:pPr>
        <w:pStyle w:val="ListParagraph"/>
        <w:numPr>
          <w:ilvl w:val="0"/>
          <w:numId w:val="2"/>
        </w:numPr>
        <w:spacing w:after="60"/>
      </w:pPr>
      <w:r>
        <w:rPr>
          <w:b/>
        </w:rPr>
        <w:t xml:space="preserve">Plan a medio plazo aplazado</w:t>
      </w:r>
      <w:r>
        <w:t xml:space="preserve"> sin fecha y rotación de tres puestos de la cúpula en un año.</w:t>
      </w:r>
    </w:p>
    <w:p>
      <w:pPr>
        <w:pStyle w:val="ListParagraph"/>
        <w:numPr>
          <w:ilvl w:val="0"/>
          <w:numId w:val="2"/>
        </w:numPr>
        <w:spacing w:after="60"/>
      </w:pPr>
      <w:r>
        <w:rPr>
          <w:b/>
        </w:rPr>
        <w:t xml:space="preserve">Rentabilidad al límite</w:t>
      </w:r>
      <w:r>
        <w:t xml:space="preserve">: 15,1 % ponderada, a 0,1 puntos del umbral; con el BPA del consenso, 14,2 %.</w:t>
      </w:r>
    </w:p>
    <w:p>
      <w:pPr>
        <w:pStyle w:val="ListParagraph"/>
        <w:numPr>
          <w:ilvl w:val="0"/>
          <w:numId w:val="2"/>
        </w:numPr>
        <w:spacing w:after="60"/>
      </w:pPr>
      <w:r>
        <w:rPr>
          <w:b/>
        </w:rPr>
        <w:t xml:space="preserve">Franco fuerte</w:t>
      </w:r>
      <w:r>
        <w:t xml:space="preserve">: subió un 9,4 % frente al USD en FY2025.</w:t>
      </w:r>
    </w:p>
    <w:p>
      <w:pPr>
        <w:pStyle w:val="Heading2"/>
      </w:pPr>
      <w:r>
        <w:t xml:space="preserve">Qué tiene que pasar para que la tesis funcione</w:t>
      </w:r>
    </w:p>
    <w:p>
      <w:pPr>
        <w:spacing w:after="100"/>
      </w:pPr>
      <w:r>
        <w:t xml:space="preserve">La tesis depende de que los pedidos toquen fondo en el primer semestre de FY2026: por encima de 400 M (como el 1S FY2025) confirma el base; por debajo de 350 M, el bajista gana peso. Vigilar también la relación pedidos/ventas de Systems (0,64 en FY2025), el margen bruto de Systems (21,1 %) y las ventas a China.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del grupo por semestre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400,7 M (1S FY25) / 383,6 M (2S FY25)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350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las ventas de 12-24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Relación pedidos/ventas de Systems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 (FY2025)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0,8 dos semestres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cartera se vacía.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de Services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mitad del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China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431,8 M (41 %)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350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riesgo geográfico.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 (guía FY2026 ~12 %)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Valida la guía y el ahorro.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 / 10,5x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14,9x / 17,5x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(FY2020-FY2025)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 · -0,7x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en Basilea en 1844 por Franz Burckhardt, la empresa empezó a fabricar compresores de pistón a finales del siglo XIX y pasó al grupo Sulzer en 1969 [14]. En 2002 Sulzer la vendió a su dirección y a inversores (MBO) y en 2006 salió a bolsa en la SIX [14]. Desde entonces ha crecido con dos divisiones: Systems (compresores nuevos, sobre todo Laby para GNL y GLP en buques e hipercompresores para polietileno) y Services, que desde 2016 atiende también máquinas de otras marcas [1]. Compró el 100 % de su filial de Shenyang en 2020-2021 para producir en China [5] y en 2022 lanzó el plan a medio plazo con objetivo de 1.100 M CHF de ventas, elevado después a 1.200 M y aplazado en 2026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1844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Basilea (Franz Burckhardt).</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el grupo Sulzer.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por la dirección e inversores (MBO) a Sulzer.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SIX Swiss Exchange.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Organización en dos divisiones: Systems y Services.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40 % restante de Shenyang (101,9 M CHF).</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a medio plazo: 1.100 M de ventas y 12-15 % de margen EBIT en FY2027.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pedido marino de su historia (Hanwha Ocean, 14 compresores) y compra de ACT en EE. UU.</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−32 %, objetivos de 2027 aplazados, reestructuración (220 puestos) y compra de Fornovo Gas.</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Burckhardt Compression diseña, fabrica y mantiene compresores de pistón (alternativos) para gases difíciles y altas presiones. Systems (70 % de las ventas en FY2025) vende máquinas a medida: compresores Laby y Laby-GI para el gas de evaporación y el combustible de metaneros y gaseros (GNL y GLP), hipercompresores de hasta 3.500 bar para polietileno de baja densidad y EVA (paneles solares), compresores API 618 para refino y química, de diafragma para hidrógeno y de alta velocidad para tratamiento de gas [1, 6]. Services (30 %) vende recambios, reparaciones, revisiones y mejoras para su propia base instalada y para máquinas de otras marcas, con 45+ centros en el mundo [1]. Fábricas en Winterthur (Suiza), Shenyang (China) e India; clientes: astilleros (Corea y China), petroquímicas, refinerías, empresas de gas industrial y de hidrógeno [1].</w:t>
      </w:r>
    </w:p>
    <w:p>
      <w:pPr>
        <w:pStyle w:val="Heading2"/>
      </w:pPr>
      <w:r>
        <w:t xml:space="preserve">Cómo gana dinero</w:t>
      </w:r>
    </w:p>
    <w:p>
      <w:pPr>
        <w:spacing w:after="100"/>
      </w:pPr>
      <w:r>
        <w:t xml:space="preserve">El margen está en el servicio: Services gana un 24,4 % de EBIT sobre ventas y Systems un 10,7 %; con el 30 % de las ventas, Services da la mitad del beneficio operativo (77,7 de 156,9 M antes de corporativo) [1]. Cada compresor vendido genera décadas de recambios (válvulas, aros, empaquetaduras), así que la base instalada es la fuente de ingresos recurrentes. Systems funciona por proyectos con anticipos de clientes (284,9 M a mar-26), que financian el circulante: de ahí un RONOA del 40 % [6]. El margen de Systems depende de la ocupación de las fábricas y de la mezcla (los compresores marinos estandarizados y los hipercompresores dejan más); el de Services, del volumen de recambios. Apalancamiento operativo alto: con −3,5 % de ventas el EBIT de Services cayó un 9,3 % [1].</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Systems (compresores nuevos)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Services (recambios y servicio)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Systems (compresores nuevos)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Services (recambios y servicio)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media: en marino los clientes son unos pocos astilleros coreanos y chinos (Hanwha Ocean, HD Hyundai, Samsung y astilleros chinos), que compran por buque, y el armador elige el sistema de propulsión (ME-GI de Everllence, X-DF de WinGD), que fija el compresor [6]. China pesa el 40,8 % de las ventas por destino y Otros Asia el 20,8 % [1]. No publica el peso del primer cliente. Poder de precios demostrado en Systems: el margen bruto subió de 19,1 % a 21,1 % con ventas casi iguales, y en Services la empresa repercute los aranceles de EE. UU. [1, 6]. En servicio la cuota es del 60-70 % en sus propias máquinas y del 8-12 % en las de otras marcas (CMD 2022) [10].</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del grupo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Systems −42,3 %; Services −5,4 %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Relación pedidos/ventas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vez por debajo de 1 en seis años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Systems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favorable y fábricas llenas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Services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Menor utilización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RONOA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sobre activos operativos netos medios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por grado de avance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Proyectos grandes en ejecución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mundial de compresores de pistón para procesos (no de aire comprimido): máquinas nuevas para petroquímica, refino, gases industriales, transporte y almacenamiento de gas (incluidos los buques de GNL y GLP), hidrógeno y tratamiento de gas, más el servicio y los recambios de la base instalada. Se usan dos fuentes: la propia empresa (con BCG, CMD 2022) estima un mercado direccionable de 4.000-5.000 M CHF al año en máquinas y ~1.400 M CHF en servicio accesible [10]; Mordor Intelligence da 4.680 M USD en 2025 para el mercado de compresores de pistón (definición algo más amplia en máquinas pequeñas y algo más estrecha en servicio) [11]. Usamos la de la empresa porque tiene su mismo perímetro.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5.500-6.500 M CHF en 2025 (máquinas 4.000-5.000 M + servicio ~1.500 M) [10]; 4.680 M USD según Mordor [11]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Mordor Intelligenc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Flota de metaneros y gaseros (GNL, GLP, amoniaco) con propulsión de gas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pedido marino de su historia: 14 compresores para siete metaneros de 174.000 m³ de Hanwha Ocean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petroquímica en China (LDPE, EVA para paneles solares)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Sobrecapacidad y aranceles: decisiones de nuevas plantas aplazadas en China y Oriente Medio en FY2025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energética: terminales de importación de GNL, almacenamiento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Actividad continua en terminales de importación de GNL (Alemania, Finlandia)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Hidrógeno (movilidad, almacenamiento, licuación)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en EE. UU. tras retirar ayudas; Europa lenta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y servicio (recambios para máquinas propias y de otras marcas)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servicio accesible de ~1.400 M CHF que crece ~2,6 % anual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Franco suizo fuerte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FY2025 el franco subió un 9,4 % frente al USD y un 17,4 % frente a la rupia [6].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competidores globales en pistón de alta presión (Baker Hughes/Nuovo Pignone, Siemens Energy/Dresser-Rand, Ariel, Hanwha Power Systems, fabricantes chinos); en marino Burckhardt tiene posición fuerte en GLP y competencia en GNL de baja presión [1,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Astilleros y contratistas grandes negocian por proyecto; pero el compresor es crítico y una parte pequeña del coste de la planta o del buque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Fundición y mecanizado propios en Suiza, China e India; auxiliares (motores, enfriadores) estándar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Referencias, homologación (API 618) y base instalada protegen; los fabricantes chinos entran en gama media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Compresores de tornillo y centrífugos en volúmenes altos y presiones bajas; motores eléctricos de buques a largo plazo [1].</w:t>
            </w:r>
          </w:p>
        </w:tc>
      </w:tr>
    </w:tbl>
    <w:p>
      <w:pPr>
        <w:spacing w:after="160" w:before="0"/>
      </w:pPr>
    </w:p>
    <w:p>
      <w:pPr>
        <w:pStyle w:val="Heading2"/>
      </w:pPr>
      <w:r>
        <w:t xml:space="preserve">Ciclo</w:t>
      </w:r>
    </w:p>
    <w:p>
      <w:pPr>
        <w:spacing w:after="100"/>
      </w:pPr>
      <w:r>
        <w:t xml:space="preserve">Los pedidos de máquinas nuevas cayeron un 42 % en FY2025 tras cinco años con más pedidos que ventas; el servicio solo un 5 % [1, 6]. El sector se comporta como un bien de equipo de energía: en 2015-2017 (petróleo barato y fin del ciclo de buques) las ventas de Burckhardt cayeron y el margen EBIT bajó al 7,4 % en FY2018; en 2020 resistió por la cartera (ventas −1 %); en 2022-2024 vivió el ciclo de GNL y petroquímica china [6]. Indicadores: pedidos de metaneros, decisiones de inversión en petroquímica y pedidos/ventas de Systems.</w:t>
      </w:r>
    </w:p>
    <w:p>
      <w:pPr>
        <w:pStyle w:val="Heading2"/>
      </w:pPr>
      <w:r>
        <w:t xml:space="preserve">Regulación</w:t>
      </w:r>
    </w:p>
    <w:p>
      <w:pPr>
        <w:spacing w:after="100"/>
      </w:pPr>
      <w:r>
        <w:t xml:space="preserve">La OMI exige reducir las emisiones del transporte marítimo (−20 % en 2030 frente a 2008 y emisiones netas cero hacia 2050), lo que empuja la propulsión de gas, amoniaco y metanol en buques nuevos y los compresores de combustible [1]. La normativa API 618 fija los requisitos de los compresores de pistón en refino y petroquímica. En EE. UU., los aranceles desde abril de 2025 encarecen importaciones (Burckhardt fabrica recambios localmente con ACT) y la retirada de ayudas al hidrógeno frenó ese segmento [6]. En Europa, las reglas de hidrógeno verde y biometano (RED III) favorecen a Fornovo Gas [6].</w:t>
      </w:r>
    </w:p>
    <w:p>
      <w:pPr>
        <w:pStyle w:val="Heading2"/>
      </w:pPr>
      <w:r>
        <w:t xml:space="preserve">Tendencias y disrupción</w:t>
      </w:r>
    </w:p>
    <w:p>
      <w:pPr>
        <w:spacing w:after="100"/>
      </w:pPr>
      <w:r>
        <w:t xml:space="preserve">Tres cambios: (1) la propulsión de gas en buques grandes, que convierte a los astilleros en clientes recurrentes de compresores de alta presión (ME-GI a 330 bar) y deja base instalada para servicio; (2) la digitalización del servicio con IA (UP! Solutions, BC Activate, detección de hasta el 90 % de fallos mecánicos en pruebas), que puede aumentar los ingresos por máquina [6]; (3) la competencia china en compresores de gama media, que presiona precios en petroquímica china. Burckhardt gana con (1) y (2) y pierde cuota con (3) si no localiza producción, que es lo que hace en Shenyang e India.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mundial en compresores de pistón para gas de evaporación y combustible en buques de GLP y uno de los líderes en hipercompresores de LDPE; cuota estimada ~17-19 % del mercado direccionable de máquinas y servicio (estimación propia: 1.057 M de ventas sobre 5.500-6.500 M) [1, 10]; 60-70 % del servicio de sus propias máquinas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Atlas Copco (Gas and Process)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ATCO 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mucho mayor; compite en compresores centrífugos y de tornillo de proceso, no en pistón de alta presión. Ingresos de 12 meses en CHF al cambio del BCE del 14-oct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Baker Hughes (Nuovo Pignone)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BKR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Compresores de pistón y centrífugos para GNL, refino y petroquímica; compró Chart en 2026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Energy (Dresser-Rand)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Compresores de pistón Dresser-Rand y centrífugos; foco en energía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Ingersoll Rand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Compresores industriales y de proceso; poca presencia en pistón de alta presión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Ariel Corporation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compresores de pistón de alta velocidad para gas natural en EE. UU.; no cotiza.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Kirloskar Pneumatic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KIRLPNU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Compresores de proceso y refrigeración en India; competidor local [12].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fabricante de equipos.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instalada se atiende 30-40 años con recambios de Burckhardt: cuota de servicio del 60-70 % en sus máquinas y margen EBIT de Services del 24-25 % durante cinco años [1,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Laby (sin aros de pistón) y referencias en GNL, GLP e hipercompresores; homologación de astilleros y motoristas (Everllence)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en China e India, pero base de costes suiza; el franco fuerte resta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pequeños (compresores marinos de GLP, hipercompresores de LDPE) con dos o tres proveedores [3].</w:t>
            </w:r>
          </w:p>
        </w:tc>
      </w:tr>
    </w:tbl>
    <w:p>
      <w:pPr>
        <w:spacing w:after="160" w:before="0"/>
      </w:pPr>
    </w:p>
    <w:p>
      <w:pPr>
        <w:pStyle w:val="Heading2"/>
      </w:pPr>
      <w:r>
        <w:t xml:space="preserve">Amenazas</w:t>
      </w:r>
    </w:p>
    <w:p>
      <w:pPr>
        <w:spacing w:after="100"/>
      </w:pPr>
      <w:r>
        <w:t xml:space="preserve">La mayor amenaza es la competencia china en compresores de proceso de gama media y en buques construidos en China (probabilidad media: ya aparece en petroquímica china, con márgenes débiles) [1]. A largo plazo, un cambio de propulsión marina (amoniaco, metanol o eléctrica) podría reducir la necesidad de compresores de gas a alta presión, aunque Burckhardt ya tiene primeras referencias en amoniaco [1]. En servicio, terceros independientes que copian recambios presionan precios en máquinas antiguas.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t xml:space="preserve">Crecimiento anual compuesto FY2020-FY2025: ingresos </w:t>
      </w:r>
      <w:r>
        <w:rPr>
          <w:b/>
          <w:bCs/>
        </w:rPr>
        <w:t xml:space="preserve">9,9 %</w:t>
      </w:r>
      <w:r>
        <w:t xml:space="preserve">, EBITDA </w:t>
      </w:r>
      <w:r>
        <w:rPr>
          <w:b/>
          <w:bCs/>
        </w:rPr>
        <w:t xml:space="preserve">14,7 %</w:t>
      </w:r>
      <w:r>
        <w:t xml:space="preserve">, BPA </w:t>
      </w:r>
      <w:r>
        <w:rPr>
          <w:b/>
          <w:bCs/>
        </w:rPr>
        <w:t xml:space="preserve">20,2 %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658,6 M CHF en FY2020 a 1.095,6 M en FY2024 (máximo) y bajaron a 1.057,1 M en FY2025 (−3,5 %; +1,3 % sin divisa) [1, 6]. El crecimiento fue casi todo orgánico: cinco años seguidos con pedidos por encima de las ventas (GNL y GLP en buques, petroquímica en China, hidrógeno) [1]. El margen EBIT subió de 9,2 % a 13,3 % por la mezcla (más Systems con mejor precio), el aprovechamiento de las fábricas y el control de los gastos generales (12,1 % de las ventas en FY2025) [6]. Systems alcanzó por primera vez un margen EBIT de dos dígitos (10,7 %) mientras Services bajó al 24,4 % por menos volumen [1]. FY2025 tiene un tipo impositivo bajo (20,3 % frente a 23,2 %) que aporta ~1 CHF al BPA [1]. El año en curso será de caída: guía de 900-1.000 M de ventas y margen EBIT de ~12 % por la caída de pedidos del 31,9 % [6, 8].</w:t>
      </w:r>
    </w:p>
    <w:p>
      <w:pPr>
        <w:pStyle w:val="Heading2"/>
      </w:pPr>
      <w:r>
        <w:t xml:space="preserve">Ajustes y partidas no recurrentes</w:t>
      </w:r>
    </w:p>
    <w:p>
      <w:pPr>
        <w:spacing w:after="100"/>
      </w:pPr>
      <w:r>
        <w:t xml:space="preserve">Se usan las cifras publicadas (Swiss GAAP FER). El fondo de comercio se compensa con el patrimonio al comprar, así que no hay amortización de fondo de comercio en la cuenta; la amortización teórica fue de 2,9 M en FY2025 y 9,2 M en FY2024, y el fondo de comercio teórico neto, 9,3 M [1]. FY2023 está reexpresado por el grado de avance (ventas 972,8 M frente a 982,0 M publicados; BPA 24,98 frente a 26,63) [2]. No hay partidas no recurrentes relevantes en FY2020-FY2025; en FY2026 habrá unos 3 M de reestructuración en el primer semestre [8], que dejamos dentro del margen.</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2"/>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los resultados del 1S FY2025 (4-nov-2025) la dirección confirmó la guía de ~1.100 M de ventas y el plan a medio plazo y habló de una «clara» mejora de pedidos en el segundo semestre tras la pausa por los aranceles de EE. UU. [7]. Siete meses después (4-jun-2026) el discurso cambió: los pedidos del año cayeron un 31,9 % (Systems −42,3 %), el conflicto de Oriente Medio volvió a frenar decisiones en el último mes y la empresa aplazó sin fecha los objetivos de 2027 (1.200 M de ventas y 12-15 % de margen EBIT) [6]. La guía FY2026 (900-1.000 M, margen ~12 %, segundo semestre más fuerte) supone que Oriente Medio se normaliza en la segunda mitad y que el franco no sube más [6]. En agosto la empresa anunció hasta 220 despidos (150 en Winterthur) para ahorrar ~20 M al año y confirmó la guía [8]. Lo que la dirección no cuantificó: la cartera de pedidos en francos (habla de «normalización» tras cinco años con más pedidos que ventas) y el peso de China (41 % de las ventas por destino del cliente) en la caída [1, 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(FY2023: Cambio de criterio de ingresos: desde FY2024 los proyectos de más de 7 M CHF y más de un año se reconocen por grado de avance (PoC) en vez de a la entrega; FY2023 reexpresado [2, 7]. FY2020-FY2022 siguen a la entrega y no son del todo comparables.).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comercial neto de anticipos bajó de 321,9 M (33 % de las ventas) en FY2023 a 183,6 M (17 %) en FY2025, por el cobro de ~100 M de clientes y más anticipos [1, 6]. Las existencias subieron un 27,7 % (más obra en curso y anticipos a proveedores), señal de que la cartera se está ejecutando [1]. La posición financiera neta pasó de −62,3 M en FY2023 a +110,8 M [2, 6]. El riesgo es que, con pedidos un 32 % más bajos, los anticipos caigan y el circulante vuelva al 21-25 % de las ventas: unos 40-60 M de caja que salen sin que cambie el negocio.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FY2020-FY2025: FCF </w:t>
      </w:r>
      <w:r>
        <w:rPr>
          <w:b/>
          <w:bCs/>
        </w:rPr>
        <w:t xml:space="preserve">623</w:t>
      </w:r>
      <w:r>
        <w:t xml:space="preserve">, conversión </w:t>
      </w:r>
      <w:r>
        <w:rPr>
          <w:b/>
          <w:bCs/>
        </w:rPr>
        <w:t xml:space="preserve">134 %</w:t>
      </w:r>
      <w:r>
        <w:t xml:space="preserve"> del beneficio neto; adquisiciones 143, dividendos 232, recompras 26.</w:t>
      </w:r>
    </w:p>
    <w:p>
      <w:pPr>
        <w:spacing w:after="100"/>
      </w:pPr>
      <w:r>
        <w:t xml:space="preserve">El flujo operativo acumulado de FY2020-FY2025 fue de 757,6 M CHF, frente a 469,9 M de beneficio: la conversión es alta, pero muy irregular por los anticipos [1, 2, 3, 5]. FY2023 (17,8 M) fue el año malo: clientes +122 M y existencias +77 M con la cartera en máximos; FY2024 (212,8 M) lo devolvió con 68 M más de anticipos [2]. El capex es bajo y estable, 20-25 M al año (~2,2 % de las ventas), casi igual a la amortización: la empresa lo describe como mantenimiento más digitalización, y FY2026 lleva la nueva fábrica de recambios de Vadodara (India) [6]. Las adquisiciones de FY2020-FY2021 son sobre todo la compra de minoritarios de Shenyang (101,9 M en dos años) [5].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Burckhardt presenta en Swiss GAAP FER, no en NIIF: el fondo de comercio se compensa con el patrimonio (sale del ROIC y del balance) y no hay NIIF 16 [1]. El cambio a grado de avance en FY2024 (con FY2023 reexpresado) adelanta ingresos de proyectos grandes: en FY2025, 251,7 M de las ventas (24 %) vinieron de contratos por grado de avance, frente a 407,9 M en FY2024 [1]. Eso hace más estable la cifra de ventas pero añade juicio sobre costes por incurrir. Señal a vigilar: las cuentas vencidas a más de 90 días suben al 36,4 % de los clientes [6]. Auditor nuevo desde FY2024 (EY sustituye a PwC tras un concurso)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criterio de ingresos (a grado de avance) en FY2024</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Reexpresa FY2023 (−9,2 M de ventas, −7,1 M de EBIT) y rompe la comparación con FY2020-FY2022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Cuentas a cobrar vencidas &gt; 90 días: 36,4 % (24,2 % un año antes)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estable en términos absolutos, concentrado en proyectos de China y EE. UU.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Fondo de comercio compensado con patrimonio (Swiss GAAP FER)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Neto teórico de 9,3 M: el efecto en el ROIC es pequeño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FY2025 (el 0 % del capital invertido medio); ha subido más de un 5 % en 0 de 5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6,7 %.</w:t>
      </w:r>
    </w:p>
    <w:p>
      <w:pPr>
        <w:spacing w:after="100"/>
      </w:pPr>
      <w:r>
        <w:t xml:space="preserve">Burckhardt crea mucho valor: ROIC del 43,1 % en FY2025 frente a un WACC del 6,74 %, unos 36 puntos de diferencia, y la empresa da un RONOA del 40,4 % [6]. Hay que matizarlo: en Swiss GAAP FER el fondo de comercio se compensa con el patrimonio, pero el teórico neto es de solo 9,3 M, así que el ROIC sin fondo de comercio es prácticamente el mismo [1]; lo que de verdad infla el ROIC son los anticipos de clientes (285 M), que reducen el capital invertido. Aun quitándolos, el ROIC sería de unos 25 %. El ROIC subió del 16,1 % en FY2020 al 43,1 % por las dos vías: margen EBIT del 9,2 % al 13,3 % y rotación del capital, con un capex igual a la amortización. Frente a los comparables (mediana del ROIC del 14,1 %) está muy por encima, como Atlas Copco (19,9 %) [12]. El ROIC de FY2025 está en un pico de ciclo: con el margen de FY2026e bajaría a unos 33-35 %.</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mar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263,0 M CHF a 31-mar-2026 y posición financiera neta positiva de 110,8 M; deuda de 152,2 M, casi toda un bono de 150 M que vence en septiembre de 2028 [1,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NIIF 16: los alquileres van en gastos y no hay pasivos por arrendamiento en balance (Swiss GAAP FER) [1]. Provisiones de 44,3 M (garantías, contratos onerosos, personal) [1]. Los anticipos de clientes (284,9 M) son la partida que más pesa: se compensan con entregas del propio contrato, así que van al circulante y no a la deuda; con menos pedidos bajarán y consumirán caja [1, 6]. El 36,4 % de las cuentas a cobrar llevaba más de 90 días vencido (24,2 % un año antes), sobre todo proyectos de China y EE. UU. [1, 6]. Planes de pensiones suizos sin déficit material en balance (Swiss GAAP FER 26) [1].</w:t>
      </w:r>
    </w:p>
    <w:p>
      <w:pPr>
        <w:pStyle w:val="Heading1"/>
      </w:pPr>
      <w:r>
        <w:t xml:space="preserve">12. Asignación de capital</w:t>
      </w:r>
    </w:p>
    <w:p>
      <w:pPr>
        <w:pStyle w:val="Confianza"/>
        <w:spacing w:after="100"/>
      </w:pPr>
      <w:r>
        <w:t xml:space="preserve">Confianza: Alta</w:t>
      </w:r>
    </w:p>
    <w:p>
      <w:pPr>
        <w:spacing w:after="100"/>
      </w:pPr>
      <w:r>
        <w:t xml:space="preserve">Reparto del 50-70 % del BPA como dividendo durante el plan 2023-2027 (18,00 CHF por FY2025, 55 %; igual que el año anterior) [6]. Recompras solo para planes de acciones (3,9 M en FY2025) [1]. Prioridades: crecimiento orgánico con capex de mantenimiento similar a la amortización, compras pequeñas con EBIT/precio &gt; WACC y ratio de patrimonio &gt; 30 %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Minoritarios de Burckhardt Compression (Shenyang) (40 % en dos tramos)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la fábrica de Shenyang es base para China (41 % de las ventas en FY2025)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 (Advanced Compressor Technology, EE. UU.; recambios y servicio en Illinois y Texas)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Comprada en sep-2025; refuerza la fabricación local de recambios frente a los aranceles [1,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Fornovo Gas (Italia; compresores para biogás y GNC, ~40 M CHF de ventas, 120 empleados)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14-jul-2026; precio no publicado [6, 9].</w:t>
            </w:r>
          </w:p>
        </w:tc>
      </w:tr>
    </w:tbl>
    <w:p>
      <w:pPr>
        <w:spacing w:after="160" w:before="0"/>
      </w:pPr>
    </w:p>
    <w:p>
      <w:pPr>
        <w:spacing w:after="100"/>
      </w:pPr>
      <w:r>
        <w:t xml:space="preserve">La dirección ha asignado el capital con disciplina: el capex no ha pasado del 2,6 % de las ventas en seis años, las compras han sido pequeñas o de minoritarios y el dividendo ha subido de 6,50 a 18,00 CHF con el BPA [1, 6]. El RONOA (EBIT sobre activos operativos netos) pasó del 10,2 % en FY2018 al 40,4 % en FY2025, sobre todo por la rotación del capital (anticipos) [6]. La dilución es nula (acciones estables en ~3,38 M). Lo que falta por ver es una compra mayor: el plan a medio plazo abre la puerta a compras «selectivas» y Fornovo es la primera en una línea de producto nueva (compresores configurables).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Fabrice Billard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Systems en 2016-2022, antes en Sulzer (estrategia, Chemtech) y BCG. Como CEO llevó el margen EBIT del 11,4 % (FY2022) al 13,3 % (FY2025) y el RONOA del 25,7 % al 40,4 % [1, 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Rolf Brändli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2008; antes en Sulzer (Brasil, Asia). Dieciocho años en el cargo: continuidad en balance y dividendo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Jacques Sanche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desde el 15-dic-2025, en sustitución de Ton Büchner; independiente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Andreas Brautsch / Daniel Meier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Systems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Brautsch (ex Hitachi Energy) deja la empresa el 1-nov-2026 por motivos personales; le sustituye Daniel Meier, 19 años en la casa y hoy vicepresidente de Systems para EMEA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Martin Zingg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Services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Desde el 1-abr-2026; ex CEO del grupo Leister y responsable de servicio en Moventas, GE Power y Alstom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CMD 2022: 1.100 M de ventas y 12-15 % de margen EBIT en 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1.095,6 M ya en FY2024; objetivo subido a 1.200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~1.100 M y margen EBIT similar o mejor</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1.095,6 M y 12,9 %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~1.100 M, margen EBIT similar a FY2024 (confirmada en nov-2025)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1.057,1 M (−3,9 % frente a la guía) y 13,3 %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 (plan)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1.200 M de ventas y 12-15 % de margen EBIT</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Aplazado sin fecha en jun-2026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con trayectoria: el CEO viene de dirigir Systems y el CFO lleva 18 años, y cumplieron el plan de 2022 dos años antes de tiempo [1, 10]. Pero en 2025-2026 hay mucha rotación: cambio de presidente del consejo (dic-2025), de presidente de Services (abr-2026) y de presidente de Systems (nov-2026), justo cuando caen los pedidos [1, 16]. La sucesión en Systems es interna (Meier), lo que da continuidad. La guía de FY2025 se quedó corta en ventas (−3,9 %) pero no en margen; el aplazamiento del plan 2027 resta credibilidad a los objetivos a medio plazo.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Jacques Sanche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y sostenibilidad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Kaspar W. Kelterborn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estrategia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Stephan Bross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Dean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Tatiana Gillitzer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Maria Teresa Vacalli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retribuciones (presidenta); 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UBS Fund Management (Switzerland)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Fondos (voto limitado al 5 %)</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Grupo de accionistas del MBO (Valentin Vogt y otros)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Fundadores del MBO de 2002</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Swisscanto Fondsleitung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Goldman Sachs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27.939 acciones a mar-26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cobró 1,21 M CHF en FY2025: 0,60 M fijos, 0,31 M de variable anual y 0,30 M en acciones a largo plazo (con cargas) [1]. El variable anual es una fórmula sin discrecionalidad: un porcentaje del beneficio neto (0,28 % para el CEO) si el beneficio supera el 4 % de las ventas [1]. El plan a largo plazo (PSU a tres años) mide el BPA acumulado (50 %), las ventas acumuladas (25 %) y la intensidad de CO2 (25 %): no hay métrica de ROIC, flujo de caja ni rentabilidad para el accionista [1]. El ciclo FY2023-FY2025 consolidó al 117 % [1]. Remuneración moderada (ratio de unas 13 veces el coste medio por empleado, estimación propia: 302,6 M de gastos de personal entre 3.305 empleados). El informe de remuneraciones se aprobó con el 96,71 % y la retribución variable con el 97,35 % [15].</w:t>
      </w:r>
    </w:p>
    <w:p>
      <w:pPr>
        <w:pStyle w:val="Heading2"/>
      </w:pPr>
      <w:r>
        <w:t xml:space="preserve">Operaciones vinculadas, estructura de control y defensas</w:t>
      </w:r>
    </w:p>
    <w:p>
      <w:pPr>
        <w:spacing w:after="100"/>
      </w:pPr>
      <w:r>
        <w:t xml:space="preserve">No hay accionista de control: el mayor es UBS Fund Management (9,6 %) y el grupo del MBO de 2002 suma el 8,7 % [1]. Los estatutos limitan el registro con voto al 5 % del capital por accionista (el consejo puede hacer excepciones): UBS vota solo con el 5 % [1]. Una sola clase de acciones (3,4 M de 2,50 CHF). Mayoría de dos tercios para cambiar estatutos; obligación de OPA al 33⅓ % sin exclusión ni elevación [1]. No hay operaciones vinculadas relevantes. La directora de recursos humanos (Vanessa Valentin) pertenece a la familia del grupo del MBO (dato del informe anual no comprobado más allá del apellido).</w:t>
      </w:r>
    </w:p>
    <w:p>
      <w:pPr>
        <w:pStyle w:val="Heading2"/>
      </w:pPr>
      <w:r>
        <w:t xml:space="preserve">Señales de alerta</w:t>
      </w:r>
    </w:p>
    <w:p>
      <w:pPr>
        <w:pStyle w:val="ListParagraph"/>
        <w:numPr>
          <w:ilvl w:val="0"/>
          <w:numId w:val="2"/>
        </w:numPr>
        <w:spacing w:after="60"/>
      </w:pPr>
      <w:r>
        <w:t xml:space="preserve">Límite estatutario de voto del 5 % por accionista (blindaje frente a una toma de control).</w:t>
      </w:r>
    </w:p>
    <w:p>
      <w:pPr>
        <w:pStyle w:val="ListParagraph"/>
        <w:numPr>
          <w:ilvl w:val="0"/>
          <w:numId w:val="2"/>
        </w:numPr>
        <w:spacing w:after="60"/>
      </w:pPr>
      <w:r>
        <w:t xml:space="preserve">Rotación de la cúpula: presidente (dic-2025), presidente de Services (abr-2026) y presidente de Systems (nov-2026).</w:t>
      </w:r>
    </w:p>
    <w:p>
      <w:pPr>
        <w:pStyle w:val="ListParagraph"/>
        <w:numPr>
          <w:ilvl w:val="0"/>
          <w:numId w:val="2"/>
        </w:numPr>
        <w:spacing w:after="60"/>
      </w:pPr>
      <w:r>
        <w:t xml:space="preserve">El 7,34 % votó en contra del informe de sostenibilidad en la junta de 2026 [15].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FY2026 (abr-26 a mar-27), dada el 4-jun-2026 y confirmada el 19-ago-2026: ventas de 900-1.000 M CHF y margen EBIT de ~12 %, con un segundo semestre más fuerte; supone que Oriente Medio se normaliza en la segunda mitad, el franco estable y la aportación de Fornovo Gas y ACT [6]. El plan a medio plazo (1.200 M de ventas y margen EBIT del 12-15 %, antes para FY2027) queda aplazado: la nueva fecha se dará «cuando mejore la visibilidad»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7 analistas (ejercicio a mar-27) [19]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604,33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485,00 – 700,00</w:t>
            </w:r>
          </w:p>
        </w:tc>
      </w:tr>
    </w:tbl>
    <w:p>
      <w:pPr>
        <w:spacing w:after="160" w:before="0"/>
      </w:pPr>
    </w:p>
    <w:p>
      <w:pPr>
        <w:pStyle w:val="Heading2"/>
      </w:pPr>
      <w:r>
        <w:t xml:space="preserve">Revisiones de estimaciones</w:t>
      </w:r>
    </w:p>
    <w:p>
      <w:pPr>
        <w:spacing w:after="100"/>
      </w:pPr>
      <w:r>
        <w:t xml:space="preserve">Solo hay un proveedor gratuito con estimaciones completas (MarketScreener) [19]. Tras los resultados de junio los analistas bajaron previsiones: el consenso de FY2026 pasó a 26,66 CHF de BPA (−18 % frente al 32,60 de FY2025), en línea con la guía; Berenberg recortó objetivo manteniendo Comprar en septiembre [20]. El consenso no espera volver al BPA de FY2025 hasta FY2029 (30,87 en FY2028). El objetivo medio (604 CHF) está un 24 % por encima del precio; el mínimo (485) coincide con él [20].</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-39,3 %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bajado un 10,3 % en el año y un 14,7 % en 12 meses, frente a +6,5 % y +12,8 % del SMI (de precio) [18]. La caída empezó con los aranceles de EE. UU. (abril de 2025) y se aceleró el 4-jun-2026, cuando bajó un 10-12 % en la sesión por la caída de pedidos y el aplazamiento del plan 2027 [29, 33]; tocó 434,5 CHF en julio y rebotó a 511 en septiembre antes de volver a 486 [18, 31]. A tres años la acción está plana (−0,5 % anual) mientras el BPA pasó de 24,98 a 32,60: el múltiplo se ha comprimido de 23 a 15 veces el beneficio. Beta de 0,96 (mensual, cinco años) frente al SMI y volatilidad del 29,8 % [18].</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PER de los últimos 12 meses, la acción cotiza a 14,9 veces frente a una media de 23,4 veces en sus seis cierres de ejercicio (percentil 17) y a 9,4 veces el EBITDA frente a 14,4 veces [18]. El descuento es menor con el PER adelantado (el que usa la regla): 17,1 veces nuestro BPA de FY2027e frente a una mediana de 18,4 veces en cinco años, porque el beneficio de FY2026 caerá un 21 %. Lo estructural: el mercado pagó 22-24 veces en 2022-2023 con el ciclo de GNL y petroquímica china y ahora descuenta que FY2025 fue el pico.</w:t>
      </w:r>
    </w:p>
    <w:p>
      <w:pPr>
        <w:pStyle w:val="Heading1"/>
      </w:pPr>
      <w:r>
        <w:t xml:space="preserve">18. Comparables cotizados</w:t>
      </w:r>
    </w:p>
    <w:p>
      <w:pPr>
        <w:pStyle w:val="Confianza"/>
        <w:spacing w:after="100"/>
      </w:pPr>
      <w:r>
        <w:t xml:space="preserve">Confianza: Media</w:t>
      </w:r>
    </w:p>
    <w:p>
      <w:pPr>
        <w:spacing w:after="100"/>
      </w:pPr>
      <w:r>
        <w:t xml:space="preserve">Diez fabricantes cotizados de compresores y equipos de proceso para energía y gas: los grandes de compresores (Atlas Copco, Ingersoll Rand, Baker Hughes, Siemens Energy con Dresser-Rand), los de bombas y equipos de proceso con negocio marino (Sulzer, Wärtsilä, Alfa Laval), Dover (Cook Compression, recambios de pistón) y dos de compresión de gas más pequeños (Kirloskar Pneumatic, Enerflex). No hay un comparable puro que cotice: Ariel y Hanwha Power Systems no cotizan aparte. Cifras de Yahoo Finance del 15-oct-2026 en CHF [12]; ingresos de los competidores de la sección 4 pasados con el BCE del 14-oct [27]; los estadounidenses publican BPA ajustado (su PER está 1-3 puntos por debajo en base contable).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Burckhardt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Atlas Copco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Ingersoll Rand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Dover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Sulzer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Wärtsilä</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Alfa Laval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Baker Hughes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Kirloskar Pneumatic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Enerflex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 / 15,6x / 17,6x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604,86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884,88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 / 20,0x / 22,3x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620,42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 / 2,9x / 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1.304,74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Burckhardt cotiza con descuento a todos los comparables: 17,5 veces el BPA de los próximos 12 meses frente a una mediana de 20,0 veces y 9,4 veces el EBITDA frente a 15,6 veces, con un ROIC muy superior (43,1 % frente al 14,1 %) [12]. El descuento se explica por el crecimiento (consenso de −8,6 % en FY2026e frente al +7,3 % de la mediana), el tamaño y la exposición a China. Los más parecidos por ciclo (Sulzer 15,6x, Enerflex 12,5x, Baker Hughes 18,7x) están en la parte baja; los de más servicio (Atlas Copco 26,2x) en la alta (ficha sectorial [34]). Usaríamos el PER, que da 476-620 CHF; el EV/EBITDA sobrevalora a Burckhardt porque su margen EBITDA (15,4 %) está por debajo de la mediana (19,5 %).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Howden (compresores y ventiladores de proceso)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Chart Industries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12 meses a ago-2022; 8,5 veces con 175 M USD de sinergias [21].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Howden (Air &amp; Gas Handling de Colfax)</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KPS Capital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1.800 M USD entre ~200 M de EBITDA ajustado de 12 meses publicado por Colfax [22].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Chart Industries (equipos criogénicos, compresores Howden)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Baker Hughes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veces el EBITDA 2025e de consenso con 325 M USD de sinergias de costes; sin sinergias sería más alto (no publicado) [23].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Exterran (compresión de gas en alquiler y equipos)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Enerflex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Excluida: empresa en dificultades, modelo de alquiler y múltiplo con sinergias [24].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9,0x (9,0x – 11,0x)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467,26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467,26 – 561,41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de fabricantes de compresores de proceso se han pagado a 9-13 veces el EBITDA de 12 meses (Howden por KPS en 2019, 9,0x; Howden por Chart en 2022, 12,9x) y Chart a ~9 veces con sinergias en 2025 [21, 22, 23]. Aplicadas a Burckhardt dan 467-561 CHF, por debajo de nuestro DCF, porque su EBITDA es de pico y el margen menor que el de Howden. Burckhardt es objetivo poco probable: los estatutos limitan el voto al 5 % por accionista y no hay accionista de control con quien negociar.</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−9 %: la guía es de 900-1.000 M (punto medio 950, −10 %) más Fornovo Gas (~40 M al año, desde julio) y ACT [6, 9]; el consenso espera 966 M [19]. FY2027e +2 %: los pedidos de FY2025 (784 M, relación pedidos/ventas de 0,74) no dan para más con la cartera normalizada [6]. Desde FY2028e, 5 %, 5 %, 4 %, 3 % y 2 %: por debajo del 9,9 % anual de FY2020-FY2025 y algo por encima del 3,8 % previsto para el mercado [11], porque Services crece con la base instalada marina. El consenso de FY2028e (1.004 M) queda un 2,5 % por debajo de nuestros 1.030 M [19].</w:t>
      </w:r>
    </w:p>
    <w:p>
      <w:pPr>
        <w:keepNext/>
        <w:spacing w:after="100"/>
      </w:pPr>
      <w:r>
        <w:rPr>
          <w:b/>
          <w:bCs/>
        </w:rPr>
        <w:t xml:space="preserve">Márgenes.</w:t>
      </w:r>
    </w:p>
    <w:p>
      <w:pPr>
        <w:spacing w:after="100"/>
      </w:pPr>
      <w:r>
        <w:t xml:space="preserve">Margen EBITDA del 14,0 % en FY2026e (EBIT ~11,8 %, en la guía de ~12 % con 3 M de reestructuración) [6, 8], 15,0 % en FY2027e con el ahorro de ~20 M al año de la reestructuración (unos 2 puntos, parte para compensar menos volumen) [8] y 15,5-16,0 % desde FY2028e, frente al 15,4 % de FY2025 y el 14,9 % de FY2024. El consenso da 14,4 % y 15,6 % en FY2026e-FY2027e [19]. No suponemos el 12-15 % de margen EBIT del plan aplazado en su parte alta.</w:t>
      </w:r>
    </w:p>
    <w:p>
      <w:pPr>
        <w:keepNext/>
        <w:spacing w:after="100"/>
      </w:pPr>
      <w:r>
        <w:rPr>
          <w:b/>
          <w:bCs/>
        </w:rPr>
        <w:t xml:space="preserve">Inversión y circulante.</w:t>
      </w:r>
    </w:p>
    <w:p>
      <w:pPr>
        <w:spacing w:after="100"/>
      </w:pPr>
      <w:r>
        <w:t xml:space="preserve">Capex del 2,8 % de las ventas en FY2026e (fábrica de recambios de Vadodara) y 2,4-2,6 % después, frente al 2,2 % medio de FY2020-FY2025 y una amortización del 2,2 % [1, 6]. Circulante neto de anticipos al 19 %, 20 % y 21 % de las ventas: FY2025 (17,4 %) fue un mínimo tras cobrar 100 M de clientes, y con menos pedidos bajan los anticipos (23,4 % en FY2024, 33,1 % en FY2023) [1].</w:t>
      </w:r>
    </w:p>
    <w:p>
      <w:pPr>
        <w:keepNext/>
        <w:spacing w:after="100"/>
      </w:pPr>
      <w:r>
        <w:rPr>
          <w:b/>
          <w:bCs/>
        </w:rPr>
        <w:t xml:space="preserve">Coste del capital.</w:t>
      </w:r>
    </w:p>
    <w:p>
      <w:pPr>
        <w:spacing w:after="100"/>
      </w:pPr>
      <w:r>
        <w:t xml:space="preserve">Tasa libre: bono de la Confederación a 10 años, 0,54 % [25]. Beta 0,95: mensual de cinco años frente al SMI de 0,96 y semanal de dos años de 0,75 [18]. Prima de mercado del 5,5 % y prima adicional de 1,5 puntos por tamaño (1.639 M de capitalización), ciclo de pedidos y concentración en China (41 % de las ventas) [1]. Coste de la deuda del 1,8 % (bono de 150 M a 2028) y peso de la deuda del 9 % a valor de mercado. WACC resultante: 6,74 %.</w:t>
      </w:r>
    </w:p>
    <w:p>
      <w:pPr>
        <w:keepNext/>
        <w:spacing w:after="100"/>
      </w:pPr>
      <w:r>
        <w:rPr>
          <w:b/>
          <w:bCs/>
        </w:rPr>
        <w:t xml:space="preserve">Valor terminal.</w:t>
      </w:r>
    </w:p>
    <w:p>
      <w:pPr>
        <w:spacing w:after="100"/>
      </w:pPr>
      <w:r>
        <w:t xml:space="preserve">Gordon con crecimiento del 1,0 % en francos, el mismo que usan los informes suizos del repositorio con un bono al 0,54 %; el valor terminal pesa un 73 % del DCF. El múltiplo implícito, 11,2 veces el EBITDA, está por debajo de la mediana de los comparables (15,6x) y cerca del EV/EBITDA actual (9,4x), así que no es exigente.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598,86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574,02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748,46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M (11 %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 (reinvierte el 32 %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 frente al 1,7 %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85 M, el 11 % del NOPAT, con un capex bruto medio del 2,5 % de las ventas). En un negocio de activos ligeros, el crecimiento medio del 1,7 %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−13,5 %: cartera menor tras pedidos −32 % y guía de 900-1.000 M [6]; precio +2 % (repercusión de aranceles y costes en Services) [7]; otros +2,5 % por Fornovo Gas y ACT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−0,5 %: pedidos estabilizados a niveles de FY2025; precio +2 %; otros +0,5 % (Fornovo año completo).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vuelta de petroquímica y GNL aplazados y crecimiento de la base instalada marina; precio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y precio +2 %, en línea con el mercado (3,8 %) más algo de cuota en servicio de otras marcas [10,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+2 % y precio +2 %.</w:t>
            </w:r>
          </w:p>
        </w:tc>
      </w:tr>
    </w:tbl>
    <w:p>
      <w:pPr>
        <w:spacing w:after="160" w:before="0"/>
      </w:pPr>
    </w:p>
    <w:p>
      <w:pPr>
        <w:spacing w:after="100"/>
      </w:pPr>
      <w:r>
        <w:t xml:space="preserve">Sí. La proyección crece un 1,7 % anual de media, muy por debajo del 9,9 % de FY2020-FY2025 y del 13,8 % que podría financiar con su ROIC actual (43,1 %) reinvirtiendo lo que proyectamos; la reinversión neta es pequeña (85 M, el 11 % del NOPAT) porque los anticipos de clientes financian el circulante. La prueba que importa en un negocio de activos ligeros es el poder de precios y la cuota: el margen bruto de Systems subió de 19,1 % a 21,1 % con ventas planas y Services mantiene un 24 % de margen EBIT con un 60-70 % de cuota en su base instalada [1, 10]. La cuota implícita no sube (mercado de 5.500-6.500 M que crece un 3,8 %). El riesgo no es de capacidad sino de ciclo, y lo recoge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(FY2026e-FY2032e)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 (base: 1,7 %)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 (base: 16,0 %)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(WACC: 6,7 %)</w:t>
            </w:r>
          </w:p>
        </w:tc>
      </w:tr>
    </w:tbl>
    <w:p>
      <w:pPr>
        <w:spacing w:after="160" w:before="0"/>
      </w:pPr>
    </w:p>
    <w:p>
      <w:pPr>
        <w:spacing w:after="100"/>
      </w:pPr>
      <w:r>
        <w:t xml:space="preserve">El DCF da 598,86 CHF por acción (+23,2 %), con el valor terminal pesando un 73 %. El DCF inverso dice que a 486 CHF el mercado descuenta que las ventas caigan un 3,5 % al año entre FY2026e y FY2032e (nosotros proyectamos +1,7 %), o que el margen EBITDA se quede en el 13,5 % en vez de volver al 16 %; la rentabilidad implícita es del 8,1 % frente a un WACC del 6,74 %. Es una expectativa conservadora: equivale a suponer que FY2026 no es el fondo del ciclo sino el nuevo nivel, con el margen de FY2023. Burckhardt no ha tenido seis años seguidos de caída de ventas desde la salida a bolsa, pero en 2015-2018 sí vivió una caída de pedidos y del margen EBIT hasta el 7,4 %. Con la prima implícita del mercado (4,2 %) el valor sube a 691,72 CHF.</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409,84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Oriente Medio y los aranceles siguen frenando decisiones durante 2027, China mantiene la sobrecapacidad en petroquímica y los astilleros reducen los pedidos de metaneros tras el pico de 2024-2025: FY2027 cae otro 6 % y el margen EBITDA baja al 12 %, como en el ciclo de 2016-2018.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598,86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FY2026 (962 M, margen EBIT ~11,8 %), los pedidos tocan fondo en el primer semestre de FY2026 y el ahorro de la reestructuración sostiene el margen en FY2027; desde FY2028 crece al 5 % con GNL, terminales y la base instalada marina.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698,03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proyectos aplazados de petroquímica y Oriente Medio se firman en 2026-2027, el GNL marino sigue en máximos y Fornovo abre el biogás: ventas de ~1.100 M en FY2028 y margen EBITDA del 16,5 %, cerca del plan aplazado.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CHF) · precio actual 486,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576,40 CHF (+18,6 %).</w:t>
      </w:r>
    </w:p>
    <w:p>
      <w:pPr>
        <w:spacing w:after="100"/>
      </w:pPr>
      <w:r>
        <w:t xml:space="preserve">La asimetría es favorable: el alcista vale 698,03 CHF (+43,6 %) y el bajista 409,84 (−15,7 %), 2,78 veces más ganancia que pérdida. El bajista es verosímil y ya ocurrió: en FY2016-FY2018 el margen EBIT bajó al 7,4 % y el BPA a 8,15 CHF. Aun así, la caja neta (111 M) y el servicio (la mitad del EBIT) ponen un suelo que en 2016-2018 la empresa no tenía tan alto: Services pesaba entonces menos de un tercio del beneficio. Lo que no compensa la asimetría es el plazo: el valor del base llega solo si los pedidos tocan fondo en los próximos dos semestres.</w:t>
      </w:r>
    </w:p>
    <w:p>
      <w:pPr>
        <w:pStyle w:val="Heading1"/>
      </w:pPr>
      <w:r>
        <w:t xml:space="preserve">22. Suma de partes</w:t>
      </w:r>
    </w:p>
    <w:p>
      <w:pPr>
        <w:pStyle w:val="Confianza"/>
        <w:spacing w:after="100"/>
      </w:pPr>
      <w:r>
        <w:t xml:space="preserve">Confianza: Media</w:t>
      </w:r>
    </w:p>
    <w:p>
      <w:pPr>
        <w:spacing w:after="100"/>
      </w:pPr>
      <w:r>
        <w:t xml:space="preserve">No aplica: Systems y Services comparten base instalada, fábricas y clientes, y Services vive de las máquinas que vende Systems; valorarlas por separado (Services a múltiplos de servicio industrial) exageraría el valor de una parte que no existe sin la otra.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CHF) · precio actual 486,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561,41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698,03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488,43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581,39 CHF (+19,6 % sobre 486,00).</w:t>
      </w:r>
    </w:p>
    <w:p>
      <w:pPr>
        <w:spacing w:after="100"/>
      </w:pPr>
      <w:r>
        <w:t xml:space="preserve">Pesamos el DCF (40 %) y los escenarios (40 %) porque recogen el ciclo de pedidos y la conversión en caja, y los comparables al 20 % porque ninguno es un fabricante puro de compresores de pistón: los grandes (Atlas Copco, Ingersoll Rand) tienen más servicio y menos ciclo y cotizan a 20-26 veces. Las transacciones (9-12,9 veces el EBITDA, con prima de control) no pesan: el límite de voto del 5 % y la ausencia de accionista de control hacen poco probable una opa. La dispersión es amplia: el PER de los comparables da 476-620 CHF, el EV/EBITDA 605-885 CHF (sesgado por su mayor margen) y las transacciones 467-561 CHF. El DCF (598,86) cae en medio; la síntesis da 581,39 CHF.</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326,32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(17.1x) a mitad de camino hacia la mediana de 5 años (18.4x)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550,82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737,13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+55,4 %</w:t>
            </w:r>
          </w:p>
        </w:tc>
      </w:tr>
    </w:tbl>
    <w:p>
      <w:pPr>
        <w:spacing w:after="160" w:before="0"/>
      </w:pPr>
    </w:p>
    <w:p>
      <w:pPr>
        <w:spacing w:after="100"/>
      </w:pPr>
      <w:r>
        <w:rPr>
          <w:b/>
          <w:bCs/>
        </w:rPr>
        <w:t xml:space="preserve">Objetivo a 12 meses (ponderado):</w:t>
      </w:r>
      <w:r>
        <w:t xml:space="preserve"> 541,27 CHF · rentabilidad +15,1 % (base +17,0 %) · señal Comprar.</w:t>
      </w:r>
    </w:p>
    <w:p>
      <w:pPr>
        <w:spacing w:after="100"/>
      </w:pPr>
      <w:r>
        <w:t xml:space="preserve">Para comparar, con la regla v2 (historia al cierre, mismo precio): 14,5x / 17,1x / 22,2x, 16,3 %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FY2028e (31,12 CHF) está un 0,8 % por encima del consenso (30,87) y el de FY2027e (28,47) un 1,1 % por debajo (28,80): coincidimos en el ciclo. La diferencia está en el múltiplo: el objetivo medio de los analistas (604,33) supone unos 19-20 veces el BPA de FY2027e-FY2028e, cerca de la mediana de los comparables, mientras que la regla común da 17,7x (el PER actual de 17,1x a mitad de camino hacia su mediana adelantada de 18,4x). Por eso nuestro base (550,82) queda un 8,9 % por debajo del objetivo medio.</w:t>
      </w:r>
    </w:p>
    <w:p>
      <w:pPr>
        <w:keepNext/>
        <w:spacing w:after="100"/>
      </w:pPr>
      <w:r>
        <w:rPr>
          <w:b/>
          <w:bCs/>
        </w:rPr>
        <w:t xml:space="preserve">Del valor intrínseco al objetivo a 12 meses.</w:t>
      </w:r>
    </w:p>
    <w:p>
      <w:pPr>
        <w:spacing w:after="100"/>
      </w:pPr>
      <w:r>
        <w:t xml:space="preserve">El objetivo a 12 meses (541,27 CHF) queda un 7 % por debajo del valor intrínseco (581,39) y del DCF (598,86): la distancia es pequeña porque el mercado ya paga un múltiplo cercano a su historia y lo que falta es el beneficio. Para cerrarla hace falta que los pedidos toquen fondo en el primer semestre de FY2026 (resultados del 3-nov-2026) y que el ahorro de 20 M de la reestructuración se vea en FY2027. Si los pedidos del semestre siguen por debajo de 400 M, el BPA de FY2028e se acerca al bajista (22,98) y el objetivo cae hacia 326 CHF.</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primer semestre FY2026 (abr-sep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del semestre frente a los 400,7 M del 1S FY2025 y confirmación de la guía (900-1.000 M, margen ~12 %).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Daniel Meier sustituye a Andreas Brautsch al frente de Systems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Continuidad interna; riesgo de ejecución bajo, pero tercer cambio en la cúpula en un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 FY2026 (oct-26 a mar-27)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 de la reestructuración (hasta 220 puestos, ~20 M al año)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 puntos de margen EBIT a ritmo anual desde FY2027.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FY2026 y nueva fecha del plan a medio plazo (1.200 M, 12-15 %)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fija una fecha creíble, el mercado puede volver a pagar la mediana de su PER.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Decisiones de inversión en petroquímica (LDPE/EVA) en China, India y Oriente Medio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proyectos aplazados son la diferencia entre el base y el alcista en Systems.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del bono de 150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paga con caja (263 M a mar-26); sin riesgo de refinanciación.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pedidos de Systems no tocan fondo en FY2026 (petroquímica, Oriente Medio,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−32 % sobre el valor intrínseco (bajista de 409,84 frente a 598,86)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 (la mitad del EBIT), caja neta de 111 M y ahorro de 20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del 1S FY2026 por debajo de 350 M (400,7 M un año antes)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China (41 % de las ventas por destino) y competencia de fabricantes chinos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Geográfico / 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 (estimación propia: −20 % en ventas a China con el margen de Systems)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 en Shenyang; parte de las ventas a China son astilleros que construyen para armadores globales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 China por debajo de 350 M o caída del margen bruto de Systems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ciclo de pedidos de metaneros y gaseros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marina que alimenta Services durante décadas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mundiales de metaneros (Clarksons) y comentarios sobre «Marine» en los resultados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suizo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10 % de subida frente al USD (estimación propia, efecto de conversión con costes locales)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las mismas divisas fuera de Suiza; externalización en la UE (Fit4Growth)</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EUR/CHF por debajo de 0,90 y USD/CHF por debajo de 0,78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Cuentas a cobrar vencidas y proyectos con problemas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 / 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(pérdida del 20 % de las vencidas &gt; 90 días)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Anticipos de clientes; el importe vencido es estable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Vencidas &gt; 90 días por encima del 40 % de los clientes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Rotación de la cúpula en plena caída de pedidos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Sucesiones internas y CFO estable desde 2008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del CEO o del CFO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energética que reduce la demanda de compresores para refino y gas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en el terminal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Hidrógeno, biogás (Fornovo), CCUS, amoniaco: 37 % de los pedidos ya apoyan la transición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pedidos de transición por debajo del 30 %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Inteligencia artificial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 físico crítico; la IA entra en el servicio como oportunidad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con mantenimiento predictivo que capten recambios de su base instalada</w:t>
            </w:r>
          </w:p>
        </w:tc>
      </w:tr>
    </w:tbl>
    <w:p>
      <w:pPr>
        <w:spacing w:after="160" w:before="0"/>
      </w:pPr>
    </w:p>
    <w:p>
      <w:pPr>
        <w:pStyle w:val="Heading2"/>
      </w:pPr>
      <w:r>
        <w:t xml:space="preserve">Pre-mortem</w:t>
      </w:r>
    </w:p>
    <w:p>
      <w:pPr>
        <w:spacing w:after="100"/>
      </w:pPr>
      <w:r>
        <w:t xml:space="preserve">Octubre de 2029: la acción vale 290 CHF y hemos perdido un 40 %. Lo que pasó: los pedidos del primer semestre de FY2026 salieron a 330 M y la dirección rebajó la guía en enero de 2027; Oriente Medio no se normalizó, China aplazó otra vez sus plantas de LDPE y EVA por sobrecapacidad y los astilleros, con la cartera de metaneros llena hasta 2028, dejaron de encargar compresores. FY2027 cerró con 820 M de ventas y un margen EBIT del 9 %, y el franco siguió subiendo. Services aguantó, pero con la utilización baja su margen cayó al 21 %. El mercado, que en 2026 pagaba 17 veces un beneficio de 28 CHF, pagó 13 veces uno de 22 CHF. El indicador que lo anticipaba era la relación pedidos/ventas de Systems: 0,64 en FY2025 y por debajo de 0,8 dos años seguidos, algo que no pasaba desde 2016-2018. También el peso de China, que la empresa no desglosa por división.</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Oportunidad · </w:t>
      </w:r>
      <w:r>
        <w:rPr>
          <w:b/>
          <w:bCs/>
        </w:rPr>
        <w:t xml:space="preserve">Efecto en valor (3-5 años):</w:t>
      </w:r>
      <w:r>
        <w:t xml:space="preserve"> +2 % (estimación propia: más ingresos de servicio digital y algo de eficiencia en ingeniería)</w:t>
      </w:r>
    </w:p>
    <w:p>
      <w:pPr>
        <w:spacing w:after="100"/>
      </w:pPr>
      <w:r>
        <w:t xml:space="preserve">Burckhardt vende máquinas físicas de alta presión y recambios que la IA no sustituye: un compresor de gas de evaporación para un metanero o un hipercompresor de 3.500 bar no tiene alternativa digital. La IA entra por el servicio: la empresa ya integra modelos de IA en UP! Solutions y BC Activate para detectar fallos (hasta el 90 % de fallos mecánicos en pruebas) y lanzó un módulo de inteligencia predictiva en Prognost NT [6]. Eso puede aumentar los ingresos por máquina y fidelizar la base instalada, aunque también ayuda a terceros a mantener máquinas de Burckhardt. Por el lado de la demanda, los centros de datos empujan el consumo de gas en EE. UU., que la empresa ya cita como apoyo de Services [6]. Señal a vigilar: ingresos de servicios digitales y cuota de servicio en su propia base (60-70 %).</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El asunto más material es la exposición a combustibles fósiles: la mayoría de las máquinas se venden para gas natural, GLP, petroquímica y refino; la empresa estima que el 37 % de los pedidos de FY2025 apoya la transición energética (objetivo 40 % en FY2027) [13]. Reducción del 55 % en la intensidad de CO2 (alcances 1 y 2) frente a 2021, por encima del objetivo del 50 %, y 80 % de electricidad renovable [13]. Seguridad laboral: tasa de accidentes con baja de 0,3 (objetivo &lt; 0,7) [13].</w:t>
      </w:r>
    </w:p>
    <w:p>
      <w:pPr>
        <w:pStyle w:val="Heading2"/>
      </w:pPr>
      <w:r>
        <w:t xml:space="preserve">Controversias</w:t>
      </w:r>
    </w:p>
    <w:p>
      <w:pPr>
        <w:spacing w:after="100"/>
      </w:pPr>
      <w:r>
        <w:t xml:space="preserve">No se han encontrado sanciones, litigios relevantes ni incidentes en los últimos tres años en los informes anuales ni en la prensa revisada. La reestructuración de 2026 (hasta 220 puestos, 150 en Winterthur) pasó por consulta con los representantes de los trabajadores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cartera de pedidos en francos a 30-sep-2026 y qué parte se entrega en FY2027?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publica la cartera; es lo que separa el base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a China son astilleros (para armadores globales) y qué parte petroquímica china?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pesa el 41 % de las ventas y los dos negocios tienen ciclos distintos.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ahorro de 20 M llega a FY2027 y cuánto se come la menor utilización de las fábricas?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margen EBIT vuelve al 13 % o se queda en el 12 %.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a medio plazo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tiene que pasar para fijar de nuevo la fecha de los 1.200 M de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catalizador del múltiplo.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caja consumirá la bajada de anticipos de clientes con menos pedidos?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anticipos (285 M) financian el circulante y explican parte del ROIC del 43 %.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proyectos explican que el 36 % de los clientes lleve más de 90 días vencido?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pérdida o disputa en proyectos de China y EE. UU.</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se pagó por Fornovo Gas y qué margen tiene?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compra en una línea de producto nueva; precio no publicado.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(artículo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Reacción a la caída del 10-12 % por los pedidos y el aplazamiento del plan; la ZKB espera un ejercicio «más contenido» y Vontobel ve apoyo a medio plazo por la seguridad energética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Market (NZZ)</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 FY2026 como «año de transición» en pedidos; Reichmuth ve la caída como del mercado y no estructural; el medio ve la bajada como oportunidad a largo plazo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Börse Global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consulta de los 220 despidos; acción a 511 CHF el 8-sep, por encima de su media de 50 días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Investing.com</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caída se atribuye a pedidos −32 % y objetivos aplazados [33].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pedidos y objetivos 2027 aplazados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pedidos de Systems −42 %, pedidos/ventas de 0,74 y guía FY2026 de 900-1.000 M [29, 33].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energética y GNL sostendrán la demanda a medio plazo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Plausible: mayor pedido marino de su historia y terminales de GNL activos; pero el ritmo depende de Oriente Medio y de China [30].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Reestructuración y despidos en Winterthur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Ahorro de ~20 M al año (≈2 puntos de margen) desde FY2027 [31].</w:t>
            </w:r>
          </w:p>
        </w:tc>
      </w:tr>
    </w:tbl>
    <w:p>
      <w:pPr>
        <w:spacing w:after="160" w:before="0"/>
      </w:pPr>
    </w:p>
    <w:p>
      <w:pPr>
        <w:spacing w:after="100"/>
      </w:pPr>
      <w:r>
        <w:t xml:space="preserve">Hay poco debate de particulares: el foro de onvista no tiene mensajes recientes y cash.ch no muestra comentarios; lo que hay son artículos de prensa suiza con citas de analistas [29, 30, 32]. El tono es de decepción por los pedidos pero sin capitulación: la prensa y los analistas describen FY2026 como un año de transición y la acción se recuperó de 445 a 511 CHF en verano antes de volver a 486 [30, 31]. No aporta un riesgo que el informe no recoja; confirma que la tesis depende de que los pedidos toquen fondo en el 1S FY2026 (3-nov-2026).</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21 controles correctos. Fuentes: 34 (19 primarias); citas distintas en el texto: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19,0 % frente a 17,4 % real: genera una variación de circulante de -1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rentabilidad del 23,3 % (&lt; 25 %))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 fuentes (19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 17, 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pedidos en CHF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FY2025 y carta a los accionistas (solo «normalización»); 2) presentación de resultados (gráfico sin cifra); 3) derivarla de pedidos menos ventas no es fiable por divisa y cancelaciones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publicadas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2025 (no cita ratings); 2) web de inversores; 3) búsqueda de MSCI/Sustainalytics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 histórico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CMD 2022 (solo previsión); 2) Mordor (solo 2025-2031); 3) otros informes de mercado con perímetros distintos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operaciones de directivos de la SIX (anónimo: solo cargo e importe); 2) informe anual (participaciones del consejo, sin fechas); 3) prensa suiza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en el capital del CEO y del CFO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remuneraciones FY2025 (tabla de acciones no leída con detalle); 2) informe de gobierno; 3) SIX</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recomendaciones (comprar/mantener/vender)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indicador gráfico); 2) Yahoo Finance; 3) agregadores alemanes (cifras de otra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de los próximos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(no da EBITDA estimado); 2) MarketScreener (de pago por comparable); 3) informes de la ficha sectorial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(ejercicio abr-25 a mar-26): cuenta, balance, flujos y notas (segmentos, impuestos, fondo de comercio teórico, ventas por destino)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Burckhardt Compression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https://www.burckhardtcompression.com/fileadmin/uploads/burckhardt/documents/reports/archive/annual-report-2025-burckhardt-compression-260624-en.pdf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2024 (abr-24 a mar-25; FY2023 reexpresado por el método del grado de avance)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Burckhardt Compression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https://www.burckhardtcompression.com/fileadmin/uploads/burckhardt/documents/reports/archive/annual-report-2024-burckhardt-compression-en.pdf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 (abr-23 a mar-24; columna FY2022)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Burckhardt Compression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https://www.burckhardtcompression.com/fileadmin/uploads/burckhardt/documents/reports/archive/annual-report-2023-burckhardt-compression-en.pdf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 (abr-22 a mar-23; segmentos FY2022 y FY2021)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Burckhardt Compression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https://www.burckhardtcompression.com/fileadmin/uploads/burckhardt/documents/reports/archive/annual-report-2022-burckhardt-compression-en.pdf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 (abr-21 a mar-22; columnas FY2021 y FY2020)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Burckhardt Compression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https://www.burckhardtcompression.com/fileadmin/uploads/burckhardt/documents/reports/archive/annual-report-2021-burckhardt-compression-en.pdf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Results Fiscal Year 2025, presentación (4-jun-2026): pedidos, guía FY2026, plan a medio plazo aplazado, RONOA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Burckhardt Compression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https://www.burckhardtcompression.com/fileadmin/uploads/burckhardt/documents/reports/archive/annual-results-2025-presentation-burckhardt-compression-en.pdf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First-Half Results for Fiscal Year 2025 (abr-sep 2025; 1S FY2024 reexpresado)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Burckhardt Compression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https://www.burckhardtcompression.com/fileadmin/uploads/burckhardt/documents/reports/archive/half-year-results-2025-burckhardt-compression-en.pdf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medidas de reestructuración (hasta 220 puestos, ahorro ~20 M CHF/año, coste ~3 M en el 1S FY2026) y guía FY2026 confirmada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Burckhardt Compression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https://www.burckhardtcompression.com/about/news-stories-and-whitepapers/article/burckhardt-compression-announces-restructuring-measures-to-adapt-to-the-current-market-conditions-guidance-for-fiscal-year-2026-confirmed/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Burckhardt Compression completes the acquisition of Fornovo Gas (14-jul-2026)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Burckhardt Compression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https://www.burckhardtcompression.com/about/news-stories-and-whitepapers/article/burckhardt-compression-completes-the-acquisition-of-fornovo-gas/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2022, presentación (plan a medio plazo, mercado de servicio, cuotas)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Burckhardt Compression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https://www.burckhardtcompression.com/fileadmin/uploads/burckhardt/documents/reports/archive/capital-market-day-2022-presentation-burckhardt-compression-en.pdf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Reciprocating Compressors Market: 4,68 mil M USD en 2025, 4,88 en 2026, 5,89 en 2031 (+3,84 % anual); los cinco primeros, 35-40 %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Mordor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https://www.mordorintelligence.com/industry-reports/reciprocating-compressors-market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datos de cuentas y mercado de Atlas Copco, Ingersoll Rand, Dover, Sulzer, Wärtsilä, Alfa Laval, Baker Hughes, Siemens Energy, Kirloskar Pneumatic y Enerflex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Sustainability Report / informe anual 2025: objetivos de sostenibilidad e intensidad de CO2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Burckhardt Compression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https://www.burckhardtcompression.com/fileadmin/uploads/burckhardt/documents/sustainability/sustainability-report-2025-burckhardt-compression-en.pdf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Burckhardt Compression (historia: Sulzer, salida a bolsa de 2006)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https://en.wikipedia.org/wiki/Burckhardt_Compression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Protokoll der Generalversammlung 2026 (votaciones del 3-jul-2026)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Burckhardt Compression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https://www.burckhardtcompression.com/fileadmin/uploads/burckhardt/documents/agm/generalversammlung-2026-protokoll-geschaeftsjahr-2025-de.pdf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Burckhardt Compression announces leadership transition in Systems Division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Burckhardt Compression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https://www.burckhardtcompression.com/about/news-stories-and-whitepapers/article/burckhardt-compression-announces-leadership-transition-in-systems-division/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2026 approves all proposals (comisiones del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Burckhardt Compression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https://www.burckhardtcompression.com/about/news-stories-and-whitepapers/article/annual-general-meeting-2026-of-burckhardt-compression-holding-ag-approves-all-proposals-of-the-board-of-directors/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de BCHN.SW, ^SSMI y CHSPI.SW hasta el 13-oct-2026 (rango, volumen, rentabilidades, beta,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https://finance.yahoo.com/quote/BCHN.SW/history/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Burckhardt Compression Holding AG: estimaciones anuales FY2026-FY2028 (ejercicios a marzo de 2027-2029) y consenso de 7 analistas («Outperform», objetivo medio 604,33 CHF, mínimo 485, máximo 700; último cierre 486,00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https://www.marketscreener.com/quote/stock/BURCKHARDT-COMPRESSION-HO-183854/finances/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Burckhardt Compression: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https://www.marketscreener.com/quote/stock/BURCKHARDT-COMPRESSION-HO-183854/consensus/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 Industries, Inc. to Acquire Howden (8-K, Ex. 99.1): 4.400 M USD, 12,9 veces el EBITDA ajustado de 12 meses a ago-2022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 Industries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https://www.sec.gov/Archives/edgar/data/892553/000119312522280686/d411515dex991.htm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Colfax to sell Air &amp; Gas Handling (Howden) to KPS for 1.800 M USD; EBITDA ajustado de 12 meses ~200 M USD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Colfax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https://www.sec.gov/Archives/edgar/data/1420800/000119312519150551/d746282dex991.htm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Baker Hughes to Acquire Chart Industries: 210 USD por acción, valor empresa 13.600 M USD, ~9 veces el EBITDA 2025e con sinergias (8-K,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Baker Hughes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https://www.sec.gov/Archives/edgar/data/1701605/000119312525167118/d912206dex992.htm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Enerflex Ltd. and Exterran Corporation to Combine: 735 M USD, 3,6 veces el EBITDA 2022e con sinergias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Enerflex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https://investors.enerflex.com/news-releases/news-release-details/enerflex-ltd-and-exterran-corporation-combine-creating-premier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 Bond Yield: bono de la Confederación a 10 años al 0,54 %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https://tradingeconomics.com/switzerland/government-bond-yield/news/590510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BCE, 14-oct-2026 (0,9330 CHF por EUR; 1,1195 USD por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cotizaciones de 30 minutos de BCHN.SW del 14 y 15-oct-2026 (último tramo del 14-oct a 487,5; 15-oct a 473-474,5 en la apertura)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https://query1.finance.yahoo.com/v8/finance/chart/BCHN.SW?range=5d&amp;interval=30m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Auftragseinbruch und Mittelfristziele: Geopolitik belastet Burckhardt-Aktie stark (artículo y comentarios de lectores)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https://www.cash.ch/news/top-news/burckhardt-compression-enttauscht-mit-auftragsflaute-borse-reagiert-mit-kurssturz-942669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Geopolitik zwingt Burckhardt Compression in ein Übergangsjahr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Market (NZZ)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https://themarket.ch/unternehmen/zoelle-und-irankrieg-setzen-burckhardt-compression-zu-ld.16932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Burckhardt Compression Aktie: Konsultation endet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https://www.boerse-global.de/burckhardt-compression-aktie-konsultation-endet/826047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la acción Burckhardt Compression (CH0025536027)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onvista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https://www.onvista.de/aktien/BURCKHARDT-COMPRESSION-HOLDING-AG-Aktie-CH0025536027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Burckhardt Compression shares fall 10% on delayed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https://uk.investing.com/news/stock-market-news/burckhardt-compression-shares-fall-10-on-delayed-targets-93CH-4713357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corta: compresores de proceso (sectores/compresores-2026-10-15.md)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sectores/compresores-2026-10-15.md</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88,9 %</w:t>
      </w:r>
      <w:r>
        <w:t xml:space="preserve"> · Secciones con menos del 60 % de campos cubiertos: </w:t>
      </w:r>
      <w:r>
        <w:rPr>
          <w:b/>
          <w:bCs/>
        </w:rPr>
        <w:t xml:space="preserve">ninguna</w:t>
      </w:r>
      <w:r>
        <w:t xml:space="preserve"> · Generado el 15 oct 2026.</w:t>
      </w:r>
    </w:p>
    <w:p>
      <w:pPr>
        <w:pStyle w:val="Nota"/>
        <w:spacing w:after="100"/>
      </w:pPr>
      <w:r>
        <w:t xml:space="preserve">Una sola línea cotizada (BCHN, SIX). Cuentas en Swiss GAAP FER, no en NIIF: el fondo de comercio se compensa con el patrimonio y no hay NIIF 16 (los alquileres están en el EBITDA y no hay pasivos por arrendamiento). Suiza no tiene XBRL público: las cifras salen de los informes anuales en PDF (FY2020-FY2025). Ejercicio de abril a marzo con la etiqueta de la empresa («FY2025» = abr-25 a mar-26). FY2023 está reexpresado por el cambio al grado de avance; FY2020-FY2022 no, y no son del todo comparables. Precio: cierre del 14-oct-2026 (486,00 CHF, último cierre de MarketScreener; Yahoo no tiene el cierre del 14-oct y su último tramo de 30 minutos fue 487,5); el 15-oct abrió a 473-474,5 (−2,4 %). Las rentabilidades de la sección de bolsa son de precio y se calculan al cierre del 13-oct (490,50). Consenso de un solo proveedor gratuito (MarketScreener, 7 analistas). Comparables de Yahoo Finance en CHF al cambio del día; EV/EBITDA de los próximos 12 meses no disponible.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Burckhardt Compression Holding AG (BCHN)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486,00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(434,50 – 595,00)</c:v>
                </c:pt>
                <c:pt idx="1">
                  <c:v>Precio objetivo de los analistas (485,00 – 700,00)</c:v>
                </c:pt>
                <c:pt idx="2">
                  <c:v>Comparables: PER NTM (476,44 – 620,42)</c:v>
                </c:pt>
                <c:pt idx="3">
                  <c:v>Transacciones precedentes (EV/EBITDA) (467,26 – 561,41)</c:v>
                </c:pt>
                <c:pt idx="4">
                  <c:v>DCF (WACC y g ± 0,5) (523,40 – 705,93)</c:v>
                </c:pt>
                <c:pt idx="5">
                  <c:v>Escenarios (bajista – alcista) (409,84 – 698,03)</c:v>
                </c:pt>
                <c:pt idx="6">
                  <c:v>DCF con la prima implícita del mercado (4,2 %)</c:v>
                </c:pt>
                <c:pt idx="7">
                  <c:v>Precio actual (486,00)</c:v>
                </c:pt>
              </c:strCache>
            </c:strRef>
          </c:cat>
          <c:val>
            <c:numRef>
              <c:f>Hoja1!$B$2:$B$9</c:f>
              <c:numCache>
                <c:formatCode>#,##0</c:formatCode>
                <c:ptCount val="8"/>
                <c:pt idx="0">
                  <c:v>434.5</c:v>
                </c:pt>
                <c:pt idx="1">
                  <c:v>485</c:v>
                </c:pt>
                <c:pt idx="2">
                  <c:v>476.44</c:v>
                </c:pt>
                <c:pt idx="3">
                  <c:v>467.26</c:v>
                </c:pt>
                <c:pt idx="4">
                  <c:v>523.4</c:v>
                </c:pt>
                <c:pt idx="5">
                  <c:v>409.84</c:v>
                </c:pt>
                <c:pt idx="6">
                  <c:v>669.84</c:v>
                </c:pt>
                <c:pt idx="7">
                  <c:v>483.57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(434,50 – 595,00)</c:v>
                </c:pt>
                <c:pt idx="1">
                  <c:v>Precio objetivo de los analistas (485,00 – 700,00)</c:v>
                </c:pt>
                <c:pt idx="2">
                  <c:v>Comparables: PER NTM (476,44 – 620,42)</c:v>
                </c:pt>
                <c:pt idx="3">
                  <c:v>Transacciones precedentes (EV/EBITDA) (467,26 – 561,41)</c:v>
                </c:pt>
                <c:pt idx="4">
                  <c:v>DCF (WACC y g ± 0,5) (523,40 – 705,93)</c:v>
                </c:pt>
                <c:pt idx="5">
                  <c:v>Escenarios (bajista – alcista) (409,84 – 698,03)</c:v>
                </c:pt>
                <c:pt idx="6">
                  <c:v>DCF con la prima implícita del mercado (4,2 %)</c:v>
                </c:pt>
                <c:pt idx="7">
                  <c:v>Precio actual (486,00)</c:v>
                </c:pt>
              </c:strCache>
            </c:strRef>
          </c:cat>
          <c:val>
            <c:numRef>
              <c:f>Hoja1!$C$2:$C$9</c:f>
              <c:numCache>
                <c:formatCode>#,##0</c:formatCode>
                <c:ptCount val="8"/>
                <c:pt idx="0">
                  <c:v>160.5</c:v>
                </c:pt>
                <c:pt idx="1">
                  <c:v>215</c:v>
                </c:pt>
                <c:pt idx="2">
                  <c:v>143.97999999999996</c:v>
                </c:pt>
                <c:pt idx="3">
                  <c:v>94.14999999999998</c:v>
                </c:pt>
                <c:pt idx="4">
                  <c:v>182.52999999999997</c:v>
                </c:pt>
                <c:pt idx="5">
                  <c:v>288.19</c:v>
                </c:pt>
                <c:pt idx="6">
                  <c:v>159.05999999999995</c:v>
                </c:pt>
                <c:pt idx="7">
                  <c:v>4.860000000000014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Systems (compresores nuevos)</c:v>
                </c:pt>
              </c:strCache>
            </c:strRef>
          </c:tx>
          <c:spPr>
            <a:solidFill>
              <a:srgbClr val="2A78D6"/>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Hoja1!$B$2:$B$7</c:f>
              <c:numCache>
                <c:formatCode>#,##0</c:formatCode>
                <c:ptCount val="6"/>
                <c:pt idx="0">
                  <c:v>409.8</c:v>
                </c:pt>
                <c:pt idx="1">
                  <c:v>372.7</c:v>
                </c:pt>
                <c:pt idx="2">
                  <c:v>489.7</c:v>
                </c:pt>
                <c:pt idx="3">
                  <c:v>633.6</c:v>
                </c:pt>
                <c:pt idx="4">
                  <c:v>748.8</c:v>
                </c:pt>
                <c:pt idx="5">
                  <c:v>738.6</c:v>
                </c:pt>
              </c:numCache>
            </c:numRef>
          </c:val>
        </c:ser>
        <c:ser>
          <c:idx val="1"/>
          <c:order val="1"/>
          <c:tx>
            <c:strRef>
              <c:f>Hoja1!$C$1</c:f>
              <c:strCache>
                <c:ptCount val="1"/>
                <c:pt idx="0">
                  <c:v>Services (recambios y servicio)</c:v>
                </c:pt>
              </c:strCache>
            </c:strRef>
          </c:tx>
          <c:spPr>
            <a:solidFill>
              <a:srgbClr val="EB6834"/>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Hoja1!$C$2:$C$7</c:f>
              <c:numCache>
                <c:formatCode>#,##0</c:formatCode>
                <c:ptCount val="6"/>
                <c:pt idx="0">
                  <c:v>248.8</c:v>
                </c:pt>
                <c:pt idx="1">
                  <c:v>278</c:v>
                </c:pt>
                <c:pt idx="2">
                  <c:v>340</c:v>
                </c:pt>
                <c:pt idx="3">
                  <c:v>339.2</c:v>
                </c:pt>
                <c:pt idx="4">
                  <c:v>346.8</c:v>
                </c:pt>
                <c:pt idx="5">
                  <c:v>318.5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Systems (compresores nuevos)</c:v>
                </c:pt>
                <c:pt idx="1">
                  <c:v>Services (recambios y servicio)</c:v>
                </c:pt>
              </c:strCache>
            </c:strRef>
          </c:cat>
          <c:val>
            <c:numRef>
              <c:f>Hoja1!$B$2:$B$3</c:f>
              <c:numCache>
                <c:formatCode>General</c:formatCode>
                <c:ptCount val="2"/>
                <c:pt idx="0">
                  <c:v>69.9</c:v>
                </c:pt>
                <c:pt idx="1">
                  <c:v>30.1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China</c:v>
                </c:pt>
                <c:pt idx="1">
                  <c:v>Otros Asia y Australia</c:v>
                </c:pt>
                <c:pt idx="2">
                  <c:v>Europa</c:v>
                </c:pt>
                <c:pt idx="3">
                  <c:v>Oriente Medio</c:v>
                </c:pt>
                <c:pt idx="4">
                  <c:v>Norteamérica</c:v>
                </c:pt>
                <c:pt idx="5">
                  <c:v>África</c:v>
                </c:pt>
                <c:pt idx="6">
                  <c:v>Sudamérica</c:v>
                </c:pt>
              </c:strCache>
            </c:strRef>
          </c:cat>
          <c:val>
            <c:numRef>
              <c:f>Hoja1!$B$2:$B$8</c:f>
              <c:numCache>
                <c:formatCode>0"%"</c:formatCode>
                <c:ptCount val="7"/>
                <c:pt idx="0">
                  <c:v>40.8</c:v>
                </c:pt>
                <c:pt idx="1">
                  <c:v>20.8</c:v>
                </c:pt>
                <c:pt idx="2">
                  <c:v>18.4</c:v>
                </c:pt>
                <c:pt idx="3">
                  <c:v>10.1</c:v>
                </c:pt>
                <c:pt idx="4">
                  <c:v>8.1</c:v>
                </c:pt>
                <c:pt idx="5">
                  <c:v>1</c:v>
                </c:pt>
                <c:pt idx="6">
                  <c:v>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(Mordor Intelligence))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2025</c:v>
                </c:pt>
                <c:pt idx="1">
                  <c:v>2026e</c:v>
                </c:pt>
                <c:pt idx="2">
                  <c:v>2031e</c:v>
                </c:pt>
              </c:strCache>
            </c:strRef>
          </c:cat>
          <c:val>
            <c:numRef>
              <c:f>Hoja1!$B$2:$B$4</c:f>
              <c:numCache>
                <c:formatCode>#,##0</c:formatCode>
                <c:ptCount val="3"/>
                <c:pt idx="0">
                  <c:v>4680</c:v>
                </c:pt>
                <c:pt idx="1">
                  <c:v>4880</c:v>
                </c:pt>
                <c:pt idx="2">
                  <c:v>5890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Burckhardt</c:v>
                </c:pt>
                <c:pt idx="1">
                  <c:v>Atlas Copco (Gas and Process)</c:v>
                </c:pt>
                <c:pt idx="2">
                  <c:v>Baker Hughes (Nuovo Pignone)</c:v>
                </c:pt>
                <c:pt idx="3">
                  <c:v>Siemens Energy (Dresser-Rand)</c:v>
                </c:pt>
                <c:pt idx="4">
                  <c:v>Ingersoll Rand</c:v>
                </c:pt>
                <c:pt idx="5">
                  <c:v>Ariel Corporation</c:v>
                </c:pt>
                <c:pt idx="6">
                  <c:v>Kirloskar Pneumatic</c:v>
                </c:pt>
              </c:strCache>
            </c:strRef>
          </c:cat>
          <c:val>
            <c:numRef>
              <c:f>Hoja1!$B$2:$B$8</c:f>
              <c:numCache>
                <c:formatCode>0.0"%"</c:formatCode>
                <c:ptCount val="7"/>
                <c:pt idx="0">
                  <c:v>13.3</c:v>
                </c:pt>
                <c:pt idx="1">
                  <c:v>20.6</c:v>
                </c:pt>
                <c:pt idx="2">
                  <c:v>13.6</c:v>
                </c:pt>
                <c:pt idx="3">
                  <c:v>10</c:v>
                </c:pt>
                <c:pt idx="4">
                  <c:v>18.5</c:v>
                </c:pt>
                <c:pt idx="6">
                  <c:v>19.4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4</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FY2020</c:v>
                </c:pt>
                <c:pt idx="1">
                  <c:v>FY2021</c:v>
                </c:pt>
                <c:pt idx="2">
                  <c:v>FY2022</c:v>
                </c:pt>
                <c:pt idx="3">
                  <c:v>FY2023</c:v>
                </c:pt>
                <c:pt idx="4">
                  <c:v>FY2024</c:v>
                </c:pt>
                <c:pt idx="5">
                  <c:v>FY2025</c:v>
                </c:pt>
                <c:pt idx="6">
                  <c:v>FY2026e</c:v>
                </c:pt>
                <c:pt idx="7">
                  <c:v>FY2027e</c:v>
                </c:pt>
                <c:pt idx="8">
                  <c:v>FY2028e</c:v>
                </c:pt>
                <c:pt idx="9">
                  <c:v>FY2029e</c:v>
                </c:pt>
                <c:pt idx="10">
                  <c:v>FY2030e</c:v>
                </c:pt>
                <c:pt idx="11">
                  <c:v>FY2031e</c:v>
                </c:pt>
                <c:pt idx="12">
                  <c:v>FY2032e</c:v>
                </c:pt>
              </c:strCache>
            </c:strRef>
          </c:cat>
          <c:val>
            <c:numRef>
              <c:f>Hoja1!$B$2:$B$14</c:f>
              <c:numCache>
                <c:formatCode>#,##0</c:formatCode>
                <c:ptCount val="13"/>
                <c:pt idx="0">
                  <c:v>658.6</c:v>
                </c:pt>
                <c:pt idx="1">
                  <c:v>650.7</c:v>
                </c:pt>
                <c:pt idx="2">
                  <c:v>829.7</c:v>
                </c:pt>
                <c:pt idx="3">
                  <c:v>972.8</c:v>
                </c:pt>
                <c:pt idx="4">
                  <c:v>1095.6</c:v>
                </c:pt>
                <c:pt idx="5">
                  <c:v>1057.1</c:v>
                </c:pt>
                <c:pt idx="6">
                  <c:v>962</c:v>
                </c:pt>
                <c:pt idx="7">
                  <c:v>981</c:v>
                </c:pt>
                <c:pt idx="8">
                  <c:v>1030</c:v>
                </c:pt>
                <c:pt idx="9">
                  <c:v>1082</c:v>
                </c:pt>
                <c:pt idx="10">
                  <c:v>1125</c:v>
                </c:pt>
                <c:pt idx="11">
                  <c:v>1159</c:v>
                </c:pt>
                <c:pt idx="12">
                  <c:v>1182</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FY2020</c:v>
                </c:pt>
                <c:pt idx="1">
                  <c:v>FY2021</c:v>
                </c:pt>
                <c:pt idx="2">
                  <c:v>FY2022</c:v>
                </c:pt>
                <c:pt idx="3">
                  <c:v>FY2023</c:v>
                </c:pt>
                <c:pt idx="4">
                  <c:v>FY2024</c:v>
                </c:pt>
                <c:pt idx="5">
                  <c:v>FY2025</c:v>
                </c:pt>
                <c:pt idx="6">
                  <c:v>FY2026e</c:v>
                </c:pt>
                <c:pt idx="7">
                  <c:v>FY2027e</c:v>
                </c:pt>
                <c:pt idx="8">
                  <c:v>FY2028e</c:v>
                </c:pt>
                <c:pt idx="9">
                  <c:v>FY2029e</c:v>
                </c:pt>
                <c:pt idx="10">
                  <c:v>FY2030e</c:v>
                </c:pt>
                <c:pt idx="11">
                  <c:v>FY2031e</c:v>
                </c:pt>
                <c:pt idx="12">
                  <c:v>FY2032e</c:v>
                </c:pt>
              </c:strCache>
            </c:strRef>
          </c:cat>
          <c:val>
            <c:numRef>
              <c:f>Hoja1!$C$2:$C$14</c:f>
              <c:numCache>
                <c:formatCode>#,##0</c:formatCode>
                <c:ptCount val="13"/>
                <c:pt idx="0">
                  <c:v>81.9</c:v>
                </c:pt>
                <c:pt idx="1">
                  <c:v>90.3</c:v>
                </c:pt>
                <c:pt idx="2">
                  <c:v>116.7</c:v>
                </c:pt>
                <c:pt idx="3">
                  <c:v>133.2</c:v>
                </c:pt>
                <c:pt idx="4">
                  <c:v>163.4</c:v>
                </c:pt>
                <c:pt idx="5">
                  <c:v>162.8</c:v>
                </c:pt>
                <c:pt idx="6">
                  <c:v>135</c:v>
                </c:pt>
                <c:pt idx="7">
                  <c:v>147</c:v>
                </c:pt>
                <c:pt idx="8">
                  <c:v>160</c:v>
                </c:pt>
                <c:pt idx="9">
                  <c:v>173</c:v>
                </c:pt>
                <c:pt idx="10">
                  <c:v>180</c:v>
                </c:pt>
                <c:pt idx="11">
                  <c:v>185</c:v>
                </c:pt>
                <c:pt idx="12">
                  <c:v>189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Hoja1!$B$2:$B$7</c:f>
              <c:numCache>
                <c:formatCode>0"%"</c:formatCode>
                <c:ptCount val="6"/>
                <c:pt idx="0">
                  <c:v>25.2</c:v>
                </c:pt>
                <c:pt idx="1">
                  <c:v>29.3</c:v>
                </c:pt>
                <c:pt idx="2">
                  <c:v>29.5</c:v>
                </c:pt>
                <c:pt idx="3">
                  <c:v>26.2</c:v>
                </c:pt>
                <c:pt idx="4">
                  <c:v>28</c:v>
                </c:pt>
                <c:pt idx="5">
                  <c:v>28.8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Hoja1!$C$2:$C$7</c:f>
              <c:numCache>
                <c:formatCode>0"%"</c:formatCode>
                <c:ptCount val="6"/>
                <c:pt idx="0">
                  <c:v>12.4</c:v>
                </c:pt>
                <c:pt idx="1">
                  <c:v>13.9</c:v>
                </c:pt>
                <c:pt idx="2">
                  <c:v>14.1</c:v>
                </c:pt>
                <c:pt idx="3">
                  <c:v>13.7</c:v>
                </c:pt>
                <c:pt idx="4">
                  <c:v>14.9</c:v>
                </c:pt>
                <c:pt idx="5">
                  <c:v>15.4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Hoja1!$D$2:$D$7</c:f>
              <c:numCache>
                <c:formatCode>0"%"</c:formatCode>
                <c:ptCount val="6"/>
                <c:pt idx="0">
                  <c:v>9.2</c:v>
                </c:pt>
                <c:pt idx="1">
                  <c:v>10.8</c:v>
                </c:pt>
                <c:pt idx="2">
                  <c:v>11.4</c:v>
                </c:pt>
                <c:pt idx="3">
                  <c:v>11.7</c:v>
                </c:pt>
                <c:pt idx="4">
                  <c:v>12.9</c:v>
                </c:pt>
                <c:pt idx="5">
                  <c:v>13.3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Hoja1!$E$2:$E$7</c:f>
              <c:numCache>
                <c:formatCode>0"%"</c:formatCode>
                <c:ptCount val="6"/>
                <c:pt idx="0">
                  <c:v>6.7</c:v>
                </c:pt>
                <c:pt idx="1">
                  <c:v>7.7</c:v>
                </c:pt>
                <c:pt idx="2">
                  <c:v>8.4</c:v>
                </c:pt>
                <c:pt idx="3">
                  <c:v>8.7</c:v>
                </c:pt>
                <c:pt idx="4">
                  <c:v>9.6</c:v>
                </c:pt>
                <c:pt idx="5">
                  <c:v>10.4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Hoja1!$A$2:$A$5</c:f>
              <c:strCache>
                <c:ptCount val="4"/>
                <c:pt idx="0">
                  <c:v>1S FY24</c:v>
                </c:pt>
                <c:pt idx="1">
                  <c:v>2S FY24</c:v>
                </c:pt>
                <c:pt idx="2">
                  <c:v>1S FY25</c:v>
                </c:pt>
                <c:pt idx="3">
                  <c:v>2S FY25</c:v>
                </c:pt>
              </c:strCache>
            </c:strRef>
          </c:cat>
          <c:val>
            <c:numRef>
              <c:f>Hoja1!$B$2:$B$5</c:f>
              <c:numCache>
                <c:formatCode>0.0"%"</c:formatCode>
                <c:ptCount val="4"/>
                <c:pt idx="2">
                  <c:v>2.8</c:v>
                </c:pt>
                <c:pt idx="3">
                  <c:v>-8.9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Hoja1!$A$2:$A$5</c:f>
              <c:strCache>
                <c:ptCount val="4"/>
                <c:pt idx="0">
                  <c:v>1S FY24</c:v>
                </c:pt>
                <c:pt idx="1">
                  <c:v>2S FY24</c:v>
                </c:pt>
                <c:pt idx="2">
                  <c:v>1S FY25</c:v>
                </c:pt>
                <c:pt idx="3">
                  <c:v>2S FY25</c:v>
                </c:pt>
              </c:strCache>
            </c:strRef>
          </c:cat>
          <c:val>
            <c:numRef>
              <c:f>Hoja1!$C$2:$C$5</c:f>
              <c:numCache>
                <c:formatCode>0.0"%"</c:formatCode>
                <c:ptCount val="4"/>
                <c:pt idx="2">
                  <c:v>7.4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Hoja1!$B$2:$B$7</c:f>
              <c:numCache>
                <c:formatCode>0</c:formatCode>
                <c:ptCount val="6"/>
                <c:pt idx="0">
                  <c:v>144</c:v>
                </c:pt>
                <c:pt idx="1">
                  <c:v>145</c:v>
                </c:pt>
                <c:pt idx="2">
                  <c:v>108</c:v>
                </c:pt>
                <c:pt idx="3">
                  <c:v>135</c:v>
                </c:pt>
                <c:pt idx="4">
                  <c:v>119</c:v>
                </c:pt>
                <c:pt idx="5">
                  <c:v>88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Hoja1!$C$2:$C$7</c:f>
              <c:numCache>
                <c:formatCode>0</c:formatCode>
                <c:ptCount val="6"/>
                <c:pt idx="0">
                  <c:v>112</c:v>
                </c:pt>
                <c:pt idx="1">
                  <c:v>153</c:v>
                </c:pt>
                <c:pt idx="2">
                  <c:v>179</c:v>
                </c:pt>
                <c:pt idx="3">
                  <c:v>160</c:v>
                </c:pt>
                <c:pt idx="4">
                  <c:v>139</c:v>
                </c:pt>
                <c:pt idx="5">
                  <c:v>187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Hoja1!$D$2:$D$7</c:f>
              <c:numCache>
                <c:formatCode>0</c:formatCode>
                <c:ptCount val="6"/>
                <c:pt idx="0">
                  <c:v>69</c:v>
                </c:pt>
                <c:pt idx="1">
                  <c:v>77</c:v>
                </c:pt>
                <c:pt idx="2">
                  <c:v>68</c:v>
                </c:pt>
                <c:pt idx="3">
                  <c:v>73</c:v>
                </c:pt>
                <c:pt idx="4">
                  <c:v>69</c:v>
                </c:pt>
                <c:pt idx="5">
                  <c:v>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FY2020</c:v>
                </c:pt>
                <c:pt idx="1">
                  <c:v>FY2021</c:v>
                </c:pt>
                <c:pt idx="2">
                  <c:v>FY2022</c:v>
                </c:pt>
                <c:pt idx="3">
                  <c:v>FY2023</c:v>
                </c:pt>
                <c:pt idx="4">
                  <c:v>FY2024</c:v>
                </c:pt>
                <c:pt idx="5">
                  <c:v>FY2025</c:v>
                </c:pt>
              </c:strCache>
            </c:strRef>
          </c:cat>
          <c:val>
            <c:numRef>
              <c:f>Hoja1!$B$2:$B$7</c:f>
              <c:numCache>
                <c:formatCode>#,##0</c:formatCode>
                <c:ptCount val="6"/>
                <c:pt idx="0">
                  <c:v>111.79999999999998</c:v>
                </c:pt>
                <c:pt idx="1">
                  <c:v>112.00000000000001</c:v>
                </c:pt>
                <c:pt idx="2">
                  <c:v>90.1</c:v>
                </c:pt>
                <c:pt idx="3">
                  <c:v>-4.699999999999999</c:v>
                </c:pt>
                <c:pt idx="4">
                  <c:v>187.4</c:v>
                </c:pt>
                <c:pt idx="5">
                  <c:v>126.5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FY2020</c:v>
                </c:pt>
                <c:pt idx="1">
                  <c:v>FY2021</c:v>
                </c:pt>
                <c:pt idx="2">
                  <c:v>FY2022</c:v>
                </c:pt>
                <c:pt idx="3">
                  <c:v>FY2023</c:v>
                </c:pt>
                <c:pt idx="4">
                  <c:v>FY2024</c:v>
                </c:pt>
                <c:pt idx="5">
                  <c:v>FY2025</c:v>
                </c:pt>
              </c:strCache>
            </c:strRef>
          </c:cat>
          <c:val>
            <c:numRef>
              <c:f>Hoja1!$C$2:$C$7</c:f>
              <c:numCache>
                <c:formatCode>#,##0</c:formatCode>
                <c:ptCount val="6"/>
                <c:pt idx="0">
                  <c:v>44</c:v>
                </c:pt>
                <c:pt idx="1">
                  <c:v>50.2</c:v>
                </c:pt>
                <c:pt idx="2">
                  <c:v>69.9</c:v>
                </c:pt>
                <c:pt idx="3">
                  <c:v>84.4</c:v>
                </c:pt>
                <c:pt idx="4">
                  <c:v>105.6</c:v>
                </c:pt>
                <c:pt idx="5">
                  <c:v>110.1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Hoja1!$B$2:$B$7</c:f>
              <c:numCache>
                <c:formatCode>0"%"</c:formatCode>
                <c:ptCount val="6"/>
                <c:pt idx="0">
                  <c:v>16.1</c:v>
                </c:pt>
                <c:pt idx="1">
                  <c:v>18</c:v>
                </c:pt>
                <c:pt idx="2">
                  <c:v>25.7</c:v>
                </c:pt>
                <c:pt idx="3">
                  <c:v>27.8</c:v>
                </c:pt>
                <c:pt idx="4">
                  <c:v>34.4</c:v>
                </c:pt>
                <c:pt idx="5">
                  <c:v>43.1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Hoja1!$C$2:$C$7</c:f>
              <c:numCache>
                <c:formatCode>0"%"</c:formatCode>
                <c:ptCount val="6"/>
                <c:pt idx="0">
                  <c:v>6.7</c:v>
                </c:pt>
                <c:pt idx="1">
                  <c:v>6.7</c:v>
                </c:pt>
                <c:pt idx="2">
                  <c:v>6.7</c:v>
                </c:pt>
                <c:pt idx="3">
                  <c:v>6.7</c:v>
                </c:pt>
                <c:pt idx="4">
                  <c:v>6.7</c:v>
                </c:pt>
                <c:pt idx="5">
                  <c:v>6.7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Hoja1!$D$2:$D$7</c:f>
              <c:numCache>
                <c:formatCode>0"%"</c:formatCode>
                <c:ptCount val="6"/>
                <c:pt idx="0">
                  <c:v>20.1</c:v>
                </c:pt>
                <c:pt idx="1">
                  <c:v>21.8</c:v>
                </c:pt>
                <c:pt idx="2">
                  <c:v>27.8</c:v>
                </c:pt>
                <c:pt idx="3">
                  <c:v>30.3</c:v>
                </c:pt>
                <c:pt idx="4">
                  <c:v>33.2</c:v>
                </c:pt>
                <c:pt idx="5">
                  <c:v>31.4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FY2020</c:v>
                </c:pt>
                <c:pt idx="1">
                  <c:v>FY2021</c:v>
                </c:pt>
                <c:pt idx="2">
                  <c:v>FY2022</c:v>
                </c:pt>
                <c:pt idx="3">
                  <c:v>FY2023</c:v>
                </c:pt>
                <c:pt idx="4">
                  <c:v>FY2024</c:v>
                </c:pt>
                <c:pt idx="5">
                  <c:v>FY2025</c:v>
                </c:pt>
              </c:strCache>
            </c:strRef>
          </c:cat>
          <c:val>
            <c:numRef>
              <c:f>Hoja1!$B$2:$B$7</c:f>
              <c:numCache>
                <c:formatCode>0.0"x"</c:formatCode>
                <c:ptCount val="6"/>
                <c:pt idx="0">
                  <c:v>1.01</c:v>
                </c:pt>
                <c:pt idx="1">
                  <c:v>0.63</c:v>
                </c:pt>
                <c:pt idx="2">
                  <c:v>0.06</c:v>
                </c:pt>
                <c:pt idx="3">
                  <c:v>0.47</c:v>
                </c:pt>
                <c:pt idx="4">
                  <c:v>-0.43</c:v>
                </c:pt>
                <c:pt idx="5">
                  <c:v>-0.68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(CHF,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2028</c:v>
                </c:pt>
                <c:pt idx="1">
                  <c:v>2029+</c:v>
                </c:pt>
              </c:strCache>
            </c:strRef>
          </c:cat>
          <c:val>
            <c:numRef>
              <c:f>Hoja1!$B$2:$B$3</c:f>
              <c:numCache>
                <c:formatCode>#,##0</c:formatCode>
                <c:ptCount val="2"/>
                <c:pt idx="0">
                  <c:v>150</c:v>
                </c:pt>
                <c:pt idx="1">
                  <c:v>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Hoja1!$B$2:$B$7</c:f>
              <c:numCache>
                <c:formatCode>#,##0</c:formatCode>
                <c:ptCount val="6"/>
                <c:pt idx="0">
                  <c:v>71.6</c:v>
                </c:pt>
                <c:pt idx="1">
                  <c:v>63.3</c:v>
                </c:pt>
                <c:pt idx="2">
                  <c:v>0</c:v>
                </c:pt>
                <c:pt idx="3">
                  <c:v>0</c:v>
                </c:pt>
                <c:pt idx="4">
                  <c:v>0</c:v>
                </c:pt>
                <c:pt idx="5">
                  <c:v>8.1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Hoja1!$C$2:$C$7</c:f>
              <c:numCache>
                <c:formatCode>#,##0</c:formatCode>
                <c:ptCount val="6"/>
                <c:pt idx="0">
                  <c:v>30</c:v>
                </c:pt>
                <c:pt idx="1">
                  <c:v>22.2</c:v>
                </c:pt>
                <c:pt idx="2">
                  <c:v>25.6</c:v>
                </c:pt>
                <c:pt idx="3">
                  <c:v>40.4</c:v>
                </c:pt>
                <c:pt idx="4">
                  <c:v>52.5</c:v>
                </c:pt>
                <c:pt idx="5">
                  <c:v>60.9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Hoja1!$D$2:$D$7</c:f>
              <c:numCache>
                <c:formatCode>#,##0</c:formatCode>
                <c:ptCount val="6"/>
                <c:pt idx="0">
                  <c:v>3.2</c:v>
                </c:pt>
                <c:pt idx="1">
                  <c:v>0</c:v>
                </c:pt>
                <c:pt idx="2">
                  <c:v>13.7</c:v>
                </c:pt>
                <c:pt idx="3">
                  <c:v>0.5</c:v>
                </c:pt>
                <c:pt idx="4">
                  <c:v>4.8</c:v>
                </c:pt>
                <c:pt idx="5">
                  <c:v>3.9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Independiente</c:v>
                </c:pt>
              </c:strCache>
            </c:strRef>
          </c:cat>
          <c:val>
            <c:numRef>
              <c:f>Hoja1!$B$2</c:f>
              <c:numCache>
                <c:formatCode>0</c:formatCode>
                <c:ptCount val="1"/>
                <c:pt idx="0">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UBS Fund Management (Switzerland)</c:v>
                </c:pt>
                <c:pt idx="1">
                  <c:v>Grupo de accionistas del MBO (Valentin Vogt y otros)</c:v>
                </c:pt>
                <c:pt idx="2">
                  <c:v>Swisscanto Fondsleitung</c:v>
                </c:pt>
                <c:pt idx="3">
                  <c:v>The Goldman Sachs Group</c:v>
                </c:pt>
                <c:pt idx="4">
                  <c:v>BlackRock</c:v>
                </c:pt>
                <c:pt idx="5">
                  <c:v>Autocartera</c:v>
                </c:pt>
              </c:strCache>
            </c:strRef>
          </c:cat>
          <c:val>
            <c:numRef>
              <c:f>Hoja1!$B$2:$B$7</c:f>
              <c:numCache>
                <c:formatCode>0.0"%"</c:formatCode>
                <c:ptCount val="6"/>
                <c:pt idx="0">
                  <c:v>9.58</c:v>
                </c:pt>
                <c:pt idx="1">
                  <c:v>8.7</c:v>
                </c:pt>
                <c:pt idx="2">
                  <c:v>4.99</c:v>
                </c:pt>
                <c:pt idx="3">
                  <c:v>4.92</c:v>
                </c:pt>
                <c:pt idx="4">
                  <c:v>3.04</c:v>
                </c:pt>
                <c:pt idx="5">
                  <c:v>0.82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-13.1</c:v>
                </c:pt>
                <c:pt idx="1">
                  <c:v>18</c:v>
                </c:pt>
                <c:pt idx="2">
                  <c:v>-27.1</c:v>
                </c:pt>
                <c:pt idx="3">
                  <c:v>15</c:v>
                </c:pt>
                <c:pt idx="4">
                  <c:v>15.8</c:v>
                </c:pt>
                <c:pt idx="5">
                  <c:v>40.6</c:v>
                </c:pt>
                <c:pt idx="6">
                  <c:v>27.7</c:v>
                </c:pt>
                <c:pt idx="7">
                  <c:v>-8</c:v>
                </c:pt>
                <c:pt idx="8">
                  <c:v>27.8</c:v>
                </c:pt>
                <c:pt idx="9">
                  <c:v>-15.6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-6.8</c:v>
                </c:pt>
                <c:pt idx="1">
                  <c:v>14.1</c:v>
                </c:pt>
                <c:pt idx="2">
                  <c:v>-10.2</c:v>
                </c:pt>
                <c:pt idx="3">
                  <c:v>26</c:v>
                </c:pt>
                <c:pt idx="4">
                  <c:v>0.8</c:v>
                </c:pt>
                <c:pt idx="5">
                  <c:v>20.3</c:v>
                </c:pt>
                <c:pt idx="6">
                  <c:v>-16.7</c:v>
                </c:pt>
                <c:pt idx="7">
                  <c:v>3.8</c:v>
                </c:pt>
                <c:pt idx="8">
                  <c:v>4.2</c:v>
                </c:pt>
                <c:pt idx="9">
                  <c:v>14.4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Hoja1!$B$2:$B$7</c:f>
              <c:numCache>
                <c:formatCode>0.0"x"</c:formatCode>
                <c:ptCount val="6"/>
                <c:pt idx="0">
                  <c:v>14</c:v>
                </c:pt>
                <c:pt idx="1">
                  <c:v>19</c:v>
                </c:pt>
                <c:pt idx="2">
                  <c:v>16.6</c:v>
                </c:pt>
                <c:pt idx="3">
                  <c:v>14.8</c:v>
                </c:pt>
                <c:pt idx="4">
                  <c:v>11.9</c:v>
                </c:pt>
                <c:pt idx="5">
                  <c:v>9.1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Hoja1!$C$2:$C$7</c:f>
              <c:numCache>
                <c:formatCode>0.0"x"</c:formatCode>
                <c:ptCount val="6"/>
                <c:pt idx="0">
                  <c:v>14.4</c:v>
                </c:pt>
                <c:pt idx="1">
                  <c:v>14.4</c:v>
                </c:pt>
                <c:pt idx="2">
                  <c:v>14.4</c:v>
                </c:pt>
                <c:pt idx="3">
                  <c:v>14.4</c:v>
                </c:pt>
                <c:pt idx="4">
                  <c:v>14.4</c:v>
                </c:pt>
                <c:pt idx="5">
                  <c:v>14.4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Burckhardt</c:v>
                </c:pt>
                <c:pt idx="1">
                  <c:v>Atlas Copco</c:v>
                </c:pt>
                <c:pt idx="2">
                  <c:v>Ingersoll Rand</c:v>
                </c:pt>
                <c:pt idx="3">
                  <c:v>Dover</c:v>
                </c:pt>
                <c:pt idx="4">
                  <c:v>Sulzer</c:v>
                </c:pt>
                <c:pt idx="5">
                  <c:v>Wärtsilä</c:v>
                </c:pt>
                <c:pt idx="6">
                  <c:v>Alfa Laval</c:v>
                </c:pt>
                <c:pt idx="7">
                  <c:v>Baker Hughes</c:v>
                </c:pt>
                <c:pt idx="8">
                  <c:v>Siemens Energy</c:v>
                </c:pt>
                <c:pt idx="9">
                  <c:v>Kirloskar Pneumatic</c:v>
                </c:pt>
                <c:pt idx="10">
                  <c:v>Enerflex</c:v>
                </c:pt>
              </c:strCache>
            </c:strRef>
          </c:cat>
          <c:val>
            <c:numRef>
              <c:f>Hoja1!$B$2:$B$12</c:f>
              <c:numCache>
                <c:formatCode>0.0"x"</c:formatCode>
                <c:ptCount val="11"/>
                <c:pt idx="0">
                  <c:v>10.5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Howden (compresores y ventiladores de proceso)</c:v>
                </c:pt>
                <c:pt idx="1">
                  <c:v>Howden (Air &amp; Gas Handling de Colfax)</c:v>
                </c:pt>
                <c:pt idx="2">
                  <c:v>Chart Industries (equipos criogénicos, compresores Howden)</c:v>
                </c:pt>
                <c:pt idx="3">
                  <c:v>Exterran (compresión de gas en alquiler y equipos)</c:v>
                </c:pt>
              </c:strCache>
            </c:strRef>
          </c:cat>
          <c:val>
            <c:numRef>
              <c:f>Hoja1!$B$2:$B$5</c:f>
              <c:numCache>
                <c:formatCode>0.0"x"</c:formatCode>
                <c:ptCount val="4"/>
                <c:pt idx="0">
                  <c:v>12.9</c:v>
                </c:pt>
                <c:pt idx="1">
                  <c:v>9</c:v>
                </c:pt>
                <c:pt idx="2">
                  <c:v>9</c:v>
                </c:pt>
                <c:pt idx="3">
                  <c:v>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FY2026e</c:v>
                </c:pt>
                <c:pt idx="1">
                  <c:v>FY2027e</c:v>
                </c:pt>
                <c:pt idx="2">
                  <c:v>FY2028e</c:v>
                </c:pt>
                <c:pt idx="3">
                  <c:v>FY2029e</c:v>
                </c:pt>
                <c:pt idx="4">
                  <c:v>FY2030e</c:v>
                </c:pt>
                <c:pt idx="5">
                  <c:v>FY2031e</c:v>
                </c:pt>
                <c:pt idx="6">
                  <c:v>FY2032e</c:v>
                </c:pt>
              </c:strCache>
            </c:strRef>
          </c:cat>
          <c:val>
            <c:numRef>
              <c:f>Hoja1!$B$2:$B$8</c:f>
              <c:numCache>
                <c:formatCode>#,##0</c:formatCode>
                <c:ptCount val="7"/>
                <c:pt idx="0">
                  <c:v>84</c:v>
                </c:pt>
                <c:pt idx="1">
                  <c:v>81</c:v>
                </c:pt>
                <c:pt idx="2">
                  <c:v>85</c:v>
                </c:pt>
                <c:pt idx="3">
                  <c:v>103</c:v>
                </c:pt>
                <c:pt idx="4">
                  <c:v>110</c:v>
                </c:pt>
                <c:pt idx="5">
                  <c:v>115</c:v>
                </c:pt>
                <c:pt idx="6">
                  <c:v>120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523</c:v>
                </c:pt>
                <c:pt idx="1">
                  <c:v>1386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486,00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409.84</c:v>
                </c:pt>
                <c:pt idx="1">
                  <c:v>598.86</c:v>
                </c:pt>
                <c:pt idx="2">
                  <c:v>698.03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486,00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(434,50 – 595,00)</c:v>
                </c:pt>
                <c:pt idx="1">
                  <c:v>Precio objetivo de los analistas (485,00 – 700,00)</c:v>
                </c:pt>
                <c:pt idx="2">
                  <c:v>Comparables: PER NTM (476,44 – 620,42)</c:v>
                </c:pt>
                <c:pt idx="3">
                  <c:v>Transacciones precedentes (EV/EBITDA) (467,26 – 561,41)</c:v>
                </c:pt>
                <c:pt idx="4">
                  <c:v>DCF (WACC y g ± 0,5) (523,40 – 705,93)</c:v>
                </c:pt>
                <c:pt idx="5">
                  <c:v>Escenarios (bajista – alcista) (409,84 – 698,03)</c:v>
                </c:pt>
                <c:pt idx="6">
                  <c:v>DCF con la prima implícita del mercado (4,2 %)</c:v>
                </c:pt>
                <c:pt idx="7">
                  <c:v>Precio actual (486,00)</c:v>
                </c:pt>
              </c:strCache>
            </c:strRef>
          </c:cat>
          <c:val>
            <c:numRef>
              <c:f>Hoja1!$B$2:$B$9</c:f>
              <c:numCache>
                <c:formatCode>#,##0</c:formatCode>
                <c:ptCount val="8"/>
                <c:pt idx="0">
                  <c:v>434.5</c:v>
                </c:pt>
                <c:pt idx="1">
                  <c:v>485</c:v>
                </c:pt>
                <c:pt idx="2">
                  <c:v>476.44</c:v>
                </c:pt>
                <c:pt idx="3">
                  <c:v>467.26</c:v>
                </c:pt>
                <c:pt idx="4">
                  <c:v>523.4</c:v>
                </c:pt>
                <c:pt idx="5">
                  <c:v>409.84</c:v>
                </c:pt>
                <c:pt idx="6">
                  <c:v>669.84</c:v>
                </c:pt>
                <c:pt idx="7">
                  <c:v>483.57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(434,50 – 595,00)</c:v>
                </c:pt>
                <c:pt idx="1">
                  <c:v>Precio objetivo de los analistas (485,00 – 700,00)</c:v>
                </c:pt>
                <c:pt idx="2">
                  <c:v>Comparables: PER NTM (476,44 – 620,42)</c:v>
                </c:pt>
                <c:pt idx="3">
                  <c:v>Transacciones precedentes (EV/EBITDA) (467,26 – 561,41)</c:v>
                </c:pt>
                <c:pt idx="4">
                  <c:v>DCF (WACC y g ± 0,5) (523,40 – 705,93)</c:v>
                </c:pt>
                <c:pt idx="5">
                  <c:v>Escenarios (bajista – alcista) (409,84 – 698,03)</c:v>
                </c:pt>
                <c:pt idx="6">
                  <c:v>DCF con la prima implícita del mercado (4,2 %)</c:v>
                </c:pt>
                <c:pt idx="7">
                  <c:v>Precio actual (486,00)</c:v>
                </c:pt>
              </c:strCache>
            </c:strRef>
          </c:cat>
          <c:val>
            <c:numRef>
              <c:f>Hoja1!$C$2:$C$9</c:f>
              <c:numCache>
                <c:formatCode>#,##0</c:formatCode>
                <c:ptCount val="8"/>
                <c:pt idx="0">
                  <c:v>160.5</c:v>
                </c:pt>
                <c:pt idx="1">
                  <c:v>215</c:v>
                </c:pt>
                <c:pt idx="2">
                  <c:v>143.97999999999996</c:v>
                </c:pt>
                <c:pt idx="3">
                  <c:v>94.14999999999998</c:v>
                </c:pt>
                <c:pt idx="4">
                  <c:v>182.52999999999997</c:v>
                </c:pt>
                <c:pt idx="5">
                  <c:v>288.19</c:v>
                </c:pt>
                <c:pt idx="6">
                  <c:v>159.05999999999995</c:v>
                </c:pt>
                <c:pt idx="7">
                  <c:v>4.860000000000014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