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Viper Energy, Inc.</w:t>
      </w:r>
    </w:p>
    <w:p>
      <w:pPr>
        <w:spacing w:after="60"/>
        <w:rPr>
          <w:color w:val="52514E"/>
          <w:sz w:val="22"/>
          <w:szCs w:val="22"/>
        </w:rPr>
      </w:pPr>
      <w:r>
        <w:rPr>
          <w:color w:val="52514E"/>
          <w:sz w:val="22"/>
          <w:szCs w:val="22"/>
        </w:rPr>
        <w:t xml:space="preserve">VNOM · Nasdaq Global Select · ISIN US92764N1028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45,85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35,46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-18,3 % (base -18,2 %)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37,28 USD · mercado 41,10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16.951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Viper Energy,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VNOM / US92764N1028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sector: Energy Select (XLE)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y gas: exploración y producción (derechos mineros y regalías)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Midland (Texas) · 2014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https://www.viperenergy.com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45,85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35,10 – 51,13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16.951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18.682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77,9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35,46 USD</w:t>
      </w:r>
      <w:r>
        <w:t xml:space="preserve"> frente a 45,85 · Rentabilidad a 12 meses </w:t>
      </w:r>
      <w:r>
        <w:rPr>
          <w:b/>
          <w:bCs/>
        </w:rPr>
        <w:t xml:space="preserve">-18,3 % (base -18,2 %)</w:t>
      </w:r>
      <w:r>
        <w:t xml:space="preserve"> · Valor intrínseco 37,28 USD · con la prima implícita del mercado: 41,10 (-10,4 %) · Alcista / bajista -13,8 % / -38,6 %</w:t>
      </w:r>
    </w:p>
    <w:p>
      <w:pPr>
        <w:spacing w:after="100"/>
      </w:pPr>
      <w:r>
        <w:rPr>
          <w:b/>
        </w:rPr>
        <w:t xml:space="preserve">La recomendación y por qué.</w:t>
      </w:r>
      <w:r>
        <w:t xml:space="preserve"> Vender, con convicción media. El objetivo a 12 meses es de 35,46 USD (nuestro BPA por unidad de 2028e con la curva de futuros del petróleo × el PER de la regla común), un −18,3 % de rentabilidad ponderada con el dividendo y un −18,2 % en el caso base, frente a 45,85 USD (cierre del 20-oct-2026; 46,06 en la sesión del 21-oct). El valor intrínseco (37,28 USD) queda un 18,7 % bajo el precio. La razón: el precio paga el petróleo de la guerra con Irán (WTI ≈ 98 USD) como si durara, y la curva de futuros lo devuelve a 74,5 USD en diciembre de 2028 y a 70 en 2029 [27]. Con la curva, el BPA cae de 2,85 USD en 2027 a 2,32 en 2028. La convicción es media y no alta porque todo depende de un precio que nadie controla: si Ormuz sigue cerrado en 2027 el alcista da 58,29 USD; la subiría que la curva de 2028 bajara hacia 65 USD o una nueva colocación de Diamondback, y la bajaría que la curva de 2028 subiera por encima de 85 USD.</w:t>
      </w:r>
    </w:p>
    <w:p>
      <w:pPr>
        <w:spacing w:after="100"/>
      </w:pPr>
      <w:r>
        <w:rPr>
          <w:b/>
        </w:rPr>
        <w:t xml:space="preserve">El negocio.</w:t>
      </w:r>
      <w:r>
        <w:t xml:space="preserve"> Viper es dueña de derechos mineros y regalías sobre ≈ 90.000 acres netos del Pérmico: cobra una parte de cada barril que sacan otros (Diamondback y decenas de operadores) sin pagar la perforación [40]. Margen EBITDA del 91 %, 134 kboe/d en el 2T26. La controla Diamondback (39,2 % de las unidades) con una estructura de acciones A y B [20]. Calidad «No»: el ROIC (5,4 % en 2025; ≈ 9 % con el petróleo de 2026) no llega al WACC del 9,77 % porque los derechos se compran a precio de mercado. Sostenibilidad «Sí»: no proyectamos crecimiento.</w:t>
      </w:r>
    </w:p>
    <w:p>
      <w:pPr>
        <w:spacing w:after="100"/>
      </w:pPr>
      <w:r>
        <w:rPr>
          <w:b/>
        </w:rPr>
        <w:t xml:space="preserve">Finanzas.</w:t>
      </w:r>
      <w:r>
        <w:t xml:space="preserve"> Ingresos de 2.041 M y flujo libre de 1.495 M en los 12 meses a junio de 2026 [5]. Deuda neta de ≈ 1.730 M tras Riverbend, 0,9 veces el EBITDA; BBB− [4]. Dividendo base de 2,00 USD (4,4 %), más recompras.</w:t>
      </w:r>
    </w:p>
    <w:p>
      <w:pPr>
        <w:spacing w:after="100"/>
      </w:pPr>
      <w:r>
        <w:rPr>
          <w:b/>
        </w:rPr>
        <w:t xml:space="preserve">Valoración.</w:t>
      </w:r>
      <w:r>
        <w:t xml:space="preserve"> DCF de 36,27 USD con la curva y un WACC del 9,77 %; con la prima del mercado, 40,64. El precio descuenta un WTI de ≈ 80-85 USD sostenido. Escenarios: 28,16 / 36,27 / 39,54. Con la regla v2 de control la ponderada es −10,3 %: también lejos de comprar.</w:t>
      </w:r>
    </w:p>
    <w:p>
      <w:pPr>
        <w:spacing w:after="100"/>
      </w:pPr>
      <w:r>
        <w:rPr>
          <w:b/>
        </w:rPr>
        <w:t xml:space="preserve">Riesgos y catalizadores.</w:t>
      </w:r>
      <w:r>
        <w:t xml:space="preserve"> El riesgo es el petróleo (un alto el fuego), Diamondback (decide dónde perfora, qué vende a Viper y cuándo coloca) y el agotamiento de reservas (≈ 8 años de reservas probadas). El riesgo de IA es bajo. Resultados el 2-nov-2026.</w:t>
      </w:r>
    </w:p>
    <w:p>
      <w:pPr>
        <w:spacing w:after="100"/>
      </w:pPr>
      <w:r>
        <w:rPr>
          <w:b/>
        </w:rPr>
        <w:t xml:space="preserve">Qué cambiaría la decisión.</w:t>
      </w:r>
      <w:r>
        <w:t xml:space="preserve"> Comprar por debajo de 32,59 USD; mantener solo con el valor intrínseco por encima del precio. Una curva de futuros de 2028 por encima de 85 USD subiría el BPA de 2028e a ≈ 2,9 USD y cambiaría la conclusión.</w:t>
      </w:r>
    </w:p>
    <w:p>
      <w:r>
        <w:br w:type="page"/>
      </w:r>
    </w:p>
    <w:p>
      <w:pPr>
        <w:pStyle w:val="Heading1"/>
      </w:pPr>
      <w:r>
        <w:t xml:space="preserve">Resumen ejecutivo</w:t>
      </w:r>
    </w:p>
    <w:p>
      <w:pPr>
        <w:spacing w:after="100"/>
      </w:pPr>
      <w:r>
        <w:rPr>
          <w:b/>
          <w:bCs/>
        </w:rPr>
        <w:t xml:space="preserve">Recomendación: Vender</w:t>
      </w:r>
      <w:r>
        <w:t xml:space="preserve"> · Convicción: Media · Horizonte: 12 meses · Objetivo a 12 meses: </w:t>
      </w:r>
      <w:r>
        <w:rPr>
          <w:b/>
          <w:bCs/>
        </w:rPr>
        <w:t xml:space="preserve">35,46 USD</w:t>
      </w:r>
      <w:r>
        <w:t xml:space="preserve"> (rentabilidad -18,3 % (base -18,2 %)) · Valor intrínseco: 37,28 USD (-18,7 % sobre 45,85) · con la prima implícita del mercado: 41,10 (-10,4 %)</w:t>
      </w:r>
    </w:p>
    <w:p>
      <w:pPr>
        <w:spacing w:after="100"/>
      </w:pPr>
      <w:r>
        <w:t xml:space="preserve">Viper es una buena forma de tener petróleo del Pérmico sin pagar pozos: cobra una parte de cada barril que sacan otros, con un 91 % de margen EBITDA y deuda baja. Pero a 45,85 USD paga el petróleo de la guerra con Irán como si durara: el DCF con la curva de futuros vale 36,27 USD y el BPA de 2028e cae un 19 % frente al de 2027.</w:t>
      </w:r>
    </w:p>
    <w:p>
      <w:pPr>
        <w:spacing w:after="100"/>
      </w:pPr>
      <w:r>
        <w:t xml:space="preserve">El mercado y los analistas (21 compras, objetivo de 55,48 USD) valoran a Viper sobre el beneficio de 2026-2027. Nosotros lo hacemos sobre el de 2028 con la curva, porque una regalía vale el petróleo de los próximos diez años, no el de este trimestre.</w:t>
      </w:r>
    </w:p>
    <w:p>
      <w:pPr>
        <w:spacing w:after="100"/>
      </w:pPr>
      <w:r>
        <w:t xml:space="preserve">La calidad no ayuda: el ROIC no supera el WACC porque los derechos se compran a precio de mercado, y el mayor accionista es también el mayor operador y vendedor de derechos.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1,38 = 12,56 · 15,3x × 2,32 = 35,50 · 19,3x × 3,02 = 58,29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 -18,2 %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55,48 (nuestro base -36,0 %)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 -38,6 %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9,8 %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-14,3 % (&gt; −20 %); con la prima del mercado, -6,0 % (&gt; −15 %); el precio pide 3,7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32,58 y 41,63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41,63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32,59 USD: Comprar si la calidad lo permitiera (hoy no pasa el filtro de ROIC − WACC).</w:t>
      </w:r>
    </w:p>
    <w:p>
      <w:pPr>
        <w:pStyle w:val="ListParagraph"/>
        <w:numPr>
          <w:ilvl w:val="0"/>
          <w:numId w:val="2"/>
        </w:numPr>
        <w:spacing w:after="60"/>
      </w:pPr>
      <w:r>
        <w:t xml:space="preserve">Futuro del WTI de dic-2028 por encima de 85 USD: revisar al alza el BPA de 2028e.</w:t>
      </w:r>
    </w:p>
    <w:p>
      <w:pPr>
        <w:pStyle w:val="ListParagraph"/>
        <w:numPr>
          <w:ilvl w:val="0"/>
          <w:numId w:val="2"/>
        </w:numPr>
        <w:spacing w:after="60"/>
      </w:pPr>
      <w:r>
        <w:t xml:space="preserve">Alto el fuego con Irán y WTI por debajo de 70 USD: reforzar Vender.</w:t>
      </w:r>
    </w:p>
    <w:p>
      <w:pPr>
        <w:pStyle w:val="ListParagraph"/>
        <w:numPr>
          <w:ilvl w:val="0"/>
          <w:numId w:val="2"/>
        </w:numPr>
        <w:spacing w:after="60"/>
      </w:pPr>
      <w:r>
        <w:t xml:space="preserve">Nueva compra a Diamondback pagada con unidades a más de 8 veces el EBITDA: reforzar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petróleo se queda en 80-90 USD durante años y que Viper sigue comprando derechos (a Diamondback y a terceros) que suben el dividendo por acción.</w:t>
      </w:r>
    </w:p>
    <w:p>
      <w:pPr>
        <w:keepNext/>
        <w:spacing w:after="100"/>
      </w:pPr>
      <w:r>
        <w:rPr>
          <w:b/>
          <w:bCs/>
        </w:rPr>
        <w:t xml:space="preserve">Lo que creemos nosotros.</w:t>
      </w:r>
    </w:p>
    <w:p>
      <w:pPr>
        <w:spacing w:after="100"/>
      </w:pPr>
      <w:r>
        <w:t xml:space="preserve">La curva de futuros dice 74,5 USD en 2028 y 70 en 2029; con ella, el BPA de 2028e es de 2,32 USD y el valor intrínseco de 37,28. El dividendo base está bien cubierto, pero el precio no.</w:t>
      </w:r>
    </w:p>
    <w:p>
      <w:pPr>
        <w:keepNext/>
        <w:spacing w:after="100"/>
      </w:pPr>
      <w:r>
        <w:rPr>
          <w:b/>
          <w:bCs/>
        </w:rPr>
        <w:t xml:space="preserve">Por qué podemos tener razón.</w:t>
      </w:r>
    </w:p>
    <w:p>
      <w:pPr>
        <w:spacing w:after="100"/>
      </w:pPr>
      <w:r>
        <w:t xml:space="preserve">Los precios de guerra se han revertido siempre en uno o dos años (1990-1991, 2008, 2022). Las compras pagadas con acciones caras no crean valor por acción (ROIC incremental del 1,9 %).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Regalía pura</w:t>
      </w:r>
      <w:r>
        <w:t xml:space="preserve">: margen EBITDA del 91 %, sin costes de perforación ni de operación.</w:t>
      </w:r>
    </w:p>
    <w:p>
      <w:pPr>
        <w:pStyle w:val="ListParagraph"/>
        <w:numPr>
          <w:ilvl w:val="0"/>
          <w:numId w:val="2"/>
        </w:numPr>
        <w:spacing w:after="60"/>
      </w:pPr>
      <w:r>
        <w:rPr>
          <w:b/>
        </w:rPr>
        <w:t xml:space="preserve">Operador principal fuerte</w:t>
      </w:r>
      <w:r>
        <w:t xml:space="preserve">: Diamondback perfora en sus tierras con una regalía media del 7 %.</w:t>
      </w:r>
    </w:p>
    <w:p>
      <w:pPr>
        <w:pStyle w:val="ListParagraph"/>
        <w:numPr>
          <w:ilvl w:val="0"/>
          <w:numId w:val="2"/>
        </w:numPr>
        <w:spacing w:after="60"/>
      </w:pPr>
      <w:r>
        <w:rPr>
          <w:b/>
        </w:rPr>
        <w:t xml:space="preserve">Deuda baja y BBB−</w:t>
      </w:r>
      <w:r>
        <w:t xml:space="preserve">: 0,9 veces el EBITDA, vencimientos en 2030 y 2035.</w:t>
      </w:r>
    </w:p>
    <w:p>
      <w:pPr>
        <w:pStyle w:val="ListParagraph"/>
        <w:numPr>
          <w:ilvl w:val="0"/>
          <w:numId w:val="2"/>
        </w:numPr>
        <w:spacing w:after="60"/>
      </w:pPr>
      <w:r>
        <w:rPr>
          <w:b/>
        </w:rPr>
        <w:t xml:space="preserve">Dividendo base de 2,00 USD (4,4 %)</w:t>
      </w:r>
      <w:r>
        <w:t xml:space="preserve"> más recompras.</w:t>
      </w:r>
    </w:p>
    <w:p>
      <w:pPr>
        <w:pStyle w:val="ListParagraph"/>
        <w:numPr>
          <w:ilvl w:val="0"/>
          <w:numId w:val="2"/>
        </w:numPr>
        <w:spacing w:after="60"/>
      </w:pPr>
      <w:r>
        <w:rPr>
          <w:b/>
        </w:rPr>
        <w:t xml:space="preserve">Petróleo alto mientras dure Ormuz</w:t>
      </w:r>
      <w:r>
        <w:t xml:space="preserve">: cada mes de guerra suma caja.</w:t>
      </w:r>
    </w:p>
    <w:p>
      <w:pPr>
        <w:pStyle w:val="Heading2"/>
      </w:pPr>
      <w:r>
        <w:t xml:space="preserve">En contra</w:t>
      </w:r>
    </w:p>
    <w:p>
      <w:pPr>
        <w:pStyle w:val="ListParagraph"/>
        <w:numPr>
          <w:ilvl w:val="0"/>
          <w:numId w:val="2"/>
        </w:numPr>
        <w:spacing w:after="60"/>
      </w:pPr>
      <w:r>
        <w:rPr>
          <w:b/>
        </w:rPr>
        <w:t xml:space="preserve">Paga petróleo de guerra</w:t>
      </w:r>
      <w:r>
        <w:t xml:space="preserve">: la curva baja a 74,5 USD en 2028; BPA de 2028e −19 % frente a 2027.</w:t>
      </w:r>
    </w:p>
    <w:p>
      <w:pPr>
        <w:pStyle w:val="ListParagraph"/>
        <w:numPr>
          <w:ilvl w:val="0"/>
          <w:numId w:val="2"/>
        </w:numPr>
        <w:spacing w:after="60"/>
      </w:pPr>
      <w:r>
        <w:rPr>
          <w:b/>
        </w:rPr>
        <w:t xml:space="preserve">ROIC bajo el WACC</w:t>
      </w:r>
      <w:r>
        <w:t xml:space="preserve">: 5,4 % en 2025; las compras rinden al vendedor.</w:t>
      </w:r>
    </w:p>
    <w:p>
      <w:pPr>
        <w:pStyle w:val="ListParagraph"/>
        <w:numPr>
          <w:ilvl w:val="0"/>
          <w:numId w:val="2"/>
        </w:numPr>
        <w:spacing w:after="60"/>
      </w:pPr>
      <w:r>
        <w:rPr>
          <w:b/>
        </w:rPr>
        <w:t xml:space="preserve">Conflicto con Diamondback</w:t>
      </w:r>
      <w:r>
        <w:t xml:space="preserve">: controla, opera, vende derechos y coloca acciones.</w:t>
      </w:r>
    </w:p>
    <w:p>
      <w:pPr>
        <w:pStyle w:val="ListParagraph"/>
        <w:numPr>
          <w:ilvl w:val="0"/>
          <w:numId w:val="2"/>
        </w:numPr>
        <w:spacing w:after="60"/>
      </w:pPr>
      <w:r>
        <w:rPr>
          <w:b/>
        </w:rPr>
        <w:t xml:space="preserve">Reservas que se agotan</w:t>
      </w:r>
      <w:r>
        <w:t xml:space="preserve">: ≈ 8 años de reservas probadas.</w:t>
      </w:r>
    </w:p>
    <w:p>
      <w:pPr>
        <w:pStyle w:val="ListParagraph"/>
        <w:numPr>
          <w:ilvl w:val="0"/>
          <w:numId w:val="2"/>
        </w:numPr>
        <w:spacing w:after="60"/>
      </w:pPr>
      <w:r>
        <w:rPr>
          <w:b/>
        </w:rPr>
        <w:t xml:space="preserve">Overhang</w:t>
      </w:r>
      <w:r>
        <w:t xml:space="preserve">: Diamondback tiene el 39,2 % y vendió en marzo.</w:t>
      </w:r>
    </w:p>
    <w:p>
      <w:pPr>
        <w:pStyle w:val="Heading2"/>
      </w:pPr>
      <w:r>
        <w:t xml:space="preserve">Qué tiene que pasar para que la tesis funcione</w:t>
      </w:r>
    </w:p>
    <w:p>
      <w:pPr>
        <w:spacing w:after="100"/>
      </w:pPr>
      <w:r>
        <w:t xml:space="preserve">La tesis de venta depende de que el petróleo vuelva hacia la curva de futuros. La señal en contra sería que la curva de 2028 subiera por encima de 85 USD (Ormuz cerrado de forma duradera) o que Viper anunciara un crecimiento de volumen orgánico de dos dígitos sin dilución.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Futuro del WTI de dic-2028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74,53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 o &gt; 85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petróleo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65.077 bo/d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64.000 bo/d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Pozos brutos puestos en producción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(146 de Diamondback)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perforación de los operadores.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en tierras de Viper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(12 de Diamondback)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 los próximos 6-12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Agotamiento por boe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17,25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contable de las 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327,5x / 17,3x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Diamondback Energy creó Viper en 2014 para separar sus derechos mineros en la cuenca de Midland y la sacó a bolsa en junio de 2014 como sociedad comanditaria (Viper Energy Partners LP) [2]. En 2018 pasó a tributar como sociedad y adoptó la estructura «Up-C», y en noviembre de 2023 se convirtió en Viper Energy, Inc. [3]. Desde 2023 creció comprando: GRP Energy Capital (905 M), TWR IV (2024), 1979 Royalties a Diamondback-Endeavor (4.450 M, mayo de 2025) y Sitio Royalties (4.000 M en acciones, agosto de 2025), que la llevó a una sociedad matriz nueva [1]. En 2026 vendió los activos fuera del Pérmico (617 M), Diamondback, EnCap y Oaktree colocaron 17,4 M de acciones a 45,90 USD, compró Riverbend (505 M) y recibió de Diamondback 933 acres netos a cambio de OpCo Units [1, 4, 10,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Diamondback crea Viper y la saca a bolsa como sociedad comanditaria (Nasdaq: VNOM).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tributar como sociedad con estructura «Up-C» (acciones A y B, OpCo Units).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GRP Energy Capital (905 M USD) y se convierte en Viper Energy, Inc.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1979 Royalties a Diamondback-Endeavor (4.450 M) y Sitio Royalties (4.000 M en acciones); deterioro de techo de 768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lo no pérmico (617 M), colocación de Diamondback a 45,90 USD, compra de Riverbend (505 M) y dividendo base de 2,00 USD [1, 5, 22].</w:t>
            </w:r>
          </w:p>
        </w:tc>
      </w:tr>
    </w:tbl>
    <w:p>
      <w:pPr>
        <w:spacing w:after="160" w:before="0"/>
      </w:pPr>
    </w:p>
    <w:p>
      <w:pPr>
        <w:pStyle w:val="Heading1"/>
      </w:pPr>
      <w:r>
        <w:t xml:space="preserve">2. Modelo de negocio</w:t>
      </w:r>
    </w:p>
    <w:p>
      <w:pPr>
        <w:spacing w:after="100"/>
      </w:pPr>
      <w:r>
        <w:t xml:space="preserve">Viper Energy es dueña de derechos mineros y de regalías sobre petróleo y gas en la cuenca Pérmica, en el oeste de Texas: 90.212 acres netos de regalía a julio de 2026 [5]. No perfora ni opera pozos: arrienda el subsuelo a petroleras (Diamondback, su matriz, opera el 38 % de los acres; Exxon, Chevron, Oxy y otros, el resto) y cobra un porcentaje de lo que producen. Había 25.560 pozos horizontales en producción en sus tierras a 1-jul-2026, 4.485 de Diamondback [5]. Desde la venta de febrero de 2026 todo está en el Pérmico [1]. Diamondback controla el 39,2 % del capital económico y le presta el equipo directivo; Viper no tiene empleados [1].</w:t>
      </w:r>
    </w:p>
    <w:p>
      <w:pPr>
        <w:pStyle w:val="Heading2"/>
      </w:pPr>
      <w:r>
        <w:t xml:space="preserve">Cómo gana dinero</w:t>
      </w:r>
    </w:p>
    <w:p>
      <w:pPr>
        <w:spacing w:after="100"/>
      </w:pPr>
      <w:r>
        <w:t xml:space="preserve">Cada pozo que un operador pone en producción en sus tierras paga a Viper su regalía (2,9 % neto de media en los del 2T26; 7,0 % en los de Diamondback y 1,8 % en los de terceros) del valor de lo producido, sin coste de perforación ni de operación [5]. Por eso el margen EBITDA es del 91-95 %. Los ingresos dependen de tres cosas: el precio (el petróleo da ≈ 86 % de los ingresos por regalías), el volumen (cuántos pozos nuevos ponen los operadores) y las compras. Recurrente: los pozos ya perforados siguen pagando durante décadas, aunque caen mucho los primeros años. Apalancamiento operativo casi total: una subida de 10 USD del petróleo añade ≈ 240 M de ingresos y casi lo mismo de EBITDA. Sin estacionalidad relevante.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Petróleo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Líquidos del gas (NGL)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natural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Bonos de arrendamiento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Petróleo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Líquidos del gas (NGL)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natural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Bonos de arrendamiento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los operadores que pagan la regalía. Diamondback opera el 38 % de los acres netos y pesa más en los pozos nuevos: 146 de los 691 del 2T26, con el 52 % de los pozos netos (10,2 de 19,8) [5]. Las regalías por cobrar de partes vinculadas eran 88 M en diciembre de 2025 [1]. No hay contratos de venta que negociar: la regalía la fija el arrendamiento, normalmente perpetuo mientras haya producción. Poder de precios: ninguno sobre el barril, que cotiza en Nueva York; el poder está en el porcentaje fijo de regalía y en no pagar costes.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media de petróleo (bo/d)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41.615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1979 Royalties y Sitio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total (boe/d)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79.286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134.363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48 % petróleo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realizado del petróleo (USD/bbl)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63,64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Ormuz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Agotamiento (USD/boe)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deterioro de 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Pozos en desarrollo en sus tierras (brutos)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 (1-jul-2026)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de regalía neta media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Acres netos de regalía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96.003 (dic-2025, con lo no pérmico)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90.212 (jul-2026)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no pérmica y Riverbend [1,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los ingresos por regalías del petróleo, el gas y los líquidos que se producen en la cuenca Pérmica (Texas y Nuevo México), es decir, la parte de la producción que cobran los dueños del subsuelo sin pagar costes. Se estima como producción del Pérmico × precio × regalía media. No hay estadística oficial de ese «fondo de regalías»: usamos la producción de la EIA [12] y una regalía media del 18-20 % (las tierras privadas de Texas suelen arrendarse a 1/8-1/4), estimación propia. Viper ingresa ≈ 2.500 M al año: ≈ 5-6 % de ese fondo.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43.000 M USD en 2026 (estimación propia: 6,8 M bbl/d de petróleo × 88 USD × 365 × 19 % de regalía media ≈ 41.500 M, más ≈ 1.500 M de gas y líquidos)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petróleo (WTI)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WTI medio de 64,7 USD en 2025, 84,6 en lo que va de 2026 y 97,8 el 21-oct; la EIA prevé 88 en 2026 y 80 en 2027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en el golfo Pérsico (Ormuz)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récord de 126,41 USD el 30-abr-2026; 114 de media en septiembre por los ataques al oleoducto saudí Este-Oeste; la EIA supone producción cortada de 4,5 M b/d en el 4T26 que vuelve a la normalidad a mediados de 2027 [13,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Ritmo de perforación en el Pérmico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equipos perforaban en las tierras de Viper en julio de 2026, 12 de Diamondback; 1.798 pozos en desarrollo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Disciplina de capital de los operadores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Diamondback mantiene el capex de 2026 en ≈ 3.900 M y la producción en ≈ 522 Mbo/d pese al petróleo por encima de 90 USD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gas en Waha (oeste de Texas)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realizó 0,05 USD/Mcf en el 2T26 sin coberturas; el gas pesa ≈ 26 % del volumen y &lt; 5 % de los ingresos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venta del producto no hay rivalidad (cobra su parte del precio); la hay en las compras de derechos, con TPL, Black Stone, Kimbell y fondos de capital privado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operadores pagan la regalía fijada en el contrato de arrendamiento; deciden cuándo perforar, pero no el porcentaje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Viper no tiene costes de operación ni capex; Diamondback le presta el personal por contrato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Cualquier fondo puede comprar derechos; el freno es la escala y los datos para evaluar acres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largo plazo, la electrificación del transporte reduce la demanda de petróleo; a cinco años, poco efecto [13].</w:t>
            </w:r>
          </w:p>
        </w:tc>
      </w:tr>
    </w:tbl>
    <w:p>
      <w:pPr>
        <w:spacing w:after="160" w:before="0"/>
      </w:pPr>
    </w:p>
    <w:p>
      <w:pPr>
        <w:pStyle w:val="Heading2"/>
      </w:pPr>
      <w:r>
        <w:t xml:space="preserve">Ciclo</w:t>
      </w:r>
    </w:p>
    <w:p>
      <w:pPr>
        <w:spacing w:after="100"/>
      </w:pPr>
      <w:r>
        <w:t xml:space="preserve">El precio está en un pico de oferta: el WTI cotiza a 97,8 USD con una curva de futuros muy invertida (81,6 USD en dic-2027 y 74,5 en dic-2028) [12]. En 2008-09 el WTI cayó de 147 a 34 USD; en 2020 llegó a precios negativos y Viper recortó el dividendo de 0,45 a 0,03 USD [A-B1]; en 2022, tras la invasión de Ucrania, el WTI pasó de 100 USD y volvió a ≈ 75 en un año. Los indicadores: la curva de futuros, la producción cortada en el golfo (4,5 M b/d según la EIA) y los inventarios de la OCDE [13].</w:t>
      </w:r>
    </w:p>
    <w:p>
      <w:pPr>
        <w:pStyle w:val="Heading2"/>
      </w:pPr>
      <w:r>
        <w:t xml:space="preserve">Regulación</w:t>
      </w:r>
    </w:p>
    <w:p>
      <w:pPr>
        <w:spacing w:after="100"/>
      </w:pPr>
      <w:r>
        <w:t xml:space="preserve">Texas regula la perforación (Railroad Commission): moratoria de nuevos pozos de inyección de agua producida en zonas sísmicas del Pérmico, que puede encarecer la operación de los operadores [1]. A escala federal, las tierras de Nuevo México incluyen algo de suelo federal, sujeto a permisos del Departamento de Interior. Fiscalmente, Viper tributa como sociedad desde 2018; la ley de 2025 mantuvo la deducción por agotamiento [1].</w:t>
      </w:r>
    </w:p>
    <w:p>
      <w:pPr>
        <w:pStyle w:val="Heading2"/>
      </w:pPr>
      <w:r>
        <w:t xml:space="preserve">Tendencias y disrupción</w:t>
      </w:r>
    </w:p>
    <w:p>
      <w:pPr>
        <w:spacing w:after="100"/>
      </w:pPr>
      <w:r>
        <w:t xml:space="preserve">Los pozos horizontales son más largos (laterales de 3-4 km) y se perforan en más capas, lo que aumenta la producción por acre de regalía sin coste para Viper [5]. La consolidación entre operadores (Diamondback-Endeavor en 2024) concentra la actividad en pocos operadores con planes a largo plazo. En el lado de la demanda, la IA aumenta el consumo eléctrico y de gas, pero no cambia la del petróleo a cinco años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propietario cotizado de derechos mineros del Pérmico por producción (134 Mboe/d frente a ≈ 32 Mboe/d de producción equivalente de regalías de TPL); ≈ 5-6 % del fondo de regalías del Pérmico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Pacific Land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Dueño de ≈ 880.000 acres de superficie en el Pérmico; además del petróleo cobra agua y servidumbres. Margen EBITDA del 82,6 %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 Stone Minerals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gas (Haynesville) que Pérmico; margen EBITDA 79,1 %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Kimbell Royalty Partners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Diversificada en varias cuencas; margen EBITDA 75,2 %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Dorchester Minerals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DMLP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sin deuda que reparte todo; margen EBITDA 85,3 %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PrairieSky Royalty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PSK.TO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Regalías en Alberta (no compite por tierras del Pérmico); margen EBITDA 96,1 %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Sitio Royalties (comprada por Viper en 2025)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Era el mayor rival en compras del Pérmico; ingresos de 624 M en 2024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los derechos no ganan valor por tener más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operador no puede dejar de pagar la regalía del acre que perfora, pero puede perforar otros acres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propiedad del subsuelo es perpetua y no la puede quitar un competidor; 90.212 acres netos en el núcleo de Midland y Delaware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capex ni costes de operación: margen EBITDA del 91-95 % (94,8 % en el 2T26 con coberturas) frente al 72,5 % de Diamondback [B6,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Diamondback opera el 38 % de sus acres y le da información de primera mano para comprar; 146 de 691 pozos del 2T26 eran suyos [B8].</w:t>
            </w:r>
          </w:p>
        </w:tc>
      </w:tr>
    </w:tbl>
    <w:p>
      <w:pPr>
        <w:spacing w:after="160" w:before="0"/>
      </w:pPr>
    </w:p>
    <w:p>
      <w:pPr>
        <w:pStyle w:val="Heading2"/>
      </w:pPr>
      <w:r>
        <w:t xml:space="preserve">Amenazas</w:t>
      </w:r>
    </w:p>
    <w:p>
      <w:pPr>
        <w:spacing w:after="100"/>
      </w:pPr>
      <w:r>
        <w:t xml:space="preserve">El foso protege el margen, no el precio: la regalía cobra un porcentaje de lo que vale el barril. Lo que lo erosiona es (1) que el operador perfore menos en sus tierras (Diamondback mantiene el capex plano en 2026 pese al petróleo alto [14]); (2) pagar demasiado en las compras, donde compite con TPL, Black Stone y fondos [1]; (3) el agotamiento: sin pozos nuevos, la producción de una regalía cae ≈ 30-40 % el primer año de cada pozo horizontal. Probabilidad media a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2021-2025: ingresos </w:t>
      </w:r>
      <w:r>
        <w:rPr>
          <w:b/>
          <w:bCs/>
        </w:rPr>
        <w:t xml:space="preserve">28,9 %</w:t>
      </w:r>
      <w:r>
        <w:t xml:space="preserve">, EBITDA </w:t>
      </w:r>
      <w:r>
        <w:rPr>
          <w:b/>
          <w:bCs/>
        </w:rPr>
        <w:t xml:space="preserve">27,7 %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505 M en 2021 a 1.395 M en 2025 y a 2.041 M en los doce meses a junio de 2026 [1, 2, 5], casi todo por compras: la producción media de petróleo era de 27.156 bo/d en 2024 y 65.077 bo/d en el 2T26 [5, 6]. El precio también pesa: el petróleo realizado fue de 75,48 USD/bbl en 2024, ≈ 64 en 2025 y 98,28 en el 2T26 por el cierre de Ormuz [5, 7]. El margen EBITDA ronda el 91-93 % todos los años porque Viper no paga pozos ni costes de operación: solo impuestos de producción (≈ 7 % de los ingresos) y gastos generales (0,65-0,94 USD/boe en caja) [5]. Lo que sí sube es la amortización por agotamiento (depletion): de 10,20 USD/boe en 2023 a 15,95-17,51 en 2026 [5, 7], porque las compras entran en el balance a valor razonable; por eso el BPA crece menos que el EBITDA. 2025 no es comparable: deterioro de techo de 768 M (método de coste completo, con el petróleo a ≈ 65 USD) y 32 M de pérdida por amortización anticipada de bonos [1].</w:t>
      </w:r>
    </w:p>
    <w:p>
      <w:pPr>
        <w:pStyle w:val="Heading2"/>
      </w:pPr>
      <w:r>
        <w:t xml:space="preserve">Ajustes y partidas no recurrentes</w:t>
      </w:r>
    </w:p>
    <w:p>
      <w:pPr>
        <w:spacing w:after="100"/>
      </w:pPr>
      <w:r>
        <w:t xml:space="preserve">Cifras publicadas. Ajustes: (1) 2025: deterioro de techo de 360 M en el 3T25 y 408 M en el 4T25 (no caja, por la caída del precio medio de 12 meses de la SEC), en no recurrentes [1, 7]; (2) 2023: 108 M de bono de arrendamiento pagado por Diamondback, puntual [3]; (3) 2024: el beneficio neto (359 M) incluye un ingreso fiscal de 99,7 M por la liberación de una provisión de activos fiscales diferidos, que infla el BPA (3,82 USD) [1]; (4) la empresa publica un «beneficio neto ajustado» que quita las coberturas no realizadas y el deterioro (2T26: 1,78 USD consolidado por acción de clase A, 0,76 USD atribuible) [5]. El BPA publicado es el de la clase A (beneficio atribuible ÷ acciones A); el beneficio de OpCo que corresponde a las clases B va a minoritarios.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(3-ago-2026) la dirección subió la guía de producción de 2026 a 66.000-67.250 bo/d (antes 64.500-66.500 sin Riverbend) y dio 67.500-68.500 bo/d para el 3T26 [5]. El mensaje cambió respecto al 1T26: Viper sube el dividendo base un 32 %, a 2,00 USD anuales por acción de clase A («protegido hasta ≈ 30 USD/bbl»), y abandona el compromiso de devolver cada trimestre al menos el 75 % de la caja disponible; la caja retenida irá a recompras «oportunistas», deuda y compras [5]. En el 1T26 el énfasis estaba en Riverbend (≈ 339 M en caja + 3,69 M de acciones) y en recomprar acciones por debajo de su valor [4, 6]. En el 2T26 el realizado del petróleo fue de 98,28 USD/bbl frente a 73,16 en el 1T26 y 63,64 un año antes [5]. Sobre el ritmo de Diamondback: 146 de los 691 pozos brutos puestos en producción en el 2T26 eran suyos (7,0 % de regalía media) y 12 de los 106 equipos que perforaban en las tierras de Viper [5]. No tenemos la transcripción de la conferencia: lo que preguntaron los analistas no está en las fuentes primarias leídas.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Compra a Diamondback de 1979 Royalties (1-may-2025: 873 M en caja + 69,6 M de OpCo Units) y compra de Sitio Royalties (19-ago-2025, toda en acciones, ≈ 4.000 M con deuda): la cuenta de 2025 solo recoge 8 y 4,5 meses; el balance de cierre, todo [1]; 2024: Compra de TWR IV (oct-2024) y otras compras de derechos (696 M en caja) [3]; 2023: Compra de derechos de GRP Energy Capital (nov-2023; 905 M en caja en el año)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pasó de 1.083 M a 2.186 M en 2025 por la compra de 1979 Royalties y la deuda que se retiró de Sitio; bajó a 1.695 M en junio de 2026 con los 617 M de la venta de los activos fuera del Pérmico (9-feb-2026) [1, 5]. Con un EBITDA de ≈ 2.000 M anuales al precio de 2026, el apalancamiento es bajo (≈ 0,8 veces) y la agencia S&amp;P puso la nota en perspectiva positiva [1]. El circulante es casi todo cuentas a cobrar por regalías (488 M en junio: 2,2 meses de ingresos), que suben y bajan con el precio del petróleo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3.318</w:t>
      </w:r>
      <w:r>
        <w:t xml:space="preserve">, conversión </w:t>
      </w:r>
      <w:r>
        <w:rPr>
          <w:b/>
          <w:bCs/>
        </w:rPr>
        <w:t xml:space="preserve">473 %</w:t>
      </w:r>
      <w:r>
        <w:t xml:space="preserve"> del beneficio neto; adquisiciones 4.369, dividendos 2.145, recompras 486.</w:t>
      </w:r>
    </w:p>
    <w:p>
      <w:pPr>
        <w:spacing w:after="100"/>
      </w:pPr>
      <w:r>
        <w:t xml:space="preserve">La conversión en caja es muy alta: flujo operativo de 1.053 M en 2025 frente a un EBITDA ajustado consolidado de 1.302 M (81 %, por intereses e impuestos) y 815 M en el 1S26 [1, 5, 6]. No hay capex de mantenimiento: los operadores pagan la perforación [1]. El «capex» real de Viper son las compras de derechos: 905 M en 2023, 696 M en 2024 y 2.424 M en caja en 2025 (más acciones por Sitio y OpCo Units por las compras a Diamondback) [1, 3]. Sin compras, la producción de una regalía cae a medida que se agota cada pozo; la mantienen los pozos nuevos que perforan Diamondback y los demás operadores en sus tierras (1.798 pozos en desarrollo y 1.589 a la vista a 1-jul-2026) [5]. Dividendos en la tabla = a la clase A más las distribuciones de OpCo a Diamondback y a otros socios (745 M en 2025).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Grant Thornton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(con asunto crítico de auditoría: estimación de reservas para el agotamiento, el deterioro y la valoración de Sitio)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Método de coste completo (full cost): todas las compras van a un único fondo que se amortiza por unidades producidas sobre las reservas probadas y se prueba cada trimestre contra el valor de esas reservas a precios de la SEC (media de 12 meses), descontadas al 10 % [1]. Con el petróleo de 2025 (≈ 65 USD) el techo saltó y hubo 768 M de deterioro; con el de 2026, más alto, no se espera otro [1, 5]. Las reservas las prepara el personal de Diamondback y las audita Ryder Scott (100 %) [1]. Los pagos en acciones son pequeños (0,25 USD/boe en el 2T26) [5]. La partida que más distorsiona es fiscal: Viper paga impuestos solo por su parte de OpCo y su base fiscal es inferior a la contable, así que el tipo en caja es del 27-30 % del beneficio antes de impuestos atribuible [5]. Lectura de los indicadores del motor: Altman y Piotroski salen distorsionados por el deterioro de 2025 y por el salto de balance de Sitio; el Beneish puede marcar crecimiento de ventas por las compras, no por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estimadas por personal de la matriz</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prepara Diamondback y las audita Ryder Scott; afectan al agotamiento y al deterioro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techo recurrentes en precios bajos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 M en 2020 y 768 M en 2025 [1, 2]: el beneficio contable cae justo cuando cae el petróleo.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y bonos de partes vinculadas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108 M de bono de Diamondback en 2023 y 24 M en 2025, aprobados por el comité de auditoría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1,9 % · </w:t>
      </w:r>
      <w:r>
        <w:rPr>
          <w:b/>
          <w:bCs/>
        </w:rPr>
        <w:t xml:space="preserve">WACC</w:t>
      </w:r>
      <w:r>
        <w:t xml:space="preserve">: 9,8 %.</w:t>
      </w:r>
    </w:p>
    <w:p>
      <w:pPr>
        <w:spacing w:after="100"/>
      </w:pPr>
      <w:r>
        <w:t xml:space="preserve">Viper tiene márgenes de regalía (EBITDA ≈ 91 % de los ingresos) pero no un ROIC alto, porque su capital es el precio que pagó por los derechos. El ROIC bajó del 12-23 % de 2021-2024 al 5,4 % de 2025: el capital invertido pasó de 4.439 M a 8.750 M con 1979 Royalties y Sitio, compradas a valor de mercado y pagadas con acciones, y el petróleo bajó a 63 USD [1]. Con el petróleo de guerra de 2026 (≈ 88 USD) el resultado operativo después de impuestos sería ≈ 1.100 M sobre ≈ 12.000 M de capital: ≈ 9 %, todavía por debajo del WACC del 9,77 %. ROIC − WACC ≈ −4 puntos con lo publicado y ≈ −1 con el petróleo de 2026: no crea valor sobre el capital invertido. El ROIC incremental histórico es del 1,9 %: las compras rinden a sus vendedores, no al comprador. Lo que crea valor en una regalía es que el operador pague la perforación; eso ya está en el precio de compra.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77 M y ≈ 1.900 M disponibles del crédito revolving de 2.000 M (vence en junio de 2031), ≈ 2.000 M de liquidez total a 30-jun-2026 [5,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perspectiva positiva desde sep-2026), BBB- (Fitch), Ba1 (Moody's)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sin arrendamientos relevantes ni factoring: Viper no tiene empleados (Diamondback le presta el personal) ni pozos que operar [1]. Deuda a 30-jun-2026: 500 M de bonos al 4,900 % 2030, 1.100 M al 5,700 % 2035 y 95 M del revolving [5]. El crédito tiene compromisos de apalancamiento con mucha holgura (deuda neta ≈ 0,7 veces el EBITDA de los últimos doce meses) [1, 5]. Hechos posteriores al balance: Riverbend se pagó el 1-jul-2026 con ≈ 314 M de caja nueva (339 M menos 25 M que ya estaban en depósito) más 3,69 M de acciones A, y se recompraron 29 M de acciones en julio [4, 5]. La compra a Diamondback de 933 acres netos (1-sep-2026) se pagó con 3,82 M de OpCo Units, sin caja [10]. TWR IV tiene una opción sobre 6,75 M de acciones B ligadas a sus OpCo Units [4].</w:t>
      </w:r>
    </w:p>
    <w:p>
      <w:pPr>
        <w:pStyle w:val="Heading1"/>
      </w:pPr>
      <w:r>
        <w:t xml:space="preserve">12. Asignación de capital</w:t>
      </w:r>
    </w:p>
    <w:p>
      <w:pPr>
        <w:pStyle w:val="Confianza"/>
        <w:spacing w:after="100"/>
      </w:pPr>
      <w:r>
        <w:t xml:space="preserve">Confianza: Media</w:t>
      </w:r>
    </w:p>
    <w:p>
      <w:pPr>
        <w:spacing w:after="100"/>
      </w:pPr>
      <w:r>
        <w:t xml:space="preserve">Hasta el dividendo del 2T26, Viper repartía al menos el 75 % de la caja disponible (dividendo base + variable + recompras) [5]. Desde el 3T26 paga un dividendo base de 2,00 USD anuales por acción A (0,50 trimestral), un 32 % más, y deja de comprometer el variable; la caja sobrante irá a recompras, deuda y compras [5]. Programa de recompras ampliado a 1.750 M el 18-feb-2026, con ≈ 984 M disponibles a 31-jul-2026; desde 2020 ha recomprado 24,3 M de acciones a 31,50 USD de media [4, 5]. También recompra OpCo Units a socios que salen (Kimmeridge a 40,65 USD; Oaktree, 1 M a 45,90 USD) [4,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Derechos de Diamondback (933 acres netos)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3.815.459 OpCo Units (≈ 160 M al precio de agosto, estimación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1-sep-2026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Riverbend Oil &amp; Gas IX (2.772 acres netos, ≈ 2.000 bo/d)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339 M en caja + 3,69 M de acciones 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1-jul-2026; añade ≈ 1.000 bo/d a la guía de 2026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activos fuera del Pérmico (9.400 acres netos, 4.750 bo/d)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9-feb-2026; reduce deuda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Sitio Royalties (34.300 acres netos)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en acciones; retiro de ≈ 1.200 M de deuda neta de Sitio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19-ago-2025; seis meses después se vendió la parte no pérmica. Deterioro de techo de 768 M en 2025 en el fondo común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1979 Royalties de Diamondback-Endeavor (24.446 acres netos, 69 % operados por Diamondback)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873 M en caja + 69,6 M de OpCo Units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1-may-2025; triplica el peso de Diamondback como operador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TWR IV y otras compras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OpCo Units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GRP Energy Capital (derechos en el Pérmico)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deuda y emisión de 200 M a Diamondback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Integradas [3].</w:t>
            </w:r>
          </w:p>
        </w:tc>
      </w:tr>
    </w:tbl>
    <w:p>
      <w:pPr>
        <w:spacing w:after="160" w:before="0"/>
      </w:pPr>
    </w:p>
    <w:p>
      <w:pPr>
        <w:spacing w:after="100"/>
      </w:pPr>
      <w:r>
        <w:t xml:space="preserve">Viper crece comprando: 9.000 M en compras desde 2023 frente a un capital invertido de 12.200 M [1]. Lo hace pagando en parte con acciones (Sitio, Riverbend) y OpCo Units a Diamondback: las clases A+B pasaron de ≈ 165 M en 2023 a ≈ 370 M hoy [1, 4, 10]. El BPA de la clase A no ha subido con ello (2,69 USD en 2023; 1,27 en el 1S26) [1, 5]. La prueba de que crean valor por acción es la producción de petróleo por acción, que la empresa dice que sube; con el balance a valor razonable, el rendimiento contable del capital ha caído. Las recompras se hacen cerca de 45 USD, el precio de la colocación de Diamondback de marzo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Kaes Van't Hof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de Viper y de Diamondback</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Viper de 2017 a 2025 y director financiero de Diamondback de 2019 a 2025; dirigió la compra de Sitio y las compras a Diamondback. Desde mayo de 2025 es también CEO de Diamondback, la matriz que vende derechos a Viper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Austen Gilfillian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directivo dedicado en exclusiva a Viper (cedido por Diamondback); su retribución de 2,54 M USD la paga Viper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Teresa L. Dick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Viper desde su salida a bolsa y responsable contable de Diamondback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E. West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antiguo CEO de Diamondback (2009-2011) y consejero de Diamondback; antes en Wexford Capital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Travis D. Stice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(designado por Diamondback)</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de Viper hasta febrero de 2025 y de Diamondback hasta mayo de 2025; presidente del consejo de Diamondback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30.000-31.000 bo/d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31.311 bo/d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40.000-43.000 bo/d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41.615 bo/d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65.000-67.000 bo/d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66.413 bo/d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62.500-64.500 bo/d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65.000 bo/d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61.000-67.000 bo/d (feb-2026)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a 66.000-67.250 bo/d en agosto (con Riverbend)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cumple las guías de producción trimestrales [5]. El problema no es la credibilidad sino la doble función: Kaes Van't Hof es CEO de Viper y de Diamondback, y Viper compra derechos a Diamondback a precios que acuerdan las dos partes (el comité de auditoría aprueba las operaciones vinculadas) [1, 20]. Los directivos tienen participaciones pequeñas en Viper (Van't Hof, 35.362 acciones A) y grandes en Diamondback [20]. La sucesión está ligada a la de Diamondback, que hizo el relevo de Stice a Van't Hof en 2025 con un año de aviso [20].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E. West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Kaes Van't Hof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Travis D. Stice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Laurie H. Argo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D. Armour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C. Hu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 Wesley Perry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L. Rubin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Grotzinger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79,4 %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(con asunto crítico de auditoría: estimación de reservas para el agotamiento, el deterioro y la valoración de Sitio)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589,47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Diamondback Energy (clase B y OpCo Units)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12,9 M de acciones A en marzo de 2026 (589 M USD) y recibió 3,82 M de OpCo Units en septiembre [4, 21,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Antiguos socios de Sitio OpCo (Kimmeridge, Blackstone y otros)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 (clase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Kimmeridge vendió 1 M de OpCo Units a Viper en diciembre de 2025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(clase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18,75 M de acciones A (13G/A de feb-2026)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(clase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 M de acciones A (13G de nov-2025)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TWR IV (Tumbleweed)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 (OpCo Units)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en la colocación de marzo de 2026 [4,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Concesiones de acciones; sin compras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Diamondback Energy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12.391.304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Diamondback Energy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510.071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Viper solo paga a sus directivos acciones por objetivos (PSU), ligadas al rendimiento total para el accionista frente a un grupo de petroleras y de regalías, con un modificador por rendimiento absoluto: 1,83 M USD a Van't Hof en 2025 [20]. El sueldo y el bonus los paga Diamondback, salvo al presidente Gilfillian (2,54 M en 2025, todo cargado a Viper) [20]. El voto consultivo de 2025 fue del 79,4 % a favor, bajo para un consejo controlado: casi el 40 % del voto es de Diamondback, así que el rechazo entre los accionistas libres fue mucho mayor (no se puede calcular sin el acta) [20]. Hay política de recuperación (clawback) [20].</w:t>
      </w:r>
    </w:p>
    <w:p>
      <w:pPr>
        <w:pStyle w:val="Heading2"/>
      </w:pPr>
      <w:r>
        <w:t xml:space="preserve">Operaciones vinculadas, estructura de control y defensas</w:t>
      </w:r>
    </w:p>
    <w:p>
      <w:pPr>
        <w:spacing w:after="100"/>
      </w:pPr>
      <w:r>
        <w:t xml:space="preserve">Diamondback tiene el 39,2 % del capital económico y del voto (clase B, una acción un voto, canjeables 1:1 por clase A) y el derecho a designar consejeros (Stice y Van't Hof) [4, 20]. El presidente del consejo es el fundador de Diamondback y consejero suyo [20]. Viper no tiene empleados: un contrato de servicios con Diamondback le da directivos y personal (17 M de gastos generales vinculados en 2025) [1]. Diamondback no está obligada a ofrecer sus derechos a Viper y puede competir con ella por compras; las operaciones vinculadas las aprueba el comité de auditoría, de independientes [1]. Hasta marzo de 2024 Viper era una «controlled company» del Nasdaq con menos protecciones [20].</w:t>
      </w:r>
    </w:p>
    <w:p>
      <w:pPr>
        <w:pStyle w:val="Heading2"/>
      </w:pPr>
      <w:r>
        <w:t xml:space="preserve">Señales de alerta</w:t>
      </w:r>
    </w:p>
    <w:p>
      <w:pPr>
        <w:pStyle w:val="ListParagraph"/>
        <w:numPr>
          <w:ilvl w:val="0"/>
          <w:numId w:val="2"/>
        </w:numPr>
        <w:spacing w:after="60"/>
      </w:pPr>
      <w:r>
        <w:t xml:space="preserve">Kaes Van't Hof es a la vez CEO de Viper y de Diamondback, que le vende derechos (2025: 1979 Royalties por 4.450 M; 2026: 933 acres por 3,82 M de OpCo Units) [1, 20].</w:t>
      </w:r>
    </w:p>
    <w:p>
      <w:pPr>
        <w:pStyle w:val="ListParagraph"/>
        <w:numPr>
          <w:ilvl w:val="0"/>
          <w:numId w:val="2"/>
        </w:numPr>
        <w:spacing w:after="60"/>
      </w:pPr>
      <w:r>
        <w:t xml:space="preserve">Diamondback vendió 12,9 M de acciones A (589 M USD) en marzo de 2026; puede volver a colocar [21, 22].</w:t>
      </w:r>
    </w:p>
    <w:p>
      <w:pPr>
        <w:pStyle w:val="ListParagraph"/>
        <w:numPr>
          <w:ilvl w:val="0"/>
          <w:numId w:val="2"/>
        </w:numPr>
        <w:spacing w:after="60"/>
      </w:pPr>
      <w:r>
        <w:t xml:space="preserve">Voto consultivo de retribución del 79,4 % en 2025, con ≈ 40 % del voto en manos de Diamondback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producción de 2026 (3-ago-2026): 66.000-67.250 bo/d (132.500-135.000 boe/d), subida desde 61.000-67.000 en febrero; 3T26: 67.500-68.500 bo/d [5]. Agotamiento de 14,75-17,25 USD/boe, gastos generales en caja de 0,70-0,90 USD/boe, intereses de 1,90-2,40 USD/boe, impuestos de producción ≈ 7 % y tipo fiscal en caja del 27-30 % [5]. Dividendo base de 2,00 USD anuales desde el 3T26 [5]. No hay guía para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16 analistas de BPA; EBITDA = ventas × 91,5 % (estimación propia: margen de 2025-2026)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15 analistas de BPA; EBITDA = ventas × 91,5 % (estimación propia)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45,00 – 65,00</w:t>
            </w:r>
          </w:p>
        </w:tc>
      </w:tr>
    </w:tbl>
    <w:p>
      <w:pPr>
        <w:spacing w:after="160" w:before="0"/>
      </w:pPr>
    </w:p>
    <w:p>
      <w:pPr>
        <w:pStyle w:val="Heading2"/>
      </w:pPr>
      <w:r>
        <w:t xml:space="preserve">Revisiones de estimaciones</w:t>
      </w:r>
    </w:p>
    <w:p>
      <w:pPr>
        <w:spacing w:after="100"/>
      </w:pPr>
      <w:r>
        <w:t xml:space="preserve">El BPA de 2027 del consenso sube de 2.41 USD hace 90 días a 2.64 hoy (+9.6 %) y el de 2026 de 2.6 a 2.68, por el petróleo más caro [25]. Los objetivos de precio se han movido poco: tras el 2T26 Barclays bajó a 58 USD, Roth a 50 y Mizuho a 56 [32]; hay 21 recomendaciones de compra y ninguna de venta [25]. Seeking Alpha publicó una rebaja de recomendación el 16-oct («mejores rentabilidades por regalías en otros sitios») [31]. Solo hay una fuente gratuita con estimaciones completas (Yahoo): las de 2028 no están.</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bl>
    <w:p>
      <w:pPr>
        <w:spacing w:after="160" w:before="0"/>
      </w:pPr>
    </w:p>
    <w:p>
      <w:pPr>
        <w:spacing w:after="100"/>
      </w:pPr>
      <w:r>
        <w:t xml:space="preserve">VNOM ha ganado un 32,2 % en un año (con dividendos) frente al 15,8 % del S&amp;P 500, pero la mitad que el sector energético (XLE, +60,9 %) [24]: la acción no ha seguido al petróleo. En marzo de 2026, con el WTI a ≈ 73 USD, cotizaba a ≈ 46 USD (precio de la colocación de Diamondback) y hoy, con el WTI a ≈ 98, a 45,85 [24, 34]. El mercado la valora por el precio a largo plazo, no por el de hoy. La caída de 2025 (−16,6 %) vino del petróleo a ≈ 65 USD y de la dilución por Sitio [24]. Beta mensual de 5 años de 0,52 frente al S&amp;P 500 (0,68 ajustada) [24].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 / +2,1 % / -3,3 % / +25,5 %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 +28,6 %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3-mar Diamondback, EnCap y Oaktree anuncian la colocación de 17,4 M de acciones A a 45,90 USD (≈ 800 M USD); Diamondback vende 12,9 M (589 M) [21,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seis: del 5-jun al 6-jul el WTI pasa de 90,5 a 68,6 USD con las conversaciones sobre Ormuz; Viper cae de 45,46 a 40,48 USD [24,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16-sep Diamondback cae un 8 % (rebaja de Morgan Stanley, venta de un directivo y rotación sectorial) y el WTI un 3 %; Viper le sigue (de 45,96 a 43,19 USD). Ese día Viper solo publicó el nombramiento de un consejero [23,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un mes con el petróleo: ataques a petroleros y al oleoducto saudí Este-Oeste a mediados de octubre; WTI de ≈ 98-102 USD [18,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del calendario [33]): primer trimestre con el dividendo base de 0,50 USD y guía de volumen de 2027 de Diamondback y de Viper.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en Seeking Alpha («mejores rentabilidades por regalías en otros sitios»); los 21 analistas de Yahoo siguen en compra, objetivo medio de 55,48 USD [25,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Viper compra a Diamondback 933 acres netos de regalía pagando con 3,8 M de OpCo Units: Diamondback sube al 39,2 % y vuelve a tener papel que vender (vendió en marzo) [10, 20]. Overhang posible, sin colocación anunciada.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BPA ajustado de 0,76 USD, producción de 134.363 boe/d (+69,5 %), dividendo base subido un 32 % a 2,00 USD anuales y fin del dividendo variable comprometido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Riverbend Oil &amp; Gas IX (≈ 505 M USD en caja y acciones)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Crédito revolving ampliado a 2.000 M USD con vencimiento en 2031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se mueve con el petróleo (+13 % en un mes con los ataques a petroleros y al oleoducto saudí) y con Diamondback (−6 % el 16-sep, −5,9 % con la colocación de marzo). No hay un hecho de la empresa que cambie la tesis: los resultados del 2-nov están a 12 días pero la tendencia es lateral, y la posible venta de Diamondback (39,2 %) no está anunciada. La recomendación es Vender por valoración; si algún día fuera Comprar, una colocación de Diamondback a precio de mercado sería el punto de entrada, no un motivo para esperar.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múltiplos LTM que calcula el motor sobre el BPA de la clase A no sirven solos: hasta 2023 Viper era una sociedad comanditaria con asignaciones especiales de beneficio y en 2024-2025 el BPA lleva un ingreso fiscal (2024) y un deterioro (2025). Por eso 2025 se excluye. La historia útil del PER es la adelantada que construimos en la sección de valoración con un beneficio por unidad normalizado (sin deterioros y con impuesto completo).</w:t>
      </w:r>
    </w:p>
    <w:p>
      <w:pPr>
        <w:pStyle w:val="Heading1"/>
      </w:pPr>
      <w:r>
        <w:t xml:space="preserve">18. Comparables cotizados</w:t>
      </w:r>
    </w:p>
    <w:p>
      <w:pPr>
        <w:pStyle w:val="Confianza"/>
        <w:spacing w:after="100"/>
      </w:pPr>
      <w:r>
        <w:t xml:space="preserve">Confianza: Media</w:t>
      </w:r>
    </w:p>
    <w:p>
      <w:pPr>
        <w:spacing w:after="100"/>
      </w:pPr>
      <w:r>
        <w:t xml:space="preserve">Propietarios cotizados de derechos mineros y regalías de petróleo y gas en Norteamérica (TPL, Black Stone, Kimbell, Dorchester, PrairieSky, Freehold), con el mismo modelo sin capex; y Diamondback, el operador que perfora sus tierras, como referencia de cómo valora el mercado el mismo barril con costes. Sitio ya no cotiza (la compró Viper). No se incluyen fideicomisos (Permian Basin Royalty Trust, Sabine) porque se liquidan con el agotamiento y no hay estimaciones. EBITDA de los próximos 12 meses = ventas estimadas × margen de los últimos 12 meses (estimación propia, mismo proveedor); el «per adelantado» que publica Yahoo para TPL (4,8x) está mal y se recalcula con el BPA estimado. Canadienses convertidas a USD a 0,709 USD/CAD.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Pacific Land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 Stone Minerals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Kimbell Royalty Partners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Dorchester Minerals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PrairieSky Royalty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Freehold Royalties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Diamondback Energy (operador, matriz)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9,7x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10,0x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19,3x / 29,9x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 / 7,9x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-5,9 + 1,12 × crecimiento; R² = 0,63. Para el crecimiento esperado de la empresa (12,9 %), el múltiplo ajustado es 8,5x y el valor por acción, 45,63.</w:t>
      </w:r>
    </w:p>
    <w:p>
      <w:pPr>
        <w:spacing w:after="100"/>
      </w:pPr>
      <w:r>
        <w:t xml:space="preserve">Los propietarios de regalías cotizan con prima sobre el operador: mediana del PER de los próximos 12 meses de 19.3x en el grupo, con TPL (34,7x) y PrairieSky (32,3x) muy por encima y Black Stone (13,0x) y Kimbell (15,9x) cerca de Viper; Diamondback, a 9,6x. Viper cotiza a ≈ 17x el BPA de consenso de los próximos 12 meses, en la parte baja de las regalías puras pese a su margen (91-95 %) y su concentración en el núcleo del Pérmico. La prima de TPL se explica por el agua y las servidumbres (ingresos sin agotamiento) y por no tener deuda. Usaríamos el rango de Black Stone-Kimbell-Freehold (13-23x) como referencia.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Sitio Royalties (34.300 acres netos)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Viper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 4.000 M con la deuda de Sitio [17]; ventas de Sitio de 624 M en 2024 y EBITDA ajustado del 4T24 de 141,2 M anualizado (565 M): estimación propia del múltiplo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1979 Royalties (Endeavor, 24.446 acres netos)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Viper Energy (a su matriz Diamondback)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vinculada: 873 M en caja + 69,6 M de OpCo Units; sin múltiplo publicado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Riverbend Oil &amp; Gas IX (2.772 acres netos, ≈ 2.000 bo/d)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Viper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339 M en caja + 3,69 M de acciones A (≈ 166 M a 45 USD, estimación propia); ≈ 250.000 USD por barril diario de petróleo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Viper fuera del Pérmico (9.400 acres netos, 4.750 bo/d)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GRP Energy Capital y Warwick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130.000 USD por barril diario: las regalías fuera del Pérmico valen la mitad por barril que Riverbend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Derechos de Diamondback (933 acres netos)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(a su matriz)</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3,82 M de OpCo Units; operación vinculada [30].</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derechos del Pérmico se pagan a ≈ 7 veces el EBITDA (Sitio) o 250.000 USD por barril diario de petróleo (Riverbend), por debajo de las ≈ 8,3 veces a las que cotiza Viper sobre el EBITDA de los últimos 12 meses (Yahoo) [26]. Con Diamondback en el 39 % y con derecho a designar consejeros, una opa de un tercero no es probable; la operación posible es que Diamondback compre el resto, como hizo con Rattler Midstream en 2022 [30].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son volumen × precio. 2026e (+80,9 %, fijo): 1T 511 M + 2T 677 M reales [5, 6] + 3T ≈ 637 M (68 kbo/d × 87,30 USD, el precio realizado del 3T26 de Diamondback [15]) + 4T ≈ 698 M (69 kbo/d con la curva de futuros). Volumen: guía de 66.000-67.250 bo/d para 2026 [5]; después ≈ +2 % en 2027 (compra de septiembre a Diamondback, 1.798 pozos brutos en desarrollo y 1.589 «a la vista» [40]) y plano a ligeramente negativo desde 2030. Precio: la CURVA DE FUTUROS del WTI del 21-oct-2026 [27] (realizado ≈ 88 USD en 2026 y 2027, 77 en 2028, 71 en 2029, 69 en 2030, +2 % al año después), no un solo precio: el bajista y el alcista llevan sus propias curvas. La EIA da 88 USD en 2026 y 80 en 2027 [12]. Gas casi sin valor (Waha a 0,05 USD/Mcf en el 2T26 [40]).</w:t>
      </w:r>
    </w:p>
    <w:p>
      <w:pPr>
        <w:keepNext/>
        <w:spacing w:after="100"/>
      </w:pPr>
      <w:r>
        <w:rPr>
          <w:b/>
          <w:bCs/>
        </w:rPr>
        <w:t xml:space="preserve">Márgenes.</w:t>
      </w:r>
    </w:p>
    <w:p>
      <w:pPr>
        <w:spacing w:after="100"/>
      </w:pPr>
      <w:r>
        <w:t xml:space="preserve">Margen EBITDA del 92 % en 2026e (91-93 % real con impuestos de producción del ≈ 7 % y gastos generales de 0,70-0,90 USD/boe [5]), bajando al 90,5 % cuando el petróleo vuelve a 69-71 USD porque los gastos fijos pesan más. No hay costes de perforación: los paga el operador.</w:t>
      </w:r>
    </w:p>
    <w:p>
      <w:pPr>
        <w:keepNext/>
        <w:spacing w:after="100"/>
      </w:pPr>
      <w:r>
        <w:rPr>
          <w:b/>
          <w:bCs/>
        </w:rPr>
        <w:t xml:space="preserve">Inversión y circulante.</w:t>
      </w:r>
    </w:p>
    <w:p>
      <w:pPr>
        <w:spacing w:after="100"/>
      </w:pPr>
      <w:r>
        <w:t xml:space="preserve">Una regalía no invierte en pozos. El «capex» del DCF son compras de derechos para sostener el volumen: cero hasta 2029 (el inventario de los operadores lo sostiene: 106 equipos en sus tierras, 12 de Diamondback [40]) y del 3 % al 16 % de los ingresos de 2030 a 2035, para que el volumen caiga solo ≈ 1 % al año en el terminal. Las reservas probadas son de 406 MMboe (78 % desarrolladas en producción), ≈ 8 años de la producción de 2026 [39]; el inventario sin probar es mayor, pero se agota. Amortización por agotamiento de ≈ 16 USD/boe (guía 14,75-17,25 [5]), alta porque las compras se contabilizan a valor razonable, convergiendo al 16 % de los ingresos. Circulante del 19,5 % (cobros de dos a tres meses).</w:t>
      </w:r>
    </w:p>
    <w:p>
      <w:pPr>
        <w:keepNext/>
        <w:spacing w:after="100"/>
      </w:pPr>
      <w:r>
        <w:rPr>
          <w:b/>
          <w:bCs/>
        </w:rPr>
        <w:t xml:space="preserve">Coste del capital.</w:t>
      </w:r>
    </w:p>
    <w:p>
      <w:pPr>
        <w:spacing w:after="100"/>
      </w:pPr>
      <w:r>
        <w:t xml:space="preserve">Tasa libre del 5,12 % (Tesoro a 10 años, 20-oct-2026 [28]); beta de 0,85 (la medida es de 0,52-0,68 [24], baja porque la acción ha seguido al petróleo y no al índice; usamos la de las petroleras de exploración y producción); prima del 5,5 % y 0,5 puntos más por la dependencia de Diamondback y del precio de una materia prima; deuda al 5,6 % (BBB−, bonos de 2030 al 4,9 % y de 2035 al 5,7 % [4]) con un peso del 9 %. WACC del 9,77 %. Con la prima implícita del mercado (4,2 % [29]) baja al 8,76 % y el DCF sube a 40,64 USD.</w:t>
      </w:r>
    </w:p>
    <w:p>
      <w:pPr>
        <w:keepNext/>
        <w:spacing w:after="100"/>
      </w:pPr>
      <w:r>
        <w:rPr>
          <w:b/>
          <w:bCs/>
        </w:rPr>
        <w:t xml:space="preserve">Valor terminal.</w:t>
      </w:r>
    </w:p>
    <w:p>
      <w:pPr>
        <w:spacing w:after="100"/>
      </w:pPr>
      <w:r>
        <w:t xml:space="preserve">Crecimiento a perpetuidad del 1,0 %: +2 % de precio y −1 % de volumen; una regalía en una cuenca madura no crece a la par que la economía. El valor terminal pesa un 37 %: lo que vale Viper son los próximos diez años de petróleo, no la perpetuidad.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 M (-52 %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 (histórico: 1,9 %)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 frente al 6,7 %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(hoy: 5,5 %)</w:t>
            </w:r>
          </w:p>
        </w:tc>
      </w:tr>
    </w:tbl>
    <w:p>
      <w:pPr>
        <w:spacing w:after="160" w:before="0"/>
      </w:pPr>
    </w:p>
    <w:p>
      <w:pPr>
        <w:spacing w:after="100"/>
      </w:pPr>
      <w:r>
        <w:t xml:space="preserve">La proyección apenas necesita inversión neta de la amortización (reinversión acumulada de -5.140 M, con un capex bruto medio del 6,0 % de las ventas). En un negocio de activos ligeros, el crecimiento medio del 6,7 % tiene que salir de subir precios y de ganar volumen sin capital nuevo, y la prueba es el poder de precios y la cuota (5,8 % del mercado en 2030e, frente al 5,5 %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+41 % (134 kboe/d frente a 95: 1979 Royalties y Sitio todo el año, Riverbend desde julio, menos lo vendido fuera del Pérmico) y precio +28 % por boe (WTI de 65 a ≈ 88 USD), que sobre el volumen nuevo suman 39,9 puntos [5,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(compra a Diamondback de septiembre y pozos en desarrollo) y precio realizado plano (≈ 88 USD: la curva arranca en 96 y acaba el año en 82) [27].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−13 % (77 USD con la curva: la EIA supone que la producción del Golfo vuelve a la normalidad a mediados de 2027 [13]) y volumen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−8 % (71 USD) y volumen +0,5 %: el inventario de los operadores se va agotando.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−2 % (69 USD) y volumen −0,5 %; desde 2030 Viper tiene que comprar derechos para no perder producción.</w:t>
            </w:r>
          </w:p>
        </w:tc>
      </w:tr>
    </w:tbl>
    <w:p>
      <w:pPr>
        <w:spacing w:after="160" w:before="0"/>
      </w:pPr>
    </w:p>
    <w:p>
      <w:pPr>
        <w:spacing w:after="100"/>
      </w:pPr>
      <w:r>
        <w:t xml:space="preserve">La proyección no pide crecimiento: los ingresos de 2030e (≈ 2.060 M) quedan un 18 % por debajo de los de 2026e porque el petróleo vuelve de 88 a 69 USD con la curva, y la cuota del fondo de regalías del Pérmico pasa del 5,5 % al 5,8 % (estimación propia del mercado [1]). El volumen se sostiene sin capital propio porque perforan los operadores (106 equipos en sus tierras [40]) y, desde 2030, con compras de derechos que el DCF sí paga (hasta el 16 % de los ingresos). El motor también da «Sí». El riesgo de la prueba no es el volumen sino el precio, y lo recogen los escenarios.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(base: -1,6 %)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111,2 % (base: 90,5 %)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9,8 %)</w:t>
            </w:r>
          </w:p>
        </w:tc>
      </w:tr>
    </w:tbl>
    <w:p>
      <w:pPr>
        <w:spacing w:after="160" w:before="0"/>
      </w:pPr>
    </w:p>
    <w:p>
      <w:pPr>
        <w:spacing w:after="100"/>
      </w:pPr>
      <w:r>
        <w:t xml:space="preserve">El DCF da 36,27 USD por acción, un 20,9 % bajo el precio, con un WACC del 9,77 % y la curva de futuros: el petróleo de guerra de 2026-2027 pesa poco porque la curva lo devuelve a 69-71 USD en 2029-2030. El DCF inverso dice que el precio de 45,85 USD descuenta una rentabilidad del 7,8 % anual (frente al 9,77 % que pedimos) o un crecimiento de los ingresos 3,7 puntos mayor que nuestro base cada año: en la práctica, un WTI de ≈ 80-85 USD sostenido, no la curva. Con la prima del mercado (4,2 %) el DCF sube a 40,64 USD (−11 %). El precio paga el petróleo de hoy durante años.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Alto el fuego con Irán y reapertura de Ormuz en el 1S27; la OPEP+ devuelve los 4,5 Mb/d cortados y añade su producción parada desde 2025: el WTI cae a 68 USD en 2027 y a 60 en 2028-2029 (lo que pasó en 2015-2016 y en 2020). Diamondback y los demás operadores recortan equipos y la guía de volumen se queda plana.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curva de futuros del 21-oct-2026: WTI realizado de ≈ 88 USD en 2026 y 2027, 77 en 2028, 71 en 2029 y 69 en 2030; volumen plano a ligeramente creciente con el inventario de los operadores y compras desde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Ormuz sigue cortado buena parte de 2027 y la reposición de inventarios mundiales mantiene el WTI en 95 USD en 2027, 90 en 2028 y 85 en 2029 (la EIA supone 105 USD de Brent en el 4T26 [13]); el gas de Waha se recupera con los nuevos gasoductos.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4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35,06 USD (-23,5 %).</w:t>
      </w:r>
    </w:p>
    <w:p>
      <w:pPr>
        <w:spacing w:after="100"/>
      </w:pPr>
      <w:r>
        <w:t xml:space="preserve">Los tres escenarios del DCF quedan por debajo del precio: bajista 28,16 USD (−38,6 %), base 36,27 (−20,9 %) y alcista 39,54 (−13,8 %). La asimetría es desfavorable (−0,36x) y la razón es la misma en los tres: el precio actual equivale a un petróleo de ≈ 80-85 USD durante una década, por encima incluso de nuestro alcista a partir de 2030. El valor depende del petróleo de 2027-2032, no del de hoy.</w:t>
      </w:r>
    </w:p>
    <w:p>
      <w:pPr>
        <w:pStyle w:val="Heading1"/>
      </w:pPr>
      <w:r>
        <w:t xml:space="preserve">22. Suma de partes</w:t>
      </w:r>
    </w:p>
    <w:p>
      <w:pPr>
        <w:pStyle w:val="Confianza"/>
        <w:spacing w:after="100"/>
      </w:pPr>
      <w:r>
        <w:t xml:space="preserve">Confianza: Alta</w:t>
      </w:r>
    </w:p>
    <w:p>
      <w:pPr>
        <w:spacing w:after="100"/>
      </w:pPr>
      <w:r>
        <w:t xml:space="preserve">No aplica: Viper tiene un solo negocio (derechos mineros y regalías en el Pérmico), sin participadas ni segmentos con valor separable. La participación de Diamondback (≈ 39 % de las unidades) no es una parte del negocio sino del accionariado: se trata en la estructura y en los riesgos [4, 20].</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4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37,28 USD (-18,7 % sobre 45,85).</w:t>
      </w:r>
    </w:p>
    <w:p>
      <w:pPr>
        <w:spacing w:after="100"/>
      </w:pPr>
      <w:r>
        <w:t xml:space="preserve">Pesos: DCF 45 %, escenarios 45 % y comparables 10 %. El DCF es el método natural para una regalía con reservas que se agotan y precio de materia prima: los múltiplos de un año de petróleo de guerra engañan. Los comparables pesan poco porque Texas Pacific Land (34,7x) y PrairieSky (32,3x) cotizan con primas por tierras y agua que Viper no tiene, y los que más se parecen (Black Stone 13,0x, Kimbell 15,9x) cotizan más baratos que Viper [26]. Las transacciones no pesan (solo Sitio tiene múltiplo: 7,1 veces el EBITDA). El valor objetivo de la síntesis es de 37,28 USD (−18,7 %). El puente resta 1.618 M de deuda neta a junio y 113 M de ajustes netos (Riverbend pagada en julio menos la caja generada hasta la fecha de corte).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(16.2x) a mitad de camino hacia abajo, hacia la mediana de 5 años (14.5x)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bl>
    <w:p>
      <w:pPr>
        <w:spacing w:after="160" w:before="0"/>
      </w:pPr>
    </w:p>
    <w:p>
      <w:pPr>
        <w:spacing w:after="100"/>
      </w:pPr>
      <w:r>
        <w:rPr>
          <w:b/>
          <w:bCs/>
        </w:rPr>
        <w:t xml:space="preserve">Objetivo a 12 meses (ponderado):</w:t>
      </w:r>
      <w:r>
        <w:t xml:space="preserve"> 35,46 USD · rentabilidad -18,3 % (base -18,2 %) · señal Vender.</w:t>
      </w:r>
    </w:p>
    <w:p>
      <w:pPr>
        <w:spacing w:after="100"/>
      </w:pPr>
      <w:r>
        <w:t xml:space="preserve">Para comparar, con la regla v2 (historia al cierre, mismo precio): 15,1x / 16,2x / 20,0x, -10,4 %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(2,72 USD) y de 2027e (2,85) quedan un 1 % y un 8 % sobre el consenso (2,68 y 2,64 [25]): usamos la curva de futuros de hoy (≈ 88 USD en 2027) y el consenso, una media de precios de planificación más baja. La diferencia está en 2028: con la curva (77 USD) el BPA cae a 2,32, y el consenso no publica 2028. El objetivo medio de los analistas (55,48 USD, 21 recomendaciones de compra y ninguna de venta [25]) supone, implícitamente, que el mercado sigue pagando 19-20 veces un BPA de 2,6-2,9, es decir, petróleo de 80-90 USD sostenido.</w:t>
      </w:r>
    </w:p>
    <w:p>
      <w:pPr>
        <w:keepNext/>
        <w:spacing w:after="100"/>
      </w:pPr>
      <w:r>
        <w:rPr>
          <w:b/>
          <w:bCs/>
        </w:rPr>
        <w:t xml:space="preserve">Del valor intrínseco al objetivo a 12 meses.</w:t>
      </w:r>
    </w:p>
    <w:p>
      <w:pPr>
        <w:spacing w:after="100"/>
      </w:pPr>
      <w:r>
        <w:t xml:space="preserve">El objetivo a 12 meses (35,46 USD, ponderado) queda un 22,7 % bajo el precio (−18,3 % con el dividendo ordinario de 2,00 USD) y el base (35,50) da −18,2 %. La regla lleva el PER de 16,2x (sobre el BPA de los próximos 12 meses, con petróleo de guerra) a 15,3x, y lo aplica al BPA de 2028e con la curva (2,32): el problema no es el múltiplo, es que el BPA cae un 19 % cuando el petróleo vuelve a 77 USD. Sobre el BPA de 2028e la acción cotiza a 19,8x. El bajista (9,1x × 1,38 = 12,56 USD) es un doble castigo; sin él (12,2x) la ponderada sería −15,9 %. Para comprar haría falta un precio de 32,59 USD (−29 %).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realizado del 3T (≈ 87 USD) y primera guía de volumen para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2027 de Diamondback (equipos y pozos en tierras de Viper)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ritmo de perforación del operador que más pesa en la regalía (7,0 % de regalía media en sus pozos frente al 1,8 % de terceros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Alto el fuego con Irán y reapertura de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petróleo hacia la curva (o por debajo):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 a Diamondback pagadas con OpCo Units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más dilución y más papel en manos de Diamondback</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Diamondback (39,2 % de las unidades)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el precio de 5-8 % en el día, como en marzo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Gasoductos nuevos desde el Pérmico (Blackcomb y otros)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 de Waha deja de valer cero: +2-3 % de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petróleo: la guerra con Irán lo ha llevado a ≈ 98 USD; la curva lo da en 70-75 en 2028-2029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91 % sin costes de perforación; deuda baja (0,9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Alto el fuego, reapertura de Ormuz o subida de cuotas de la OPEP+</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de interés con Diamondback: decide dónde perfora, a qué precio vende sus derechos a Viper y cuándo coloca sus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independientes para operaciones vinculadas; la regalía de Diamondback en sus propios pozos alinea el ritmo de perforación [1,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 Diamondback a múltiplos altos pagadas con unidades, o menos equipos de Diamondback en tierras de Viper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Agotamiento de reservas e inventario: 406 MMboe probados, ≈ 8 años de producción; el inventario de primera calidad del Pérmico se acorta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sin probar amplio (1.798 pozos en desarrollo, 1.589 a la vista) y compras [39,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Pozos puestos en producción por debajo de 600 brutos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y dilución: 9.000 M en compras desde 2023 con ROIC incremental del 1,9 %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declarada; venta de lo no pérmico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compra grande pagada con acciones con el petróleo alto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Overhang de Diamondback (39,2 %)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Accionarial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puntual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Diamondback necesita a Viper como vehículo de financiación; colocaciones esporádicas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venta (S-3) o anuncio de colocación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de Waha sin valor y regulación (metano, tierras federales de Nuevo México)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 pesa ≈ 2 %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de permisos federales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 La IA no sustituye un derecho de propiedad sobre el subsuelo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no tiene empleados ni procesos que automatizar; la IA de los operadores (perforación, terminación) sube la productividad del pozo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relevante</w:t>
            </w:r>
          </w:p>
        </w:tc>
      </w:tr>
    </w:tbl>
    <w:p>
      <w:pPr>
        <w:spacing w:after="160" w:before="0"/>
      </w:pPr>
    </w:p>
    <w:p>
      <w:pPr>
        <w:pStyle w:val="Heading2"/>
      </w:pPr>
      <w:r>
        <w:t xml:space="preserve">Pre-mortem</w:t>
      </w:r>
    </w:p>
    <w:p>
      <w:pPr>
        <w:spacing w:after="100"/>
      </w:pPr>
      <w:r>
        <w:t xml:space="preserve">Octubre de 2027: la acción ha perdido un 40 %. En la primavera se firmó un alto el fuego con Irán, Ormuz se reabrió y la OPEP+, con producción parada desde 2025, la devolvió rápido: el WTI pasó de 98 a 62 USD en seis meses, como en 2015 y en 2020. Diamondback recortó equipos y la guía de volumen de 2027 se quedó plana; el dividendo base de 2,00 USD se mantuvo, pero sin variable ni recompras. Diamondback colocó otro paquete a 34 USD para financiar su propio plan. El mercado dejó de pagar 16 veces el beneficio de guerra y pagó 12 veces el de paz. La señal temprana fue la curva: en octubre de 2026 ya daba 74 USD para diciembre de 2028.</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±1 % a 3-5 años</w:t>
      </w:r>
    </w:p>
    <w:p>
      <w:pPr>
        <w:spacing w:after="100"/>
      </w:pPr>
      <w:r>
        <w:t xml:space="preserve">El riesgo de IA es bajo. Viper cobra un porcentaje de lo que se produce en sus tierras: no vende servicios, software ni trabajo que la IA pueda sustituir, y no tiene empleados propios (la gestionan directivos de Diamondback). La IA llega por dos caminos indirectos y pequeños: los operadores la usan para perforar y terminar pozos más rápido y barato (más producción para la regalía, sin coste para Viper) y los centros de datos suben la demanda de gas y electricidad en Texas, que algún día podría dar valor al gas de Waha. Ninguno de los dos cambia la valoración: lo que manda es el precio del petróleo.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Viper no opera pozos: los riesgos físicos (emisiones de metano y quema de gas, agua producida e inyección, sismicidad inducida en el Pérmico, permisos en tierras federales de Nuevo México) son de sus operadores, sobre todo Diamondback, y le llegan como menor producción o mayores costes de los operadores [1]. Lo material para Viper es el gobierno: una empresa controlada por su mayor operador, sin empleados propios y gestionada por directivos de Diamondback [1]. A largo plazo, la transición energética es el riesgo de fondo: una regalía de petróleo vale lo que valga el petróleo de las próximas dos décadas.</w:t>
      </w:r>
    </w:p>
    <w:p>
      <w:pPr>
        <w:pStyle w:val="Heading2"/>
      </w:pPr>
      <w:r>
        <w:t xml:space="preserve">Controversias</w:t>
      </w:r>
    </w:p>
    <w:p>
      <w:pPr>
        <w:spacing w:after="100"/>
      </w:pPr>
      <w:r>
        <w:t xml:space="preserve">Sin controversias propias relevantes en 12 meses. El voto consultivo de remuneración de 2025 fue del 79,4 %, bajo para una empresa en la que Diamondback vota ≈ 39 % [20]. Las operaciones con Diamondback (compras de derechos pagadas con OpCo Units, contrato de servicios) son operaciones vinculadas aprobadas por un comité de consejeros independientes [1, 10]. Calificaciones de MSCI o Sustainalytics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Petróleo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y qué dividendo sostiene Viper con el WTI a 60 USD, y qué haría con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bajista: el precio de hoy paga 80-85 USD sostenidos.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Diamondback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equipos y pozos de Diamondback en tierras de Viper hay en el plan de 2027, y cuál es la regalía media de esos pozos?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Diamondback opera pozos con un 7,0 % de regalía media frente al 1,8 % de terceros: su ritmo pesa el triple.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vinculadas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de flujo se valoraron los 933 acres comprados a Diamondback en septiembre y quién hizo la valoración independiente?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conflicto de interés central: Diamondback vende y cobra en unidades.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años de inventario de primera calidad hay en las tierras de Viper al ritmo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cuándo hay que empezar a comprar para sostener el volumen (nuestro DCF: desde 2030).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Diamondback como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Diamondback un objetivo de participación mínima en Viper o planes de nuevas colocaciones?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Overhang del 39,2 %.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($VNOM)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de dividendo que compran en caídas hacia 40-42 USD y venden opciones; celebran la subida del dividendo base y la caja disponible; dudan de comprar con las noticias de Irán cambiando cada semana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 octubre: uno alcista (las coberturas de suelo dejan subir con el petróleo) y una rebaja («mejores rentabilidades por regalías en otros sitios»); en agosto, «el mercado ya descuenta mucho riesgo»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(CNBC)</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en listas de valores de dividendo recomendados por analistas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petróleo de la guerra y si durará</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curva de futuros ya descuenta la caída (74,5 USD en dic-2028) y el precio de la acción también: no ha subido con el petróleo [D-1].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nuevo dividendo base de 2,00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4,4 % al precio de hoy; la empresa dice que se cubre hasta ≈ 30 USD/bbl [A-5]; a cambio, desaparece el variable.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Diamondback como vendedor y como operador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Diamondback vendió 589 M en marzo y sigue con el 39 %: un riesgo de colocación que los foros apenas mencionan [C-3].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por debajo de 40-42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los precios de las recompras de la empresa (42,82-44,34 USD) [A-5].</w:t>
            </w:r>
          </w:p>
        </w:tc>
      </w:tr>
    </w:tbl>
    <w:p>
      <w:pPr>
        <w:spacing w:after="160" w:before="0"/>
      </w:pPr>
    </w:p>
    <w:p>
      <w:pPr>
        <w:spacing w:after="100"/>
      </w:pPr>
      <w:r>
        <w:t xml:space="preserve">El sentimiento es positivo pero templado y lo dominan inversores de dividendo. No hay euforia pese al petróleo cerca de 100 USD: la gente compra en caídas a 40-42 USD y vende opciones por encima de 45. Lo que no ve el foro es el riesgo de una nueva colocación de Diamondback, que ya vendió en marzo. No contradice a los analistas (21 recomendaciones de compra), pero sí a la tesis de crecimiento: el debate es de renta, no de revalorización.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4 explicados. Fuentes: 41 (22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8,4 %: explica la causa (créditos fiscales, regularizaciones, mezcla de países) y no lo proyectes en el DCF. Explicación: En 2023 el tipo del 8,4 % se debe a que la parte de OpCo de Diamondback no tributa en Viper (minoritarios no gravados: −63 M) y a la liberación parcial de la provisión de activos fiscales (−7 M) [3]. El DCF usa el 28 % sobre todos los flujos de OpCo (unidad económica), no este tipo.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-19,8 %: explica la causa (créditos fiscales, regularizaciones, mezcla de países) y no lo proyectes en el DCF. Explicación: En 2024 hubo un ingreso fiscal de 99,7 M por la liberación del resto de la provisión sobre activos fiscales diferidos (155,9 M) en el 4T24 [3]: no recurrente. El DCF usa el 28 %.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5,8 % en 2030e frente al 5,5 %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19,5 % frente a 25,1 % real: genera una variación de circulante de 142 M en el primer año. Converge de forma gradual. Explicación: El 25,1 % de 2025 está inflado porque los cobros pendientes de diciembre ya incluyen Sitio entera (350 M) mientras los ingresos de 2025 solo la recogen desde agosto. A 30-jun-2026 los cobros pendientes eran 488 M (461 + 27 de Diamondback) [4], un 19,3 % de los ingresos de 2026e: usamos el 19,5 %.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1.820 M de flujo libre medio en sus tres primeros años, frente a 770 M de media real en los tres últimos: justifica el salto (circulante, inversión, márgenes) o ajusta los supuestos. Explicación: El salto es real y se explica por volumen y precio: la producción pasa de 95 kboe/d en 2025 a 134 kboe/d en 2026 (1979 Royalties desde mayo de 2025, Sitio desde agosto de 2025, Riverbend desde julio de 2026) y el WTI de 65 a ≈ 88 USD [5, 12]. El flujo libre de los 12 meses a junio de 2026 ya fue de 1.495 M [5]. Además, la media histórica resta las compras como inversión y el DCF no las proyecta hasta 2030 (son decisiones de crecimiento, pagadas sobre todo con acciones).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la empresa (no comparan con el consenso); 2) Yahoo Finance (solo la estimación vigente, no la previa de cada trimestre); 3) titulares de Seeking Alpha (solo el 1T26 y el 2T26 «baten» en BPA ajustado, sin el consenso de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(dos fuentes independientes)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EIA: solo producción, no ingresos por regalías; 2) informes de TPL y Viper: no publican el tamaño del mercado de derechos; 3) estimación propia con producción × precio × regalía media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da el % a favor de 2025); 2) 8-K de resultados de la junta de mayo de 2026 (vnom-20260519, ítem 5.07) no descargado por presupuesto; 3) no hay voto de 2026 sobre retribución (la próxima consulta es en 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2026-2027); 2) MarketScreener (no abierto por presupuesto); 3) Stock Analysis (solo objetivo de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1979 Royalties, Riverbend y la venta no pérmica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10-Q de Viper (sin EBITDA de lo comprado); 2) notas de prensa de la operación (solo producción y acres); 3) cálculo con producción × precio, descartado por mezclar supuestos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de Viper Energy, Inc. (cuentas 2023-2025, reservas, Sitio, desinversión no pérmica, deuda, Diamondback,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https://www.sec.gov/Archives/edgar/data/2074176/000207417626000010/vnom-20251231.htm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2022 de Viper Energy Partners LP (cuentas 2020-2022, distribuciones, Diamondback)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Viper Energy Partners LP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https://www.sec.gov/Archives/edgar/data/1602065/000160206523000007/vnom-20221231.htm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de Viper Energy, Inc. (balance 2023-2024, dividendos 2022-2024)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https://www.sec.gov/Archives/edgar/data/1602065/000160206525000010/vnom-20241231.htm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(30-jun-2026): accionariado de OpCo, Riverbend, recompras,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https://www.sec.gov/Archives/edgar/data/2074176/000207417626000053/vnom-20260630.htm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reports second quarter 2026 results; increases base dividend (cuentas, CAD, guía, coberturas, pozos)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https://www.sec.gov/Archives/edgar/data/2074176/000207417626000050/viperex991-8x3x26.htm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1T26 y del 4T25 (guía 2026, dividendos,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https://www.sec.gov/Archives/edgar/data/2074176/000207417626000025/viperex991-5x4x26.htm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3T24, 4T24, 1T25, 2T25 y 3T25 (trimestres, EBITDA ajustado, deterioros)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https://www.sec.gov/Archives/edgar/data/2074176/000207417625000048/viperex991-11x3x25.htm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Viper Energy (CIK 2074176 y CIK 1602065)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https://data.sec.gov/api/xbrl/companyfacts/CIK0002074176.json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recompra de 1 M de OpCo Units a Kimmeridge (40,65 USD) y programa de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https://www.sec.gov/Archives/edgar/data/2074176/000110465925120446/tm2533341d1_8k.htm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compra a Diamondback de 933 acres netos de regalía por 3.815.459 OpCo Units (1-sep-2026)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https://www.sec.gov/Archives/edgar/data/2074176/000110465926105890/tm2624863d1_8k.htm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modificación del crédito revolving (2.000 M USD, vencimiento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https://www.sec.gov/Archives/edgar/data/2074176/000110465926074042/tm2617785d1_8k.htm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Short-Term Energy Outlook, octubre de 2026: producción y precios de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Energy Information Administration (EIA)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https://www.eia.gov/outlooks/steo/report/petro_prod.php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Short-Term Energy Outlook, octubre de 2026: mercado mundial del petróleo, Ormuz, previsión del Brent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Energy Information Administration (EIA)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https://www.eia.gov/outlooks/steo/report/global_oil.php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Diamondback Energy reports second quarter 2026 results (producción, capex de 3.900 M,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Diamondback Energy,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https://www.sec.gov/Archives/edgar/data/1539838/000153983826000137/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Diamondback Energy, 8-K: precios realizados del 3T26 (petróleo 87,30 USD/bbl)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Diamondback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https://www.sec.gov/Archives/edgar/data/1539838/000153983826000177/fang-20261008.htm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Texas Pacific Land, Black Stone Minerals, Kimbell Royalty, Dorchester Minerals, PrairieSky y Freehold (ventas, EBITDA, márgenes)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https://finance.yahoo.com/quote/TPL/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Sitio Royalties reports fourth quarter and full 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Sitio Royalties Corp.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https://www.sec.gov/Archives/edgar/data/1949543/000162828025008142/str-q42024xex991.htm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Oil gains as Middle East conflict and tanker attacks lift Brent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 Thailand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https://www.nationthailand.com/news/world/40072133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Brent tops $105 as Hormuz disruption persists (28-abr-2026)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Anadolu Agency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https://www.aa.com.tr/en/energy/oil/brent-tops-105-as-hormuz-disruption-persists-us-iran-uncertainty-lingers/56668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retribución, voto de 2025, accionistas, operaciones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https://www.sec.gov/Archives/edgar/data/2074176/000119312526146417/d78130ddef14a.htm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Viper Energy (21-oct-2025 a 21-oct-2026): ventas de Diamondback y concesiones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(herramientas/form4.mjs)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https://www.sec.gov/cgi-bin/browse-edgar?action=getcompany&amp;CIK=0002074176&amp;type=4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colocación de 17,4 M de acciones A por Diamondback, EnCap y Oaktree a 45,90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https://www.sec.gov/Archives/edgar/data/2074176/000110465926023479/tm267705d4_8k.htm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John Grotzinger como consejero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https://www.sec.gov/Archives/edgar/data/2074176/000110465926108245/tm2625491d1_8k.htm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VNOM, SPY y XLE (precio, rentabilidades,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https://finance.yahoo.com/quote/VNOM/history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VNOM: BPA y ventas 2026-2027, recomendaciones y precio objetivo (21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https://finance.yahoo.com/quote/VNOM/analysis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los comparables (capitalización, deuda, ventas, EBITDA, BPA estimado)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https://finance.yahoo.com/quote/BSM/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futuros de WTI (CL dic-2026 a dic-2029) y Henry Hub (NG dic-2027 y dic-2028), y medias trimestrales del WTI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(NYMEX)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https://finance.yahoo.com/quote/CL%3DF/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(T12m with sustainable payout),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(acciones A y B, OpCo Units, opción de TWR IV) y 8-K de la compra de septiembre (3,82 M OpCo Units)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https://www.sec.gov/Archives/edgar/data/2074176/000207417626053/vnom-20260630.htm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Better Royalty Yields Are Elsewhere (Downgrade); Hedge Structure Allows For Full Participation In Oil Pricing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https://seekingalpha.com/symbol/VNOM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(VNOM): objetivos de Barclays (58 USD), Roth (50) y Mizuho (56) tras 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https://stockanalysis.com/stocks/vnom/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y 8-K de Viper (próximos resultados del 3T26: 2-nov-2026, según calendarios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 / Viper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https://unusualwhales.com/stock/VNOM/earnings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colocación de Diamondback, EnCap y Oaktree (17,4 M de acciones A a 45,90 USD; 798 M brutos)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https://www.sec.gov/Archives/edgar/data/2074176/000110465926023479/tm267705d4_ex99-1.htm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Oil prices gain on attacks in Saudi Arabia, Iran's new tactics to target tankers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GV Wire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https://gvwire.com/2026/10/14/oil-prices-gain-on-attacks-in-saudi-arabia-irans-new-tactics-to-target-tankers/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$VNOM (27-may a 18-oct-2026)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https://api.stocktwits.com/api/2/streams/symbol/VNOM.json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VNOM (titulares de mar-oct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https://seekingalpha.com/api/sa/combined/VNOM.xml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Wall Street analysts like these dividend stocks for steady income (VNOM entre ellas)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https://www.cnbc.com/2026/08/16/top-wall-street-analysts-like-these-dividend-stocks-for-steady-income.html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Viper Energy: reservas probadas (406.035 MBOE a 31-dic-2025, 78 % desarrolladas en producción), producción por cuenca y prueba de techo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https://www.sec.gov/cgi-bin/browse-edgar?action=getcompany&amp;CIK=0002074176&amp;type=10-K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reports second quarter 2026 results: pozos puestos en producción (691 brutos, 146 de Diamondback), 1.798 pozos en desarrollo, 1.589 a la vista y 106 equipos en sus tierras (12 de Diamondback)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Viper Energy,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https://www.sec.gov/cgi-bin/browse-edgar?action=getcompany&amp;CIK=0002074176&amp;type=8-K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Oil may be stronger than it looks, and Diamondback is on sale (caída de Diamondback del 16-sep-2026: rebaja de Morgan Stanley, venta de un directivo, rotación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https://www.marketbeat.com/articles/oil-may-be-stronger-than-it-looksand-diamondback-is-on-sale/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natural. Último ejercicio real: 2025; LTM a 30-jun-2026 (el 3T26 se publica el 2-nov-2026 [33]). ESTRUCTURA: Viper es una «Up-C»: el público tiene acciones A de Viper Energy, Inc.; Diamondback y los antiguos socios de Sitio tienen OpCo Units emparejadas con acciones B (sin derecho económico), canjeables 1 a 1 por acciones A [4, 30]. Todo el informe valora la UNIDAD ECONÓMICA: 369,7 M de unidades (A + B + la opción de TWR IV), flujos de OpCo con impuesto completo y minoritarios del puente = 0; el BPA de la cuenta histórica y los ratios por acción del motor usan solo las acciones A (142,5 M de media en 2025) y no son comparables con los nuestros. Cuentas de 2023-2025 del XBRL de la sociedad nueva (CIK 2074176, tras la compra de Sitio) y de 2020-2024 de la anterior (CIK 1602065) [8]. Precio: cierre del 20-oct-2026 (45,85 USD); la sesión del 21-oct estaba abierta (46,06 USD a media sesión [24]). El petróleo de 2026-2027 está en precios de guerra (WTI ≈ 98 USD el 21-oct, cierre de Ormuz desde febrero [18, 35]): el BPA de 2028e usa la curva de futuros [27]. No hay ficha sectorial de petróleo y regalías en el repositorio: el encargo limitaba la escritura a la carpeta del informe; el sector está en la nota B.</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Viper Energy, Inc. (VNOM)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45,85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(35,10 – 51,13)</c:v>
                </c:pt>
                <c:pt idx="1">
                  <c:v>Precio objetivo de los analistas (45,00 – 65,00)</c:v>
                </c:pt>
                <c:pt idx="2">
                  <c:v>Comparables: EV/EBITDA NTM (46,37 – 76,71)</c:v>
                </c:pt>
                <c:pt idx="3">
                  <c:v>Comparables: PER NTM (36,34 – 79,17)</c:v>
                </c:pt>
                <c:pt idx="4">
                  <c:v>DCF (WACC y g ± 0,5) (33,67 – 39,49)</c:v>
                </c:pt>
                <c:pt idx="5">
                  <c:v>Escenarios (bajista – alcista) (28,16 – 39,54)</c:v>
                </c:pt>
                <c:pt idx="6">
                  <c:v>DCF con la prima implícita del mercado (4,2 %)</c:v>
                </c:pt>
                <c:pt idx="7">
                  <c:v>Precio actual (45,85)</c:v>
                </c:pt>
              </c:strCache>
            </c:strRef>
          </c:cat>
          <c:val>
            <c:numRef>
              <c:f>Hoja1!$B$2:$B$9</c:f>
              <c:numCache>
                <c:formatCode>#,##0.0</c:formatCode>
                <c:ptCount val="8"/>
                <c:pt idx="0">
                  <c:v>35.1</c:v>
                </c:pt>
                <c:pt idx="1">
                  <c:v>45</c:v>
                </c:pt>
                <c:pt idx="2">
                  <c:v>46.37</c:v>
                </c:pt>
                <c:pt idx="3">
                  <c:v>36.34</c:v>
                </c:pt>
                <c:pt idx="4">
                  <c:v>33.67</c:v>
                </c:pt>
                <c:pt idx="5">
                  <c:v>28.16</c:v>
                </c:pt>
                <c:pt idx="6">
                  <c:v>38.34</c:v>
                </c:pt>
                <c:pt idx="7">
                  <c:v>45.62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(35,10 – 51,13)</c:v>
                </c:pt>
                <c:pt idx="1">
                  <c:v>Precio objetivo de los analistas (45,00 – 65,00)</c:v>
                </c:pt>
                <c:pt idx="2">
                  <c:v>Comparables: EV/EBITDA NTM (46,37 – 76,71)</c:v>
                </c:pt>
                <c:pt idx="3">
                  <c:v>Comparables: PER NTM (36,34 – 79,17)</c:v>
                </c:pt>
                <c:pt idx="4">
                  <c:v>DCF (WACC y g ± 0,5) (33,67 – 39,49)</c:v>
                </c:pt>
                <c:pt idx="5">
                  <c:v>Escenarios (bajista – alcista) (28,16 – 39,54)</c:v>
                </c:pt>
                <c:pt idx="6">
                  <c:v>DCF con la prima implícita del mercado (4,2 %)</c:v>
                </c:pt>
                <c:pt idx="7">
                  <c:v>Precio actual (45,85)</c:v>
                </c:pt>
              </c:strCache>
            </c:strRef>
          </c:cat>
          <c:val>
            <c:numRef>
              <c:f>Hoja1!$C$2:$C$9</c:f>
              <c:numCache>
                <c:formatCode>#,##0.0</c:formatCode>
                <c:ptCount val="8"/>
                <c:pt idx="0">
                  <c:v>16.03</c:v>
                </c:pt>
                <c:pt idx="1">
                  <c:v>20</c:v>
                </c:pt>
                <c:pt idx="2">
                  <c:v>30.339999999999996</c:v>
                </c:pt>
                <c:pt idx="3">
                  <c:v>42.83</c:v>
                </c:pt>
                <c:pt idx="4">
                  <c:v>5.82</c:v>
                </c:pt>
                <c:pt idx="5">
                  <c:v>11.379999999999999</c:v>
                </c:pt>
                <c:pt idx="6">
                  <c:v>4.909999999999997</c:v>
                </c:pt>
                <c:pt idx="7">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Petróleo</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619</c:v>
                </c:pt>
                <c:pt idx="1">
                  <c:v>750</c:v>
                </c:pt>
                <c:pt idx="2">
                  <c:v>1131</c:v>
                </c:pt>
              </c:numCache>
            </c:numRef>
          </c:val>
        </c:ser>
        <c:ser>
          <c:idx val="1"/>
          <c:order val="1"/>
          <c:tx>
            <c:strRef>
              <c:f>Hoja1!$C$1</c:f>
              <c:strCache>
                <c:ptCount val="1"/>
                <c:pt idx="0">
                  <c:v>Líquidos del gas (NGL)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67</c:v>
                </c:pt>
                <c:pt idx="1">
                  <c:v>89</c:v>
                </c:pt>
                <c:pt idx="2">
                  <c:v>159</c:v>
                </c:pt>
              </c:numCache>
            </c:numRef>
          </c:val>
        </c:ser>
        <c:ser>
          <c:idx val="2"/>
          <c:order val="2"/>
          <c:tx>
            <c:strRef>
              <c:f>Hoja1!$D$1</c:f>
              <c:strCache>
                <c:ptCount val="1"/>
                <c:pt idx="0">
                  <c:v>Gas natural</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c:v>
                </c:pt>
                <c:pt idx="1">
                  <c:v>15</c:v>
                </c:pt>
                <c:pt idx="2">
                  <c:v>56</c:v>
                </c:pt>
              </c:numCache>
            </c:numRef>
          </c:val>
        </c:ser>
        <c:ser>
          <c:idx val="3"/>
          <c:order val="3"/>
          <c:tx>
            <c:strRef>
              <c:f>Hoja1!$E$1</c:f>
              <c:strCache>
                <c:ptCount val="1"/>
                <c:pt idx="0">
                  <c:v>Bonos de arrendamiento y otros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111</c:v>
                </c:pt>
                <c:pt idx="1">
                  <c:v>7</c:v>
                </c:pt>
                <c:pt idx="2">
                  <c:v>49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Petróleo</c:v>
                </c:pt>
                <c:pt idx="1">
                  <c:v>Líquidos del gas (NGL)</c:v>
                </c:pt>
                <c:pt idx="2">
                  <c:v>Gas natural</c:v>
                </c:pt>
                <c:pt idx="3">
                  <c:v>Bonos de arrendamiento y otros</c:v>
                </c:pt>
              </c:strCache>
            </c:strRef>
          </c:cat>
          <c:val>
            <c:numRef>
              <c:f>Hoja1!$B$2:$B$5</c:f>
              <c:numCache>
                <c:formatCode>General</c:formatCode>
                <c:ptCount val="4"/>
                <c:pt idx="0">
                  <c:v>81.1</c:v>
                </c:pt>
                <c:pt idx="1">
                  <c:v>11.4</c:v>
                </c:pt>
                <c:pt idx="2">
                  <c:v>4</c:v>
                </c:pt>
                <c:pt idx="3">
                  <c:v>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Cuenca de Midland (Texas)</c:v>
                </c:pt>
                <c:pt idx="1">
                  <c:v>Cuenca de Delaware (Texas y Nuevo México)</c:v>
                </c:pt>
                <c:pt idx="2">
                  <c:v>Otras (vendidas en feb-2026)</c:v>
                </c:pt>
              </c:strCache>
            </c:strRef>
          </c:cat>
          <c:val>
            <c:numRef>
              <c:f>Hoja1!$B$2:$B$4</c:f>
              <c:numCache>
                <c:formatCode>0"%"</c:formatCode>
                <c:ptCount val="3"/>
                <c:pt idx="0">
                  <c:v>78.3</c:v>
                </c:pt>
                <c:pt idx="1">
                  <c:v>20</c:v>
                </c:pt>
                <c:pt idx="2">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2023</c:v>
                </c:pt>
                <c:pt idx="1">
                  <c:v>2024</c:v>
                </c:pt>
                <c:pt idx="2">
                  <c:v>2025</c:v>
                </c:pt>
                <c:pt idx="3">
                  <c:v>2026</c:v>
                </c:pt>
                <c:pt idx="4">
                  <c:v>2027e</c:v>
                </c:pt>
              </c:strCache>
            </c:strRef>
          </c:cat>
          <c:val>
            <c:numRef>
              <c:f>Hoja1!$B$2:$B$6</c:f>
              <c:numCache>
                <c:formatCode>#,##0</c:formatCode>
                <c:ptCount val="5"/>
                <c:pt idx="0">
                  <c:v>32000</c:v>
                </c:pt>
                <c:pt idx="1">
                  <c:v>33000</c:v>
                </c:pt>
                <c:pt idx="2">
                  <c:v>30000</c:v>
                </c:pt>
                <c:pt idx="3">
                  <c:v>43000</c:v>
                </c:pt>
                <c:pt idx="4">
                  <c:v>40000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Viper</c:v>
                </c:pt>
                <c:pt idx="1">
                  <c:v>Texas Pacific Land</c:v>
                </c:pt>
                <c:pt idx="2">
                  <c:v>Black Stone Minerals</c:v>
                </c:pt>
                <c:pt idx="3">
                  <c:v>Kimbell Royalty Partners</c:v>
                </c:pt>
                <c:pt idx="4">
                  <c:v>Dorchester Minerals</c:v>
                </c:pt>
                <c:pt idx="5">
                  <c:v>PrairieSky Royalty</c:v>
                </c:pt>
                <c:pt idx="6">
                  <c:v>Sitio Royalties (comprada por Viper en 2025)</c:v>
                </c:pt>
              </c:strCache>
            </c:strRef>
          </c:cat>
          <c:val>
            <c:numRef>
              <c:f>Hoja1!$B$2:$B$8</c:f>
              <c:numCache>
                <c:formatCode>0.0"%"</c:formatCode>
                <c:ptCount val="7"/>
                <c:pt idx="0">
                  <c:v>45</c:v>
                </c:pt>
                <c:pt idx="1">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504.9</c:v>
                </c:pt>
                <c:pt idx="1">
                  <c:v>866.5</c:v>
                </c:pt>
                <c:pt idx="2">
                  <c:v>827.7</c:v>
                </c:pt>
                <c:pt idx="3">
                  <c:v>860.4</c:v>
                </c:pt>
                <c:pt idx="4">
                  <c:v>1395</c:v>
                </c:pt>
                <c:pt idx="5">
                  <c:v>2524</c:v>
                </c:pt>
                <c:pt idx="6">
                  <c:v>2599</c:v>
                </c:pt>
                <c:pt idx="7">
                  <c:v>2298</c:v>
                </c:pt>
                <c:pt idx="8">
                  <c:v>2119</c:v>
                </c:pt>
                <c:pt idx="9">
                  <c:v>2059</c:v>
                </c:pt>
                <c:pt idx="10">
                  <c:v>2080</c:v>
                </c:pt>
                <c:pt idx="11">
                  <c:v>2101</c:v>
                </c:pt>
                <c:pt idx="12">
                  <c:v>2122</c:v>
                </c:pt>
                <c:pt idx="13">
                  <c:v>2143</c:v>
                </c:pt>
                <c:pt idx="14">
                  <c:v>2164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464.6</c:v>
                </c:pt>
                <c:pt idx="1">
                  <c:v>801.6</c:v>
                </c:pt>
                <c:pt idx="2">
                  <c:v>658.3</c:v>
                </c:pt>
                <c:pt idx="3">
                  <c:v>780.8</c:v>
                </c:pt>
                <c:pt idx="4">
                  <c:v>1235</c:v>
                </c:pt>
                <c:pt idx="5">
                  <c:v>2322</c:v>
                </c:pt>
                <c:pt idx="6">
                  <c:v>2378</c:v>
                </c:pt>
                <c:pt idx="7">
                  <c:v>2091</c:v>
                </c:pt>
                <c:pt idx="8">
                  <c:v>1917</c:v>
                </c:pt>
                <c:pt idx="9">
                  <c:v>1864</c:v>
                </c:pt>
                <c:pt idx="10">
                  <c:v>1882</c:v>
                </c:pt>
                <c:pt idx="11">
                  <c:v>1901</c:v>
                </c:pt>
                <c:pt idx="12">
                  <c:v>1920</c:v>
                </c:pt>
                <c:pt idx="13">
                  <c:v>1939</c:v>
                </c:pt>
                <c:pt idx="14">
                  <c:v>1959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93.5</c:v>
                </c:pt>
                <c:pt idx="1">
                  <c:v>93.5</c:v>
                </c:pt>
                <c:pt idx="2">
                  <c:v>94</c:v>
                </c:pt>
                <c:pt idx="3">
                  <c:v>92.9</c:v>
                </c:pt>
                <c:pt idx="4">
                  <c:v>93.3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92.5</c:v>
                </c:pt>
                <c:pt idx="2">
                  <c:v>79.5</c:v>
                </c:pt>
                <c:pt idx="3">
                  <c:v>90.7</c:v>
                </c:pt>
                <c:pt idx="4">
                  <c:v>88.5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71.6</c:v>
                </c:pt>
                <c:pt idx="1">
                  <c:v>78.5</c:v>
                </c:pt>
                <c:pt idx="2">
                  <c:v>61.9</c:v>
                </c:pt>
                <c:pt idx="3">
                  <c:v>65.8</c:v>
                </c:pt>
                <c:pt idx="4">
                  <c:v>45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11.5</c:v>
                </c:pt>
                <c:pt idx="1">
                  <c:v>17.5</c:v>
                </c:pt>
                <c:pt idx="2">
                  <c:v>24.2</c:v>
                </c:pt>
                <c:pt idx="3">
                  <c:v>41.7</c:v>
                </c:pt>
                <c:pt idx="4">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-28.5</c:v>
                </c:pt>
                <c:pt idx="1">
                  <c:v>11.7</c:v>
                </c:pt>
                <c:pt idx="2">
                  <c:v>19.5</c:v>
                </c:pt>
                <c:pt idx="3">
                  <c:v>37.5</c:v>
                </c:pt>
                <c:pt idx="4">
                  <c:v>99.4</c:v>
                </c:pt>
                <c:pt idx="5">
                  <c:v>90.2</c:v>
                </c:pt>
                <c:pt idx="6">
                  <c:v>108.6</c:v>
                </c:pt>
                <c:pt idx="7">
                  <c:v>127.9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37</c:v>
                </c:pt>
                <c:pt idx="2">
                  <c:v>49</c:v>
                </c:pt>
                <c:pt idx="3">
                  <c:v>76</c:v>
                </c:pt>
                <c:pt idx="4">
                  <c:v>92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c:v>
                </c:pt>
                <c:pt idx="1">
                  <c:v>9</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307.1</c:v>
                </c:pt>
                <c:pt idx="1">
                  <c:v>699.8</c:v>
                </c:pt>
                <c:pt idx="2">
                  <c:v>638</c:v>
                </c:pt>
                <c:pt idx="3">
                  <c:v>620</c:v>
                </c:pt>
                <c:pt idx="4">
                  <c:v>1053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57.9</c:v>
                </c:pt>
                <c:pt idx="1">
                  <c:v>151.7</c:v>
                </c:pt>
                <c:pt idx="2">
                  <c:v>200.1</c:v>
                </c:pt>
                <c:pt idx="3">
                  <c:v>359.2</c:v>
                </c:pt>
                <c:pt idx="4">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12.1</c:v>
                </c:pt>
                <c:pt idx="1">
                  <c:v>23.3</c:v>
                </c:pt>
                <c:pt idx="2">
                  <c:v>13.8</c:v>
                </c:pt>
                <c:pt idx="3">
                  <c:v>12.8</c:v>
                </c:pt>
                <c:pt idx="4">
                  <c:v>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9.8</c:v>
                </c:pt>
                <c:pt idx="1">
                  <c:v>9.8</c:v>
                </c:pt>
                <c:pt idx="2">
                  <c:v>9.8</c:v>
                </c:pt>
                <c:pt idx="3">
                  <c:v>9.8</c:v>
                </c:pt>
                <c:pt idx="4">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7.1</c:v>
                </c:pt>
                <c:pt idx="1">
                  <c:v>20.2</c:v>
                </c:pt>
                <c:pt idx="2">
                  <c:v>23.5</c:v>
                </c:pt>
                <c:pt idx="3">
                  <c:v>26.6</c:v>
                </c:pt>
                <c:pt idx="4">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1.59</c:v>
                </c:pt>
                <c:pt idx="1">
                  <c:v>0.7</c:v>
                </c:pt>
                <c:pt idx="2">
                  <c:v>1.61</c:v>
                </c:pt>
                <c:pt idx="3">
                  <c:v>1.35</c:v>
                </c:pt>
                <c:pt idx="4">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2030</c:v>
                </c:pt>
                <c:pt idx="1">
                  <c:v>2031</c:v>
                </c:pt>
                <c:pt idx="2">
                  <c:v>2035</c:v>
                </c:pt>
              </c:strCache>
            </c:strRef>
          </c:cat>
          <c:val>
            <c:numRef>
              <c:f>Hoja1!$B$2:$B$4</c:f>
              <c:numCache>
                <c:formatCode>#,##0</c:formatCode>
                <c:ptCount val="3"/>
                <c:pt idx="0">
                  <c:v>500</c:v>
                </c:pt>
                <c:pt idx="1">
                  <c:v>95</c:v>
                </c:pt>
                <c:pt idx="2">
                  <c:v>1100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281.2</c:v>
                </c:pt>
                <c:pt idx="1">
                  <c:v>62.9</c:v>
                </c:pt>
                <c:pt idx="2">
                  <c:v>905</c:v>
                </c:pt>
                <c:pt idx="3">
                  <c:v>696</c:v>
                </c:pt>
                <c:pt idx="4">
                  <c:v>2424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176.6</c:v>
                </c:pt>
                <c:pt idx="1">
                  <c:v>417</c:v>
                </c:pt>
                <c:pt idx="2">
                  <c:v>325</c:v>
                </c:pt>
                <c:pt idx="3">
                  <c:v>481</c:v>
                </c:pt>
                <c:pt idx="4">
                  <c:v>745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46</c:v>
                </c:pt>
                <c:pt idx="1">
                  <c:v>150.6</c:v>
                </c:pt>
                <c:pt idx="2">
                  <c:v>95.2</c:v>
                </c:pt>
                <c:pt idx="3">
                  <c:v>0</c:v>
                </c:pt>
                <c:pt idx="4">
                  <c:v>194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1</c:v>
                </c:pt>
                <c:pt idx="1">
                  <c:v>1</c:v>
                </c:pt>
                <c:pt idx="2">
                  <c:v>1</c:v>
                </c:pt>
                <c:pt idx="3">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Diamondback Energy (clase B y OpCo Units)</c:v>
                </c:pt>
                <c:pt idx="1">
                  <c:v>Antiguos socios de Sitio OpCo (Kimmeridge, Blackstone y otros)</c:v>
                </c:pt>
                <c:pt idx="2">
                  <c:v>Capital World Investors</c:v>
                </c:pt>
                <c:pt idx="3">
                  <c:v>T. Rowe Price</c:v>
                </c:pt>
                <c:pt idx="4">
                  <c:v>TWR IV (Tumbleweed)</c:v>
                </c:pt>
                <c:pt idx="5">
                  <c:v>Consejeros y directivos</c:v>
                </c:pt>
              </c:strCache>
            </c:strRef>
          </c:cat>
          <c:val>
            <c:numRef>
              <c:f>Hoja1!$B$2:$B$7</c:f>
              <c:numCache>
                <c:formatCode>0.0"%"</c:formatCode>
                <c:ptCount val="6"/>
                <c:pt idx="0">
                  <c:v>39.2</c:v>
                </c:pt>
                <c:pt idx="1">
                  <c:v>5.9</c:v>
                </c:pt>
                <c:pt idx="2">
                  <c:v>5.2</c:v>
                </c:pt>
                <c:pt idx="3">
                  <c:v>3</c:v>
                </c:pt>
                <c:pt idx="4">
                  <c:v>1.8</c:v>
                </c:pt>
                <c:pt idx="5">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20.6</c:v>
                </c:pt>
                <c:pt idx="1">
                  <c:v>56</c:v>
                </c:pt>
                <c:pt idx="2">
                  <c:v>19.6</c:v>
                </c:pt>
                <c:pt idx="3">
                  <c:v>0.7</c:v>
                </c:pt>
                <c:pt idx="4">
                  <c:v>-50.7</c:v>
                </c:pt>
                <c:pt idx="5">
                  <c:v>94.2</c:v>
                </c:pt>
                <c:pt idx="6">
                  <c:v>61.7</c:v>
                </c:pt>
                <c:pt idx="7">
                  <c:v>4.8</c:v>
                </c:pt>
                <c:pt idx="8">
                  <c:v>65.5</c:v>
                </c:pt>
                <c:pt idx="9">
                  <c:v>-16.6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7.8</c:v>
                </c:pt>
                <c:pt idx="1">
                  <c:v>5.7</c:v>
                </c:pt>
                <c:pt idx="2">
                  <c:v>7.9</c:v>
                </c:pt>
                <c:pt idx="3">
                  <c:v>10.1</c:v>
                </c:pt>
                <c:pt idx="4">
                  <c:v>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7.9</c:v>
                </c:pt>
                <c:pt idx="1">
                  <c:v>7.9</c:v>
                </c:pt>
                <c:pt idx="2">
                  <c:v>7.9</c:v>
                </c:pt>
                <c:pt idx="3">
                  <c:v>7.9</c:v>
                </c:pt>
                <c:pt idx="4">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Viper</c:v>
                </c:pt>
                <c:pt idx="1">
                  <c:v>Texas Pacific Land</c:v>
                </c:pt>
                <c:pt idx="2">
                  <c:v>Black Stone Minerals</c:v>
                </c:pt>
                <c:pt idx="3">
                  <c:v>Kimbell Royalty Partners</c:v>
                </c:pt>
                <c:pt idx="4">
                  <c:v>Dorchester Minerals</c:v>
                </c:pt>
                <c:pt idx="5">
                  <c:v>PrairieSky Royalty</c:v>
                </c:pt>
                <c:pt idx="6">
                  <c:v>Freehold Royalties</c:v>
                </c:pt>
                <c:pt idx="7">
                  <c:v>Diamondback Energy (operador, matriz)</c:v>
                </c:pt>
              </c:strCache>
            </c:strRef>
          </c:cat>
          <c:val>
            <c:numRef>
              <c:f>Hoja1!$B$2:$B$9</c:f>
              <c:numCache>
                <c:formatCode>0.0"x"</c:formatCode>
                <c:ptCount val="8"/>
                <c:pt idx="0">
                  <c:v>8.5</c:v>
                </c:pt>
                <c:pt idx="1">
                  <c:v>25.8</c:v>
                </c:pt>
                <c:pt idx="2">
                  <c:v>9</c:v>
                </c:pt>
                <c:pt idx="3">
                  <c:v>8.5</c:v>
                </c:pt>
                <c:pt idx="5">
                  <c:v>14.9</c:v>
                </c:pt>
                <c:pt idx="6">
                  <c:v>10.3</c:v>
                </c:pt>
                <c:pt idx="7">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Viper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12.9</c:v>
                </c:pt>
              </c:numCache>
            </c:numRef>
          </c:xVal>
          <c:yVal>
            <c:numRef>
              <c:f>Hoja1!$C$2</c:f>
              <c:numCache>
                <c:formatCode>0.0"x"</c:formatCode>
                <c:ptCount val="1"/>
                <c:pt idx="0">
                  <c:v>8.5</c:v>
                </c:pt>
              </c:numCache>
            </c:numRef>
          </c:yVal>
          <c:smooth val="0"/>
        </c:ser>
        <c:ser>
          <c:idx val="1"/>
          <c:order val="1"/>
          <c:tx>
            <c:strRef>
              <c:f>Hoja1!$A$3</c:f>
              <c:strCache>
                <c:ptCount val="1"/>
                <c:pt idx="0">
                  <c:v>Texas Pacific Land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24.4</c:v>
                </c:pt>
              </c:numCache>
            </c:numRef>
          </c:xVal>
          <c:yVal>
            <c:numRef>
              <c:f>Hoja1!$C$3</c:f>
              <c:numCache>
                <c:formatCode>0.0"x"</c:formatCode>
                <c:ptCount val="1"/>
                <c:pt idx="0">
                  <c:v>25.8</c:v>
                </c:pt>
              </c:numCache>
            </c:numRef>
          </c:yVal>
          <c:smooth val="0"/>
        </c:ser>
        <c:ser>
          <c:idx val="2"/>
          <c:order val="2"/>
          <c:tx>
            <c:strRef>
              <c:f>Hoja1!$A$4</c:f>
              <c:strCache>
                <c:ptCount val="1"/>
                <c:pt idx="0">
                  <c:v>Black Stone Minerals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11.3</c:v>
                </c:pt>
              </c:numCache>
            </c:numRef>
          </c:xVal>
          <c:yVal>
            <c:numRef>
              <c:f>Hoja1!$C$4</c:f>
              <c:numCache>
                <c:formatCode>0.0"x"</c:formatCode>
                <c:ptCount val="1"/>
                <c:pt idx="0">
                  <c:v>9</c:v>
                </c:pt>
              </c:numCache>
            </c:numRef>
          </c:yVal>
          <c:smooth val="0"/>
        </c:ser>
        <c:ser>
          <c:idx val="3"/>
          <c:order val="3"/>
          <c:tx>
            <c:strRef>
              <c:f>Hoja1!$A$5</c:f>
              <c:strCache>
                <c:ptCount val="1"/>
                <c:pt idx="0">
                  <c:v>Kimbell Royalty Partners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16.4</c:v>
                </c:pt>
              </c:numCache>
            </c:numRef>
          </c:xVal>
          <c:yVal>
            <c:numRef>
              <c:f>Hoja1!$C$5</c:f>
              <c:numCache>
                <c:formatCode>0.0"x"</c:formatCode>
                <c:ptCount val="1"/>
                <c:pt idx="0">
                  <c:v>8.5</c:v>
                </c:pt>
              </c:numCache>
            </c:numRef>
          </c:yVal>
          <c:smooth val="0"/>
        </c:ser>
        <c:ser>
          <c:idx val="4"/>
          <c:order val="4"/>
          <c:tx>
            <c:strRef>
              <c:f>Hoja1!$A$6</c:f>
              <c:strCache>
                <c:ptCount val="1"/>
                <c:pt idx="0">
                  <c:v>PrairieSky Royalty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19.8</c:v>
                </c:pt>
              </c:numCache>
            </c:numRef>
          </c:xVal>
          <c:yVal>
            <c:numRef>
              <c:f>Hoja1!$C$6</c:f>
              <c:numCache>
                <c:formatCode>0.0"x"</c:formatCode>
                <c:ptCount val="1"/>
                <c:pt idx="0">
                  <c:v>14.9</c:v>
                </c:pt>
              </c:numCache>
            </c:numRef>
          </c:yVal>
          <c:smooth val="0"/>
        </c:ser>
        <c:ser>
          <c:idx val="5"/>
          <c:order val="5"/>
          <c:tx>
            <c:strRef>
              <c:f>Hoja1!$A$7</c:f>
              <c:strCache>
                <c:ptCount val="1"/>
                <c:pt idx="0">
                  <c:v>Freehold Royalties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10.5</c:v>
                </c:pt>
              </c:numCache>
            </c:numRef>
          </c:xVal>
          <c:yVal>
            <c:numRef>
              <c:f>Hoja1!$C$7</c:f>
              <c:numCache>
                <c:formatCode>0.0"x"</c:formatCode>
                <c:ptCount val="1"/>
                <c:pt idx="0">
                  <c:v>10.3</c:v>
                </c:pt>
              </c:numCache>
            </c:numRef>
          </c:yVal>
          <c:smooth val="0"/>
        </c:ser>
        <c:ser>
          <c:idx val="6"/>
          <c:order val="6"/>
          <c:tx>
            <c:strRef>
              <c:f>Hoja1!$A$8</c:f>
              <c:strCache>
                <c:ptCount val="1"/>
                <c:pt idx="0">
                  <c:v>Diamondback Energy (operador, matriz)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15.3</c:v>
                </c:pt>
              </c:numCache>
            </c:numRef>
          </c:xVal>
          <c:yVal>
            <c:numRef>
              <c:f>Hoja1!$C$8</c:f>
              <c:numCache>
                <c:formatCode>0.0"x"</c:formatCode>
                <c:ptCount val="1"/>
                <c:pt idx="0">
                  <c:v>5.1</c:v>
                </c:pt>
              </c:numCache>
            </c:numRef>
          </c:yVal>
          <c:smooth val="0"/>
        </c:ser>
        <c:axId val="10"/>
        <c:axId val="20"/>
      </c:scatterChart>
      <c:valAx>
        <c:axId val="10"/>
        <c:scaling>
          <c:orientation val="minMax"/>
          <c:max val="28"/>
          <c:min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Sitio Royalties (34.300 acres netos)</c:v>
                </c:pt>
                <c:pt idx="1">
                  <c:v>1979 Royalties (Endeavor, 24.446 acres netos)</c:v>
                </c:pt>
                <c:pt idx="2">
                  <c:v>Riverbend Oil &amp; Gas IX (2.772 acres netos, ≈ 2.000 bo/d)</c:v>
                </c:pt>
                <c:pt idx="3">
                  <c:v>Activos de Viper fuera del Pérmico (9.400 acres netos, 4.750 bo/d)</c:v>
                </c:pt>
                <c:pt idx="4">
                  <c:v>Derechos de Diamondback (933 acres netos)</c:v>
                </c:pt>
              </c:strCache>
            </c:strRef>
          </c:cat>
          <c:val>
            <c:numRef>
              <c:f>Hoja1!$B$2:$B$6</c:f>
              <c:numCache>
                <c:formatCode>0.0"x"</c:formatCode>
                <c:ptCount val="5"/>
                <c:pt idx="0">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1755</c:v>
                </c:pt>
                <c:pt idx="1">
                  <c:v>1920</c:v>
                </c:pt>
                <c:pt idx="2">
                  <c:v>1786</c:v>
                </c:pt>
                <c:pt idx="3">
                  <c:v>1634</c:v>
                </c:pt>
                <c:pt idx="4">
                  <c:v>1505</c:v>
                </c:pt>
                <c:pt idx="5">
                  <c:v>1419</c:v>
                </c:pt>
                <c:pt idx="6">
                  <c:v>1340</c:v>
                </c:pt>
                <c:pt idx="7">
                  <c:v>1266</c:v>
                </c:pt>
                <c:pt idx="8">
                  <c:v>1212</c:v>
                </c:pt>
                <c:pt idx="9">
                  <c:v>1157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9484</c:v>
                </c:pt>
                <c:pt idx="1">
                  <c:v>5658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45,85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28.16</c:v>
                </c:pt>
                <c:pt idx="1">
                  <c:v>36.27</c:v>
                </c:pt>
                <c:pt idx="2">
                  <c:v>39.54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45,85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(35,10 – 51,13)</c:v>
                </c:pt>
                <c:pt idx="1">
                  <c:v>Precio objetivo de los analistas (45,00 – 65,00)</c:v>
                </c:pt>
                <c:pt idx="2">
                  <c:v>Comparables: EV/EBITDA NTM (46,37 – 76,71)</c:v>
                </c:pt>
                <c:pt idx="3">
                  <c:v>Comparables: PER NTM (36,34 – 79,17)</c:v>
                </c:pt>
                <c:pt idx="4">
                  <c:v>DCF (WACC y g ± 0,5) (33,67 – 39,49)</c:v>
                </c:pt>
                <c:pt idx="5">
                  <c:v>Escenarios (bajista – alcista) (28,16 – 39,54)</c:v>
                </c:pt>
                <c:pt idx="6">
                  <c:v>DCF con la prima implícita del mercado (4,2 %)</c:v>
                </c:pt>
                <c:pt idx="7">
                  <c:v>Precio actual (45,85)</c:v>
                </c:pt>
              </c:strCache>
            </c:strRef>
          </c:cat>
          <c:val>
            <c:numRef>
              <c:f>Hoja1!$B$2:$B$9</c:f>
              <c:numCache>
                <c:formatCode>#,##0.0</c:formatCode>
                <c:ptCount val="8"/>
                <c:pt idx="0">
                  <c:v>35.1</c:v>
                </c:pt>
                <c:pt idx="1">
                  <c:v>45</c:v>
                </c:pt>
                <c:pt idx="2">
                  <c:v>46.37</c:v>
                </c:pt>
                <c:pt idx="3">
                  <c:v>36.34</c:v>
                </c:pt>
                <c:pt idx="4">
                  <c:v>33.67</c:v>
                </c:pt>
                <c:pt idx="5">
                  <c:v>28.16</c:v>
                </c:pt>
                <c:pt idx="6">
                  <c:v>38.34</c:v>
                </c:pt>
                <c:pt idx="7">
                  <c:v>45.62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(35,10 – 51,13)</c:v>
                </c:pt>
                <c:pt idx="1">
                  <c:v>Precio objetivo de los analistas (45,00 – 65,00)</c:v>
                </c:pt>
                <c:pt idx="2">
                  <c:v>Comparables: EV/EBITDA NTM (46,37 – 76,71)</c:v>
                </c:pt>
                <c:pt idx="3">
                  <c:v>Comparables: PER NTM (36,34 – 79,17)</c:v>
                </c:pt>
                <c:pt idx="4">
                  <c:v>DCF (WACC y g ± 0,5) (33,67 – 39,49)</c:v>
                </c:pt>
                <c:pt idx="5">
                  <c:v>Escenarios (bajista – alcista) (28,16 – 39,54)</c:v>
                </c:pt>
                <c:pt idx="6">
                  <c:v>DCF con la prima implícita del mercado (4,2 %)</c:v>
                </c:pt>
                <c:pt idx="7">
                  <c:v>Precio actual (45,85)</c:v>
                </c:pt>
              </c:strCache>
            </c:strRef>
          </c:cat>
          <c:val>
            <c:numRef>
              <c:f>Hoja1!$C$2:$C$9</c:f>
              <c:numCache>
                <c:formatCode>#,##0.0</c:formatCode>
                <c:ptCount val="8"/>
                <c:pt idx="0">
                  <c:v>16.03</c:v>
                </c:pt>
                <c:pt idx="1">
                  <c:v>20</c:v>
                </c:pt>
                <c:pt idx="2">
                  <c:v>30.339999999999996</c:v>
                </c:pt>
                <c:pt idx="3">
                  <c:v>42.83</c:v>
                </c:pt>
                <c:pt idx="4">
                  <c:v>5.82</c:v>
                </c:pt>
                <c:pt idx="5">
                  <c:v>11.379999999999999</c:v>
                </c:pt>
                <c:pt idx="6">
                  <c:v>4.909999999999997</c:v>
                </c:pt>
                <c:pt idx="7">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