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Intuitive Surgical, Inc.</w:t>
      </w:r>
    </w:p>
    <w:p>
      <w:pPr>
        <w:spacing w:after="60"/>
        <w:rPr>
          <w:color w:val="52514E"/>
          <w:sz w:val="22"/>
          <w:szCs w:val="22"/>
        </w:rPr>
      </w:pPr>
      <w:r>
        <w:rPr>
          <w:color w:val="52514E"/>
          <w:sz w:val="22"/>
          <w:szCs w:val="22"/>
        </w:rPr>
        <w:t xml:space="preserve">ISRG · NASDAQ Global Select Market · ISIN US46120E6023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438,00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558,09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+27,4 % (base +22,2 %)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200,79 USD · mercado 200,79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152.731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30,6x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Intuitive Surgical,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ISRG / US46120E6023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(EE. UU.)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www.intuitive.com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328,57 – 603,88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152.731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146.579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976 M USD/día (2,55 M de acciones; 3 meses, 64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558,09 USD</w:t>
      </w:r>
      <w:r>
        <w:t xml:space="preserve"> frente a 438,00 · Rentabilidad a 12 meses </w:t>
      </w:r>
      <w:r>
        <w:rPr>
          <w:b/>
          <w:bCs/>
        </w:rPr>
        <w:t xml:space="preserve">+27,4 % (base +22,2 %)</w:t>
      </w:r>
      <w:r>
        <w:t xml:space="preserve"> · Valor intrínseco 200,79 USD · con la prima implícita del mercado: 200,79 (-54,2 %) · Alcista / bajista -39,9 % / -67,1 %</w:t>
      </w:r>
    </w:p>
    <w:p>
      <w:pPr>
        <w:spacing w:after="100"/>
      </w:pPr>
      <w:r>
        <w:rPr>
          <w:b/>
        </w:rPr>
        <w:t xml:space="preserve">La recomendación y por qué.</w:t>
      </w:r>
      <w:r>
        <w:t xml:space="preserve"> Mantener, con convicción media. La regla a 12 meses da un objetivo de 558,09 USD (+27,4 % ponderado, +22,2 % el base) porque el PER de hoy (42,9x el BPA de 2027e) es el más bajo de su historia; pero el valor intrínseco (DCF, escenarios y comparables) es de 200,79 USD, un 54,2 % por debajo del cierre de 438,00 USD del 20-oct, y la regla no deja comprar por encima de él. Con nuestras cifras, el precio rinde un 5,1 % anual, lo mismo que el Tesoro (5,12 %). Las dos lecturas no se pueden reconciliar: a un año el mercado puede seguir pagando la calidad; a largo plazo, el precio exige un crecimiento del 22,1 % anual que nadie espera. La convicción es media porque las dos reglas coinciden en Mantener y el precio está lejos de los dos umbrales (200,79 para comprar y 620,10 para vender); bajaría si la guía de 2027 confirma un crecimiento de procedimientos por debajo del 12 % y subiría si el precio se acercara al valor intrínseco.</w:t>
      </w:r>
    </w:p>
    <w:p>
      <w:pPr>
        <w:spacing w:after="100"/>
      </w:pPr>
      <w:r>
        <w:rPr>
          <w:b/>
        </w:rPr>
        <w:t xml:space="preserve">Qué ha cambiado con el 3T26 (20-oct).</w:t>
      </w:r>
      <w:r>
        <w:t xml:space="preserve"> Trimestre fuerte y mensaje peor. Ingresos de 3.048,7 M (+21,7 %), BPA no GAAP de 3,00 USD frente a 2,64 esperado y 546 sistemas colocados (+28 %) [28]. Pero el BPA GAAP cae a 1,49 USD por un acuerdo de 450 M para cerrar la demanda colectiva de los hospitales; los procedimientos en EE. UU. crecen solo un 10 %, el menor ritmo desde la COVID; y la empresa bajará el precio de los instrumentos (−3-5 % por procedimiento desde el 1S27, China desde noviembre) [28, 29]. La acción cayó un 7 % fuera de horas, hasta 407,55 USD [163]. Subimos 2026e (+18,9 %) y bajamos 2027e-2028e al +11 %: el valor intrínseco pasa de 200,29 a 198,89 USD en el DCF.</w:t>
      </w:r>
    </w:p>
    <w:p>
      <w:pPr>
        <w:spacing w:after="100"/>
      </w:pPr>
      <w:r>
        <w:rPr>
          <w:b/>
        </w:rPr>
        <w:t xml:space="preserve">El negocio.</w:t>
      </w:r>
      <w:r>
        <w:t xml:space="preserve"> Tiene ≈ 83 % de los robots de cirugía endoscópica vendidos en el mundo y 12.094 da Vinci instalados [28, 38]. El 84 % de los ingresos es recurrente (instrumentos con chip, servicio y arrendamientos), con un ROIC del 30,2 % y caja neta. La competencia llega por primera vez a EE. UU. (Ottava, Hugo, CMR con Stryker) y la primera respuesta de Intuitive es de precio [29, 55].</w:t>
      </w:r>
    </w:p>
    <w:p>
      <w:pPr>
        <w:spacing w:after="100"/>
      </w:pPr>
      <w:r>
        <w:rPr>
          <w:b/>
        </w:rPr>
        <w:t xml:space="preserve">Finanzas.</w:t>
      </w:r>
      <w:r>
        <w:t xml:space="preserve"> Ingresos +15,7 % anual en diez años, margen EBITDA GAAP del 39 % sin el litigio, sin deuda y con 6.800,4 M USD de caja e inversiones tras una recompra récord de 2.940 M en el trimestre, a ≈ 377 USD por acción [28].</w:t>
      </w:r>
    </w:p>
    <w:p>
      <w:pPr>
        <w:spacing w:after="100"/>
      </w:pPr>
      <w:r>
        <w:rPr>
          <w:b/>
        </w:rPr>
        <w:t xml:space="preserve">Valoración.</w:t>
      </w:r>
      <w:r>
        <w:t xml:space="preserve"> DCF 198,89 USD (WACC 9,95 %), comparables 207,60 y escenarios 201,27: todos los métodos coinciden en la mitad del precio. Cotiza a 30,6x el EBITDA de los próximos 12 meses frente a 14,6x de sus pares. Barata frente a su historia (percentil 10), cara frente a todo lo demás.</w:t>
      </w:r>
    </w:p>
    <w:p>
      <w:pPr>
        <w:spacing w:after="100"/>
      </w:pPr>
      <w:r>
        <w:rPr>
          <w:b/>
        </w:rPr>
        <w:t xml:space="preserve">Qué cambiaría la decisión.</w:t>
      </w:r>
      <w:r>
        <w:t xml:space="preserve"> Compraríamos por debajo de 200,79 USD; venderíamos por encima de 620,10 USD (la regla a 12 meses daría ≤ −10 %). Una guía de procedimientos de 2027 del 15 % o más, o un Tesoro por debajo del 4,25 %, nos haría revisar el crecimiento y el WACC.</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558,09 USD</w:t>
      </w:r>
      <w:r>
        <w:t xml:space="preserve"> (rentabilidad +27,4 % (base +22,2 %)) · Valor intrínseco: 200,79 USD (-54,2 % sobre 438,00) · con la prima implícita del mercado: 200,79 (-54,2 %)</w:t>
      </w:r>
    </w:p>
    <w:p>
      <w:pPr>
        <w:spacing w:after="100"/>
      </w:pPr>
      <w:r>
        <w:t xml:space="preserve">Intuitive es el estándar de la cirugía robótica de tejidos blandos: ≈ 83 % de las unidades vendidas, 12.094 da Vinci instalados y procedimientos al +14 % en el 3T26, cada uno con instrumentos que solo vende ella [28, 38]. El modelo de cuchilla y cartuchos da un 84 % de ingresos recurrentes, un margen EBITDA GAAP del 39 %, un ROIC del 30,2 % y 6.800 M USD de caja sin deuda [1, 28].</w:t>
      </w:r>
    </w:p>
    <w:p>
      <w:pPr>
        <w:spacing w:after="100"/>
      </w:pPr>
      <w:r>
        <w:t xml:space="preserve">El precio de 438,00 USD descuenta mucho más que eso: 30,6x el EBITDA de los próximos 12 meses y 41,7x el beneficio, el doble que sus pares. Según el DCF inverso, o los ingresos crecen al 22,1 % anual hasta 2035, o el inversor se conforma con un 5,1 % anual con el Tesoro al 5,12 % [106].</w:t>
      </w:r>
    </w:p>
    <w:p>
      <w:pPr>
        <w:spacing w:after="100"/>
      </w:pPr>
      <w:r>
        <w:t xml:space="preserve">El 3T26 confirma la dirección del caso base: EE. UU. madura (+10 % en procedimientos) y la empresa empieza a ceder precio en instrumentos, su fuente de margen, justo cuando llegan tres rivales con autorización de la FDA [29, 55].</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37,8x × 9,82 = 371,20 · 47,2x × 11,34 = 535,25 · 62,9x × 12,57 = 790,65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 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478,53 (nuestro base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 / -67,1 %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9,9 %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frente a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(9,6 % anual proyectado; financiable al ROIC actual: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200,79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200,79 y 620,10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620,10 (ponderada a 12 meses ≤ -10 %)</w:t>
            </w:r>
          </w:p>
        </w:tc>
      </w:tr>
    </w:tbl>
    <w:p>
      <w:pPr>
        <w:spacing w:after="160" w:before="0"/>
      </w:pPr>
    </w:p>
    <w:p>
      <w:pPr>
        <w:spacing w:after="100"/>
      </w:pPr>
      <w:r>
        <w:rPr>
          <w:b/>
          <w:bCs/>
        </w:rPr>
        <w:t xml:space="preserve">Por qué la recomendación se aparta de la regla.</w:t>
      </w:r>
    </w:p>
    <w:p>
      <w:pPr>
        <w:spacing w:after="100"/>
      </w:pPr>
      <w:r>
        <w:t xml:space="preserve">Manda la regla a 12 meses (METODO-VIGENTE): ponderada +27,4 % y base +22,2 % pasarían el umbral de compra, pero el valor intrínseco (200,79 USD) está muy por debajo del precio, así que queda en Mantener. Por valor intrínseco, con nuestro coste de capital y con la prima del mercado, la señal sería Vender: es la objeción de fondo a cualquier compra.</w:t>
      </w:r>
    </w:p>
    <w:p>
      <w:pPr>
        <w:pStyle w:val="Heading2"/>
      </w:pPr>
      <w:r>
        <w:t xml:space="preserve">Qué cambiaría la recomendación</w:t>
      </w:r>
    </w:p>
    <w:p>
      <w:pPr>
        <w:pStyle w:val="ListParagraph"/>
        <w:numPr>
          <w:ilvl w:val="0"/>
          <w:numId w:val="2"/>
        </w:numPr>
        <w:spacing w:after="60"/>
      </w:pPr>
      <w:r>
        <w:t xml:space="preserve">Precio por debajo de 200,79 USD (valor intrínseco): pasaríamos a Comprar.</w:t>
      </w:r>
    </w:p>
    <w:p>
      <w:pPr>
        <w:pStyle w:val="ListParagraph"/>
        <w:numPr>
          <w:ilvl w:val="0"/>
          <w:numId w:val="2"/>
        </w:numPr>
        <w:spacing w:after="60"/>
      </w:pPr>
      <w:r>
        <w:t xml:space="preserve">Precio por encima de 620,10 USD: la regla a 12 meses daría Vender.</w:t>
      </w:r>
    </w:p>
    <w:p>
      <w:pPr>
        <w:pStyle w:val="ListParagraph"/>
        <w:numPr>
          <w:ilvl w:val="0"/>
          <w:numId w:val="2"/>
        </w:numPr>
        <w:spacing w:after="60"/>
      </w:pPr>
      <w:r>
        <w:t xml:space="preserve">Guía de procedimientos da Vinci para 2027 del 15 % o más en enero de 2027: revisaríamos al alza el crecimiento de 2027-2030.</w:t>
      </w:r>
    </w:p>
    <w:p>
      <w:pPr>
        <w:pStyle w:val="ListParagraph"/>
        <w:numPr>
          <w:ilvl w:val="0"/>
          <w:numId w:val="2"/>
        </w:numPr>
        <w:spacing w:after="60"/>
      </w:pPr>
      <w:r>
        <w:t xml:space="preserve">Tesoro a 10 años por debajo del 4,25 % de forma sostenida: revisaríamos el WACC.</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(26 de 34 con compra, objetivo medio de 478,53 USD, todavía sin el 3T26) valoran a Intuitive por múltiplos frente a su propia historia: 32,4x el EBITDA de 12 meses es el nivel más bajo de la década, con una media de 49x. Descuentan que el crecimiento dura y que la competencia es de nicho [D].</w:t>
      </w:r>
    </w:p>
    <w:p>
      <w:pPr>
        <w:keepNext/>
        <w:spacing w:after="100"/>
      </w:pPr>
      <w:r>
        <w:rPr>
          <w:b/>
          <w:bCs/>
        </w:rPr>
        <w:t xml:space="preserve">Lo que creemos nosotros.</w:t>
      </w:r>
    </w:p>
    <w:p>
      <w:pPr>
        <w:spacing w:after="100"/>
      </w:pPr>
      <w:r>
        <w:t xml:space="preserve">Un crecimiento del 18,9 % en 2026 y del 11 % en 2027-2028, más bajo que el consenso previo (12,8 % y 12,7 %) por las rebajas de precio de instrumentos anunciadas el 20-oct, y después lo que la empresa puede financiar con un capex del 12 % de las ventas. Con el Tesoro al 5,12 %, la prima de Damodaran al 4,20 % y una beta de 1,15, el coste del capital es el 9,95 %: a ese coste el negocio vale 198,89 USD por acción en el DCF.</w:t>
      </w:r>
    </w:p>
    <w:p>
      <w:pPr>
        <w:keepNext/>
        <w:spacing w:after="100"/>
      </w:pPr>
      <w:r>
        <w:rPr>
          <w:b/>
          <w:bCs/>
        </w:rPr>
        <w:t xml:space="preserve">Por qué podemos tener razón.</w:t>
      </w:r>
    </w:p>
    <w:p>
      <w:pPr>
        <w:spacing w:after="100"/>
      </w:pPr>
      <w:r>
        <w:t xml:space="preserve">La media histórica de 49x se formó con el Tesoro entre el 0,52 % y el 4,98 % [177]. Y el negocio cambia: por primera vez la guía de procedimientos se estrecha a la baja dentro del año y la empresa baja precios [29]. Podríamos equivocarnos si los tipos bajan: con un WACC del 8,9 % y un crecimiento terminal del 4 %, el valor sería de 232,56 USD, todavía un 47 % por debajo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3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de escala y costes de cambio</w:t>
      </w:r>
      <w:r>
        <w:t xml:space="preserve">: ≈ 83 % de las unidades vendidas, 12.094 da Vinci instalados y colocaciones récord en el 3T26 (546, +28 %) [28, 38].</w:t>
      </w:r>
    </w:p>
    <w:p>
      <w:pPr>
        <w:pStyle w:val="ListParagraph"/>
        <w:numPr>
          <w:ilvl w:val="0"/>
          <w:numId w:val="2"/>
        </w:numPr>
        <w:spacing w:after="60"/>
      </w:pPr>
      <w:r>
        <w:rPr>
          <w:b/>
        </w:rPr>
        <w:t xml:space="preserve">Ingresos recurrentes</w:t>
      </w:r>
      <w:r>
        <w:t xml:space="preserve">: el 84 % de los ingresos son instrumentos, servicio y arrendamientos [1].</w:t>
      </w:r>
    </w:p>
    <w:p>
      <w:pPr>
        <w:pStyle w:val="ListParagraph"/>
        <w:numPr>
          <w:ilvl w:val="0"/>
          <w:numId w:val="2"/>
        </w:numPr>
        <w:spacing w:after="60"/>
      </w:pPr>
      <w:r>
        <w:rPr>
          <w:b/>
        </w:rPr>
        <w:t xml:space="preserve">Rentabilidad</w:t>
      </w:r>
      <w:r>
        <w:t xml:space="preserve">: ROIC del 30,2 % frente a un WACC del 9,95 %, y un ROIC incremental del 24,6 %.</w:t>
      </w:r>
    </w:p>
    <w:p>
      <w:pPr>
        <w:pStyle w:val="ListParagraph"/>
        <w:numPr>
          <w:ilvl w:val="0"/>
          <w:numId w:val="2"/>
        </w:numPr>
        <w:spacing w:after="60"/>
      </w:pPr>
      <w:r>
        <w:rPr>
          <w:b/>
        </w:rPr>
        <w:t xml:space="preserve">Balance</w:t>
      </w:r>
      <w:r>
        <w:t xml:space="preserve">: sin deuda y con 6.800,4 M USD de caja e inversiones a 30-sep-2026 [28].</w:t>
      </w:r>
    </w:p>
    <w:p>
      <w:pPr>
        <w:pStyle w:val="ListParagraph"/>
        <w:numPr>
          <w:ilvl w:val="0"/>
          <w:numId w:val="2"/>
        </w:numPr>
        <w:spacing w:after="60"/>
      </w:pPr>
      <w:r>
        <w:rPr>
          <w:b/>
        </w:rPr>
        <w:t xml:space="preserve">Barata frente a su historia</w:t>
      </w:r>
      <w:r>
        <w:t xml:space="preserve">: 32,4x el EBITDA de 12 meses, percentil 10 de la década (media de 49x).</w:t>
      </w:r>
    </w:p>
    <w:p>
      <w:pPr>
        <w:pStyle w:val="Heading2"/>
      </w:pPr>
      <w:r>
        <w:t xml:space="preserve">En contra</w:t>
      </w:r>
    </w:p>
    <w:p>
      <w:pPr>
        <w:pStyle w:val="ListParagraph"/>
        <w:numPr>
          <w:ilvl w:val="0"/>
          <w:numId w:val="2"/>
        </w:numPr>
        <w:spacing w:after="60"/>
      </w:pPr>
      <w:r>
        <w:rPr>
          <w:b/>
        </w:rPr>
        <w:t xml:space="preserve">El precio descuenta un 5,1 % de rentabilidad</w:t>
      </w:r>
      <w:r>
        <w:t xml:space="preserve">, lo mismo que el Tesoro a 10 años (5,12 %) [106].</w:t>
      </w:r>
    </w:p>
    <w:p>
      <w:pPr>
        <w:pStyle w:val="ListParagraph"/>
        <w:numPr>
          <w:ilvl w:val="0"/>
          <w:numId w:val="2"/>
        </w:numPr>
        <w:spacing w:after="60"/>
      </w:pPr>
      <w:r>
        <w:rPr>
          <w:b/>
        </w:rPr>
        <w:t xml:space="preserve">Baja el precio de los instrumentos</w:t>
      </w:r>
      <w:r>
        <w:t xml:space="preserve">: −3-5 % del ingreso por procedimiento desde 2027 [29].</w:t>
      </w:r>
    </w:p>
    <w:p>
      <w:pPr>
        <w:pStyle w:val="ListParagraph"/>
        <w:numPr>
          <w:ilvl w:val="0"/>
          <w:numId w:val="2"/>
        </w:numPr>
        <w:spacing w:after="60"/>
      </w:pPr>
      <w:r>
        <w:rPr>
          <w:b/>
        </w:rPr>
        <w:t xml:space="preserve">EE. UU. madura</w:t>
      </w:r>
      <w:r>
        <w:t xml:space="preserve">: procedimientos al +10 % en el 3T26, el menor ritmo desde la COVID [29].</w:t>
      </w:r>
    </w:p>
    <w:p>
      <w:pPr>
        <w:pStyle w:val="ListParagraph"/>
        <w:numPr>
          <w:ilvl w:val="0"/>
          <w:numId w:val="2"/>
        </w:numPr>
        <w:spacing w:after="60"/>
      </w:pPr>
      <w:r>
        <w:rPr>
          <w:b/>
        </w:rPr>
        <w:t xml:space="preserve">Competencia en EE. UU. por primera vez</w:t>
      </w:r>
      <w:r>
        <w:t xml:space="preserve">: Hugo, Ottava y CMR con el respaldo de Stryker [45, 55, 56].</w:t>
      </w:r>
    </w:p>
    <w:p>
      <w:pPr>
        <w:pStyle w:val="ListParagraph"/>
        <w:numPr>
          <w:ilvl w:val="0"/>
          <w:numId w:val="2"/>
        </w:numPr>
        <w:spacing w:after="60"/>
      </w:pPr>
      <w:r>
        <w:rPr>
          <w:b/>
        </w:rPr>
        <w:t xml:space="preserve">Litigios</w:t>
      </w:r>
      <w:r>
        <w:t xml:space="preserve">: 450 M para cerrar la demanda de los hospitales y el caso SIS reabierto tras la revocación de agosto [28, 58].</w:t>
      </w:r>
    </w:p>
    <w:p>
      <w:pPr>
        <w:pStyle w:val="ListParagraph"/>
        <w:numPr>
          <w:ilvl w:val="0"/>
          <w:numId w:val="2"/>
        </w:numPr>
        <w:spacing w:after="60"/>
      </w:pPr>
      <w:r>
        <w:rPr>
          <w:b/>
        </w:rPr>
        <w:t xml:space="preserve">Prima doble sobre los pares</w:t>
      </w:r>
      <w:r>
        <w:t xml:space="preserve">: 30,6x el EBITDA de los próximos 12 meses frente a una mediana de 14,6x.</w:t>
      </w:r>
    </w:p>
    <w:p>
      <w:pPr>
        <w:pStyle w:val="Heading2"/>
      </w:pPr>
      <w:r>
        <w:t xml:space="preserve">Qué tiene que pasar para que la tesis funcione</w:t>
      </w:r>
    </w:p>
    <w:p>
      <w:pPr>
        <w:spacing w:after="100"/>
      </w:pPr>
      <w:r>
        <w:t xml:space="preserve">La tesis depende de que el crecimiento siga desacelerando (procedimientos hacia el 11-12 % y precio de instrumentos a la baja) mientras el Tesoro sigue por encima del 5 %. La señal de que no se cumple sería una guía de procedimientos para 2027 del 15 % o más con ingreso por procedimiento estable, o un Tesoro por debajo del 4,25 % [29].</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procedimientos da Vinci (mundo)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(3T26); guía 2026: 14-15 %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59 % de las ventas (instrumentos) y el DCF inverso exige más del 20 % anual en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68 % de las ventas y el primer mercado donde compiten Ottava, Hugo y CMR.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de instrumentos por procedimiento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 un 3-5 % desde el 1S27 (guía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un 5 % de 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las rebajas y de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 (3T26); guía 2026 68,7-69,3 %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aranceles, mezcla del da Vinci 5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Tesoro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depende del coste del capital más que de las cifras.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32,4x / 30,6x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53,0x / 41,7x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Intuitive Surgical se fundó en 1995 en Sunnyvale (California) [1]. Lanzó el primer sistema da Vinci en 1999 y en julio de 2000 obtuvo de la FDA la autorización para cirugía laparoscópica general, el mismo año en que salió a bolsa [1, 35]. En junio de 2003 compró Computer Motion, el otro fabricante estadounidense de robots quirúrgicos, en una operación en acciones de 148,5 M USD [35]. Desde entonces ha renovado la plataforma por generaciones (S 2006, Si 2009, Xi 2014, X 2017, SP 2018, da Vinci 5 en 2024) y en 2019 salió de la cirugía con Ion, para biopsia pulmonar [1]. Ha ido integrando distribuidores: China en 2019, mediante la empresa conjunta con Fosun, e Italia, España y Portugal en marzo de 2026 [7, 36]. En julio de 2025 Dave Rosa, en la empresa desde 1996, sustituyó como consejero delegado a Gary Guthart, que pasó a presidente ejecutivo [33]. En octubre de 2026 cerró con un pago único de 450 M USD la demanda colectiva antimonopolio de los hospitales sobre la reparación de instrumentos, pendiente de aprobación judicial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Intuitive Surgical, Inc. (Delaware; sede en Sunnyvale, California)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para cirugía laparoscópica general (julio de 2000); salida a bolsa en el Nasdaq ese mismo año [1,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Computer Motion (junio de 2003), fabricante de robots quirúrgicos, en una operación en acciones de 148,5 M USD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de la FDA para ginecología; hasta entonces la mayoría de las histerectomías eran cirugía abierta. La histerectomía benigna es hoy la mayor fuente de procedimientos nuevos en ginecología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generación, da Vinci Xi (tras el Si de 2009), base de la familia actual; en 2017 llega el da Vinci X para clientes sensibles al precio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Comercialización del da Vinci SP (puerto único); base instalada de 445 SP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Ion (biopsia pulmonar robótica). La empresa conjunta con Fosun (60 % Intuitive) compra la distribución de Chindex en China por 66,0 M USD, y Intuitive compra a Schölly la fabricación de endoscopios por 101,4 M USD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3 por 1 (septiembre de 2021), aprobado junto con la ampliación de las acciones autorizadas de 300 a 600 millones [34].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5 (marzo de 2024), con retroalimentación de fuerza y 10.000 veces la capacidad de cálculo del Xi; 870 colocaciones en 2025 y 1.710 instalados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Rosa sustituye a Gary Guthart como consejero delegado el 1 de julio de 2025; Guthart pasa a presidente ejecutivo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1 de marzo de 2026 el negocio de distribución de da Vinci e Ion de ab medica, Abex y Excelencia Robótica (Italia, España, Portugal, Malta y San Marino) por unos 533,1 M USD en efectivo [7, 32]. En octubre acuerda pagar 450 M USD, sin admitir responsabilidad, para cerrar la demanda colectiva antimonopolio de los hospitales («In re da Vinci Surgical Robot Antitrust Litigation»), pendiente de aprobación del tribunal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Intuitive diseña, fabrica y vende sistemas robóticos para cirugía mínimamente invasiva (da Vinci 5, Xi, X y SP) y para biopsia pulmonar endoluminal (Ion), los instrumentos y accesorios que se usan en cada intervención (pinzas, grapadoras SureForm, sellado de vasos, paños estériles), el servicio técnico y la formación de cirujanos [1]. Los clientes son hospitales y redes de hospitales (IDN). En EE. UU., Europa (salvo los países con distribuidor), China (empresa conjunta con Fosun), Japón, Corea, India, Taiwán y Canadá vende directamente; en el resto, a través de distribuidores [1]. Fabrica los sistemas en Sunnyvale, Peachtree Corners (Georgia) y Shanghái; los instrumentos, en Sunnyvale y sobre todo en Mexicali (México); los endoscopios, en Alemania y Bulgaria [1]. A 30 de septiembre de 2026 tenía 12.094 da Vinci instalados (+12 %) y 1.152 Ion (+21 %) [28]; a 30 de junio, el reparto de los da Vinci era 6.615 en EE. UU., 2.325 en Europa, 2.111 en Asia y 659 en el resto [7]. En 2025 hubo unos 3,15 millones de procedimientos da Vinci (+18 %) y 144.100 de Ion (+51 %) [1]. EE. UU. supuso el 68 % de los ingresos [1].</w:t>
      </w:r>
    </w:p>
    <w:p>
      <w:pPr>
        <w:pStyle w:val="Heading2"/>
      </w:pPr>
      <w:r>
        <w:t xml:space="preserve">Cómo gana dinero</w:t>
      </w:r>
    </w:p>
    <w:p>
      <w:pPr>
        <w:spacing w:after="100"/>
      </w:pPr>
      <w:r>
        <w:t xml:space="preserve">Es un modelo de «cuchilla y cartuchos». El sistema (ASP de 1,60 M USD en 2025) abre la cuenta, y cada intervención consume instrumentos de vida limitada: un chip impide usarlos más veces de las prescritas [1]. En 2025 los ingresos recurrentes (instrumentos y accesorios, 6.018,9 M USD; servicio, 1.572,1 M USD; arrendamiento operativo, 874,3 M USD) sumaron 8.465,3 M USD, el 84 % de los 10.064,7 M USD totales; los sistemas aportaron 2.473,7 M USD [1]. El 51 % de las colocaciones de da Vinci (872 de 1.721) se hizo con arrendamiento operativo, 496 de ellas cobradas por uso [1]. El motor es el volumen de procedimientos, no la venta de máquinas: 18 % más procedimientos dieron 19 % más ingresos de instrumentos [1]. El margen bruto bajó del 67,5 % al 66,0 % en 2025 por los aranceles (63,0 M USD) y por los costes del da Vinci 5 [1]. Hay estacionalidad: más colocaciones y procedimientos benignos en el cuarto trimestre, y menos en el primero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hospitales individuales y redes integradas (IDN). La primera venta es una compra de equipo con ciclo largo, y luego hay pedidos recurrentes de instrumentos que se envían en un día laborable [1]. Menos del 10 % de los ingresos pasa por distribuidores fuera de EE. UU. [1]. Los arrendamientos de pago fijo no se pueden cancelar sin penalización; los de pago por uso sí permiten salir antes del final [1]. 437 de las 1.721 colocaciones de 2025 fueron cambios de sistemas antiguos por nuevos (150 en 2024) [1]. Señal de poder de precios: el ASP de da Vinci subió de 1,50 a 1,60 M USD en 2025 por la mezcla con da Vinci 5, pese a mayores descuentos y más canjes [1]. En contra: varias provincias chinas limitan desde 2022 lo que los hospitales cobran por la cirugía robótica, y en Japón los procedimientos nuevos se reembolsan como la laparoscopia [1]. En el 3T26 anunció dos rebajas: desde el 1S27 alargará la vida útil de parte de los instrumentos EndoWrist del Xi y el da Vinci 5 e introducirá precios por volumen, para ganar los procedimientos benignos de mucho volumen (colecistectomía, hernia inguinal), y desde noviembre de 2026 China baja por norma los precios de los instrumentos; entre las dos restarán un 3-5 % a los ingresos de instrumentos por procedimiento, a mezcla constante (el programa de 2020 restó un 7 %) [54].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da Vinci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2.012 (+15 %), fuera 1.141 (+23 %) [1]. +16 % en 1T26, +15 % en 2T26 y +14 % en 3T26 (EE. UU. +10 %, fuera +20 %); guía 2026: +14-15 % (octubre; antes 13,5-15,5 %) [20, 21,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Ion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en 1T26, +36 % en 2T26 y +31 % en 3T26 (EE. UU. +29 %) [20, 21,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6.364, Europa 2.168, Asia 1.993, resto 581 [1]; 11.710 a jun-26 y 12.094 a sep-26 (+12 %); más de 2.000 da Vinci 5 [21,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 da Vinci 5 en 2025 frente a 362; 437 con entrega de un sistema usado (150 en 2024) [1]. 9M26: 1.445 frente a 1.189 (+22 %); 3T26: 546 (+28 %), 315 da Vinci 5, 65 XiR, 42 SP; netas +40 % [20, 21,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 colocaciones da Vinci en arrendamiento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872 de 1.721 en 2025, de ellas 496 por uso [1]; 54 % en 2T26 (254 de 468) [21]; 53 % en 3T26 (291 de 546, 160 por uso) [28].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I&amp;A por procedimiento da Vinci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verbal de la conferencia [29]; ≈1.880 en 1T26 y ≈1.830 en 2T26 [25, 26]. Las rebajas anunciadas en octubre (más usos, precios por volumen y China) le restarán un 3-5 % a mezcla constante cuando estén completas, a finales de 2027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da Vinci (procedimientos por sistema y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publica la variación anual, no el nivel [1, 2]; +3 % en 2T26 y +2 % en 3T26 (media da Vinci + Ion) según las conferencias [26,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recurrentes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I&amp;A + servicio + arrendamiento operativo: 8.465 M USD en 2025 [1]; 84 % de los ingresos en el 3T26 según el director financiero [29].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robots de cirugía endoscópica (laparoscópica y toracoscópica) de tejidos blandos, multipuerto y de puerto único, a escala mundial: sistemas, instrumentos y servicio. Quedan fuera los robots de ortopedia y columna (Mako, ROSA, ExcelsiusGPS) y los endoluminales (Ion). Se usa la serie de Frost &amp; Sullivan publicada en el folleto de salida a bolsa de Edge Medical, en millones de USD a precio de fábrica [38], porque separa el segmento endoscópico y cuadra con la facturación de Intuitive (8.352 M USD en 2024, Ion incluido) [1]. Como contraste, MarketsandMarkets da 11.980 M USD en 2024 para todos los robots quirúrgicos, ortopedia incluida [41]. Esa cifra parece corta: solo Intuitive facturó 8.352 M USD ese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10.220 M USD en 2024 y 12.450 M USD estimados para 2025 (robots de cirugía endoscópica, mundo, precio de fábrica; Frost &amp; Sullivan) [38]. Contraste: 11.980 M USD en 2024 y 13.690 M USD en 2025 para todo el mercado de robots quirúrgicos, ortopedia incluida, según MarketsandMarkets [41]; Intuitive sola facturó 10.065 M USD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obots de cirugía endoscópica, mundo, precio de fábrica;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robótica en la cirugía endoscópica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 cirugía endoscópica asistida por robot fue el 21,9 % del total en 2024 (1,8 millones de intervenciones); en China, el 0,7 %, con previsión del 3,0 % en 2033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procedimientos y nuevas indicaciones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3,153 millones de procedimientos da Vinci en 2025 (+18 %) y +15 % en el 2T26 y +14 % en el 3T26 (Ion +31 %); previsión de 2026 acotada a +14-15 % [1, 7, 28]; Intuitive cifra en 9 millones los procedimientos «en línea de visión» para 2026 (7 millones en 2024) [37]; da Vinci 5 en cirugía cardiaca añade unos 160.000 procedimientos al año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inversión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espera que los clientes sigan siendo prudentes en inversión por falta de personal, menos financiación pública (Europa, Japón) y tipos altos; lo compensa con arrendamiento operativo, el 51 % de las colocaciones de 2025 [1, 7]. En el 3T26 las colocaciones subieron un 28 % (546) [28]; la empresa vigila el efecto de la menor afiliación a la ACA, Medicaid y el programa 340B [54].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cuotas, licitaciones y política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2023 permite 559 robots nuevos para todos los fabricantes; Intuitive ha colocado 169 + 3 (a 30-jun-2026) [7]. En China hay 13 robots multipuerto aprobados por la NMPA, 11 de marcas chinas [38]; desde 2022 hay topes provinciales al precio de la cirugía robótica [1]. En el 3T26 el entorno «sigue siendo difícil»: procedimientos en línea con la media del grupo, menos colocaciones recientes, y una rebaja de precios de los instrumentos por los cambios en los códigos de cobro, desde noviembre de 2026; la previsión tiene en cuenta el volumen de las licitaciones y la competencia [54].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frente a la cirugía bariátrica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procedimientos bariátricos da Vinci en EE. UU. caen a un ritmo de un dígito alto y son ≈ 2 % del total [7]; Medtronic cita la presión de los fármacos sobre el volumen bariátrico [42]. En la conferencia del 3T26 no se habló de GLP-1 ni de la evolución de la bariátrica [54].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subieron el coste de ventas de Intuitive en 63,0 M USD en 2025 y en 48,8 M USD en el 1S26 [1, 7]. Las devoluciones IEEPA restaron coste de ventas: 35,9 M USD en el 2T26 y 27,8 M USD en el 3T26 (63,7 M USD en nueve meses) [7, 28]. La previsión de margen bruto no GAAP de 2026 (68,7-69,3 %) incluye un coste arancelario del 0,9 % de los ingresos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vendió 1.430 de los 1.726 robots multipuerto colocados en el mundo en 2024 (≈ 83 %) [38]. Pero en 2025-26 entraron en EE. UU. Hugo (urología, dic-2025), Versius Plus (510(k), dic-2025) y Ottava (De Novo, jul-2026) [42, 45, 50], y en China compiten 11 marcas locales aprobadas [38]. Stryker entra en tejidos blandos: invertirá unos 400 M USD en CMR, con opción a comprarla entera, y venderá Versius en EE. UU. (12-oct-2026) [55].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redes con presupuestos ajustados; en China, por licitación pública y con topes provinciales al precio desde 2022; en Japón, los procedimientos nuevos se reembolsan como la laparoscopia [1]. Lo atenúan los costes de cambio: el 25 % de las colocaciones de 2025 fueron canjes de sistemas propios (437 de 1.721) [1]. Intuitive cede precio: los ingresos de instrumentos por procedimiento bajarán un 3-5 % por la ampliación de usos desde el 1S27 y la rebaja china desde nov-2026 [54].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componentes de proveedor único y se compra casi todo con órdenes de compra, sin contratos largos [1]; tensiones en semiconductores (memoria) y riesgo de restricciones chinas a las tierras raras [7]. Hasta ahora, sin efecto material, salvo los aranceles (63,0 M USD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ha abierto la puerta a varios rivales (De Novo para Versius en oct-2024 y Ottava en jul-2026; 510(k) solicitado por SS Innovations en dic-2025 y aún sin conceder según la base de la FDA a 12-oct-2026; Medtronic pidió en jun-2026 ampliar Hugo a cirugía general y ginecología) [45, 49, 50, 56, 57]. Las barreras siguen siendo altas: más de 5.600 patentes en vigor y 2.500 en trámite, y 11.710 sistemas instalados [1, 7]. Los entrantes pierden dinero: CMR, −134 % de margen operativo en 2025; MicroPort MedBot, −43 % [40, 50].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la cirugía abierta, la laparoscopia convencional, los fármacos y la radioterapia [1]. La laparoscopia ya domina colecistectomía y apendicectomía, lo que limita la ganancia ahí [1]. Los GLP-1 reducen la bariátrica (≈ 2 % de los procedimientos) [7]. Con un 78 % de la cirugía endoscópica de EE. UU. aún sin robot, la sustitución favorece hoy al robot [38].</w:t>
            </w:r>
          </w:p>
        </w:tc>
      </w:tr>
    </w:tbl>
    <w:p>
      <w:pPr>
        <w:spacing w:after="160" w:before="0"/>
      </w:pPr>
    </w:p>
    <w:p>
      <w:pPr>
        <w:pStyle w:val="Heading2"/>
      </w:pPr>
      <w:r>
        <w:t xml:space="preserve">Ciclo</w:t>
      </w:r>
    </w:p>
    <w:p>
      <w:pPr>
        <w:spacing w:after="100"/>
      </w:pPr>
      <w:r>
        <w:t xml:space="preserve">Los indicadores son los procedimientos (+18 % en 2025, +15 % en el 2T26 y en el 3T26), las colocaciones (1.721 en 2025, +13 %; 546 en el 3T26, +28 %) y la base instalada (+12 % a 30-sep-2026) [1, 7, 28]. El sector se ha comportado como semidefensivo. En 2009 los ingresos de Intuitive crecieron un 20 % (de 874,9 a 1.052,2 M USD) [24]. En 2020 el COVID dejó los procedimientos en +1 % y los ingresos en −2,7 % (de 4.478,5 a 4.358,4 M USD) [5, 24]. En 2022, con inflación y tipos al alza, los ingresos crecieron un 9,0 % (de 5.710,1 a 6.222,2 M USD) y los procedimientos llegaron a 1,875 millones [3, 24]. La parte cíclica es la de equipos: los hospitales retrasan inversiones con tipos altos [1].</w:t>
      </w:r>
    </w:p>
    <w:p>
      <w:pPr>
        <w:pStyle w:val="Heading2"/>
      </w:pPr>
      <w:r>
        <w:t xml:space="preserve">Regulación</w:t>
      </w:r>
    </w:p>
    <w:p>
      <w:pPr>
        <w:spacing w:after="100"/>
      </w:pPr>
      <w:r>
        <w:t xml:space="preserve">En EE. UU. los productos de Intuitive son de clase II y entran por 510(k); los rivales nuevos sin predicado usan la vía De Novo (Versius en oct-2024, Ottava en jul-2026) [1, 45, 50]. En la UE rige el MDR (Reglamento 2017/745), con transición hasta el 31-dic-2028; da Vinci 5 lo obtuvo en jul-2025, aún sin la retroalimentación de fuerza [1]. En China hacen falta registro de la NMPA, cuota estatal de equipos (559 robots en la de 2023) y licitación; hay topes provinciales de precio desde 2022 y una campaña anticorrupción desde jul-2023 [1, 7]. Aranceles de EE. UU.: el Supremo anuló en feb-2026 los basados en la IEEPA y desde el 24-feb-2026 rigió un 10 % general por la Sección 122 (con exención para los productos USMCA de Mexicali) [1, 7]; la Sección 122 tiene un máximo legal de 150 días y el 23-jul-2026 la USTR la sustituyó por aranceles de la Sección 301 del 10 % o el 12,5 % a 60 economías [59]. Efecto declarado: 63,0 M USD de coste en 2025 y 48,8 M USD en el 1S26; para 2026 la empresa estima un 0,9 % de los ingresos, sin contar las devoluciones IEEPA (63,7 M USD en nueve meses) [1, 7, 28]. En China, rebaja de precios de los instrumentos por cambios en los códigos de cobro desde nov-2026 [54].</w:t>
      </w:r>
    </w:p>
    <w:p>
      <w:pPr>
        <w:pStyle w:val="Heading2"/>
      </w:pPr>
      <w:r>
        <w:t xml:space="preserve">Tendencias y disrupción</w:t>
      </w:r>
    </w:p>
    <w:p>
      <w:pPr>
        <w:spacing w:after="100"/>
      </w:pPr>
      <w:r>
        <w:t xml:space="preserve">En tecnología: retroalimentación de fuerza (da Vinci 5), puerto único (SP, 445 instalados), cirugía cardiaca con da Vinci 5 (FDA, ene-2026) e IA en la navegación de Ion (FDA, oct-2025) [1, 7]. En hábitos: la cirugía se desplaza a centros ambulatorios (ASC), donde Intuitive entra con Xi reacondicionados (42 en 2025) [37]. En competidores: llegan grandes grupos a EE. UU. (Medtronic Hugo, J&amp;J Ottava, CMR Versius Plus) [42, 45, 50], y los fabricantes chinos salen fuera: el 73 % de los ingresos de MicroPort MedBot y 54 de los 100 robots entregados por Edge Medical son ya del exterior [39, 40]. Stryker invertirá unos 400 M USD en CMR Surgical con opción de compra total y será su agente exclusivo en EE. UU. (12-oct-2026) [55]. Medtronic pagó unos 700 M USD por entrar en Cornerstone Robotics y distribuir su sistema Sentire fuera de EE. UU. (sep-2026) [43]. En precio: Intuitive ampliará en 2027 los usos de sus instrumentos para defender los procedimientos benignos de mucho volumen [54].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robots de cirugía endoscópica de tejidos blandos: ≈ 83 % de las unidades multipuerto vendidas en 2024 (1.430 de 1.726) [38] y 11.710 da Vinci instalados a 30-jun-2026 [7]. En biopsia pulmonar robótica, Ion ya supera la mitad de las biopsias pulmonares de EE. UU. [7]. En el juicio de SIS se presentó como prueba una cuota de más del 99 % en robots de cirugía mínimamente invasiva de tejidos blandos [58].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(Hugo 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ejercicio cerrado en abril de 2026; Medical Surgical facturó 8.815 M USD con 2.128 M USD de beneficio operativo de segmento (24,1 %) [42]. Hugo obtuvo de la FDA la autorización en urología en diciembre de 2025; el 3-jun-2026 pidió el 510(k) para cirugía general (hernia incluida) y ginecología, sin fecha prevista y sin conceder a 12-oct-2026 [42, 56, 57]. En septiembre de 2026 invirtió unos 700 M USD en Cornerstone Robotics para distribuir su robot fuera de EE. UU.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MedTech (Ottava)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beneficio antes de impuestos del segmento MedTech en 2025 (4.113 M USD) [44]. Solicitó la vía De Novo para Ottava el 7-ene-2026 y la FDA la concedió el 22-jul-2026 para nueve procedimientos de cirugía general del abdomen superior (bypass gástrico, colecistectomía, hernia de hiato…); lanzamiento con clientes seleccionados de EE. UU. y ensayo en curso en hernia inguinal [45]. En el 3T26 MedTech facturó 8.642 M USD (+2,5 %) y J&amp;J presentó Ottava como una de sus innovaciones más transformadoras [60].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(Mako)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ahora no competía en tejidos blandos: Mako es un robot de ortopedia (rodilla y cadera), con más de 2 millones de procedimientos acumulados y presencia en más de 45 países [46]. El 12-oct-2026 anunció una inversión preferente de unos 400 M USD (300 M GBP) en CMR Surgical, con opción exclusiva a comprar el 100 %, y será el agente de ventas exclusivo de Versius en EE. UU.; pendiente de autorizaciones [55].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CMR Surgical (Versius)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no cotizada: 51,7 M GBP de ingresos y −69,2 M GBP de pérdida operativa en 2025, convertidos a 1,3192 USD/GBP [50, 52]. 227 Versius instalados (48 colocaciones en 2025) y 13.253 procedimientos [50]. De Novo de la FDA en oct-2024 y 510(k) para Versius Plus en dic-2025 [50]. La cuota es la estimación propia de 34 de 1.726 unidades en 2024 [38, 50]. El 12-oct-2026 Stryker anunció una inversión de unos 400 M USD con opción de compra total y la venta exclusiva de Versius en EE. UU. [55].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MicroPort MedBot (Toumai)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551,1 M CNY de ingresos en 2025 (+114 %) y −235,3 M CNY de pérdida operativa, convertidos a 7,1875 CNY/USD [40, 52]. El 73 % de los ingresos viene del exterior; Toumai suma más de 220 pedidos en más de 50 países y más de 140 instalaciones [40]. A 16-jun-2026, más de 300 pedidos comerciales de Toumai en más de 60 países; sin autorización de la FDA para Toumai [57, 61].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 Medical (MP1000 / SP1000)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2675.HK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455,7 M CNY de ingresos en 2025 (+185 %) y −88,1 M CNY de pérdida operativa, convertidos a 7,1875 CNY/USD [39, 52]. Cotiza en Hong Kong desde el 8-ene-2026; 100 robots entregados a 31-dic-2025, 54 de ellos fuera de China; el MP1000 está aprobado en 22 jurisdicciones extranjeras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 Innovations (SSi Mantra)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 M USD de ingresos en 2025 y −8,2 M USD de pérdida operativa [49]. 168 sistemas instalados, 154 en India; solicitó el 510(k) a la FDA el 5-dic-2025, aún sin conceder según la base de la FDA a 12-oct-2026 [49, 57]. Compite en precio.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Globus Medical (ExcelsiusGPS)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GMED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Robótica de columna, no de tejidos blandos; 479,8 M USD de beneficio operativo en 2025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11.710 sistemas instalados, casi todos conectados a internet, que alimentan los datos de Case Insights, My Intuitive y SimNow; red mundial de cirujanos formadores [1, 2]. Es un efecto de red indirecto (formación, datos y referencias), no un efecto de red puro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Cirujanos y equipos formados en la consola da Vinci; 437 de las 1.721 colocaciones de 2025 fueron canjes de sistemas propios [1]. El 51 % de las colocaciones se hace con arrendamiento operativo, y los de pago fijo no se pueden cancelar sin penalización [1]. Los instrumentos llevan un chip que limita sus usos, y los del Si no sirven en el Xi/5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5.600 patentes en vigor y más de 2.500 en trámite a 31-dic-2025 [1]. Más de 70 usos clínicos y autorizaciones en EE. UU., UE, Japón, Corea y China [1]. En EE. UU., da Vinci es el tratamiento de referencia en la cirugía del cáncer de próstata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66,0 % y operativo del 29,3 % en 2025 (2.945,5 M USD sobre 10.064,7 M USD) [1], frente a margen de producto del 42 % y pérdida operativa en CMR y pérdidas en MedBot y Edge [23, 13, 12]. Las ventajas vienen sobre todo de la escala, no de un coste unitario menor: los chinos venden en China más barato (≈ 15 frente a ≈ 22 M CNY por sistema)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83 % de las unidades multipuerto vendidas en 2024 [11]. Los rivales independientes no ganan dinero: CMR −133,7 %, MedBot −42,7 %, Edge −19,3 % y SSII −19,3 % de margen operativo en 2025 [23, 13, 12, 22]. Los rivales con escala son conglomerados (Medtronic, J&amp;J) que acaban de obtener la FDA [15, 18].</w:t>
            </w:r>
          </w:p>
        </w:tc>
      </w:tr>
    </w:tbl>
    <w:p>
      <w:pPr>
        <w:spacing w:after="160" w:before="0"/>
      </w:pPr>
    </w:p>
    <w:p>
      <w:pPr>
        <w:pStyle w:val="Heading2"/>
      </w:pPr>
      <w:r>
        <w:t xml:space="preserve">Amenazas</w:t>
      </w:r>
    </w:p>
    <w:p>
      <w:pPr>
        <w:spacing w:after="100"/>
      </w:pPr>
      <w:r>
        <w:t xml:space="preserve">La amenaza que importa ya no es hipotética: en 2025-2026 la FDA autorizó Hugo de Medtronic (urología, dic-2025; pidió en junio ampliarlo a cirugía general y ginecología), Versius Plus de CMR (dic-2025) y Ottava de J&amp;J (De Novo, jul-2026, cirugía general) [42, 45, 50, 56]. El 12-oct Stryker anunció ≈ 400 M USD en CMR, con opción a comprarla y la distribución exclusiva en EE. UU.: un rival con fuerza comercial en los hospitales [55]. Probabilidad alta de presión de precio en concursos de EE. UU. desde 2027, pero baja de que cambie la cuota en tres años: el 3T26 no muestra pérdida (546 colocaciones, +28 %) y la base es de 12.094 da Vinci [28]. La primera respuesta de Intuitive es de precio: instrumentos de más usos y descuentos por volumen desde el 1S27, y en China rebajas obligatorias desde noviembre, que quitan un 3-5 % de ingreso de instrumentos por procedimiento [54]. Además, el 13-ago el Noveno Circuito revocó la sentencia favorable en el caso SIS, y la empresa pagará 450 M USD para cerrar la demanda colectiva de los hospitales con cambios pactados en reparación de instrumentos [28, 58].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14,7 %</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 9M26 los ingresos crecen un 21 % (8.712 M) y el resultado operativo GAAP un 16 % (2.420 M) pese al cargo de 455 M por litigios; sin él, +38 %. El BPA GAAP del 3T26 (1,49 USD, -24 %) cae solo por ese cargo; el no GAAP sube un 25 % (3,00 USD) [28].</w:t>
      </w:r>
    </w:p>
    <w:p>
      <w:pPr>
        <w:pStyle w:val="Heading2"/>
      </w:pPr>
      <w:r>
        <w:t xml:space="preserve">Ajustes y partidas no recurrentes</w:t>
      </w:r>
    </w:p>
    <w:p>
      <w:pPr>
        <w:spacing w:after="100"/>
      </w:pPr>
      <w:r>
        <w:t xml:space="preserve">LTM sep-26 = 2025 + 9M26 - 9M25 [1, 28]. No recurrentes del LTM: 454,9 M de litigios del 3T26 (acuerdo antimonopolio de 450 M), devueltos al EBITDA vía no_recurrentes_en_ebitda. No se ajustan las devoluciones de aranceles IEEPA (63,7 M en 9M26), que también están en el no GAAP de la empresa. Sin pro forma de la compra de los distribuidores italianos e ibéricos (1-mar-26), que la empresa declara no significativa [7]. La depreciación del 3T26 y el flujo operativo del 3T26 son estimaciones hasta que salga el 10-Q.</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Del 2T26 al 3T26 el discurso pasa del volumen al precio. En julio la dirección defendía la guía de procedimientos de 13,5-15,5 %, hablaba de efectos moderados de la reforma de la ACA y Medicaid y dejaba sin cifra el efecto de los instrumentos de más usos [26]. En octubre estrecha la guía a 14-15 %, sube el margen bruto a 68,7-69,3 % y, por primera vez, cuantifica las rebajas: vida útil ampliada y precios por volumen en cirugía benigna desde el 1S27, más el recorte de precios en China desde noviembre, restarán un 3-5 % al I&amp;A por procedimiento a mezcla constante [28, 29]. El crecimiento de EE. UU. bajó al 10 % (12 % en el 2T26 y 14 % en el 1T26), compensado por fuera de EE. UU. (+20 %), colocaciones récord (546, +28 %; 42 SP) y un margen operativo no GAAP del 42 %. El trimestre trajo además un acuerdo antimonopolio de 450 M USD y la mayor recompra de su historia (2.940 M a ≈377 USD) [28, 29]. Las preguntas se repitieron sobre la desaceleración en EE. UU., el calendario y la elasticidad de las rebajas y los márgenes de 2027. La dirección no dio el efecto en 2027 ni el tamaño del recorte en China, no se comprometió con los gastos de 2027 (recordó su rango de margen operativo del 35-40 %, por debajo del 42 % actual, y su intención de usar ese margen para invertir) y no detalló las medidas pactadas en el acuerdo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Negocio de distribución da Vinci/Ion de ab medica, Abex y Excelencia Robótica (Italia, España, Portugal, Malta y San Marino), consolidado desde el 1-mar-26 por 533,1 M USD en caja; fondo de comercio +218 M. Sin pro forma por no ser significativo [7].; 2019: Distribuidor de China (Chindex, a través de la empresa conjunta con Fosun) desde el 5-ene-19 y negocio de endoscopios de Schölly desde el 31-ago-19; ingresos no significativos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Sin deuda financiera; el balance es caja e inversiones en renta fija (6.800 M a sep-26, 35 % del activo) y la variable de ajuste es la recompra: 4.450 M en 9M26 frente a un flujo operativo estimado de ≈3.100 M, de modo que la caja cae 2.234 M desde diciembre [24, 28]. El circulante crece con el negocio: existencias de 1.840 a 2.128 M (+16 % en nueve meses, más rápido que las ventas, por el lanzamiento de da Vinci 5 y SP y los sistemas para arrendar) y clientes de 1.527 a 1.721 M. El inmovilizado (5.676 M) incluye los sistemas cedidos en arrendamiento operativo, que crecen con el 53 % de colocaciones en arrendamiento. El pasivo nuevo relevante es el acuerdo de 450 M pendiente de aprobación judicial [1, 28].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12.537</w:t>
      </w:r>
      <w:r>
        <w:t xml:space="preserve">, conversión </w:t>
      </w:r>
      <w:r>
        <w:rPr>
          <w:b/>
          <w:bCs/>
        </w:rPr>
        <w:t xml:space="preserve">84 %</w:t>
      </w:r>
      <w:r>
        <w:t xml:space="preserve"> del beneficio neto; adquisiciones 382, dividendos 0, recompras 8.039.</w:t>
      </w:r>
    </w:p>
    <w:p>
      <w:pPr>
        <w:spacing w:after="100"/>
      </w:pPr>
      <w:r>
        <w:t xml:space="preserve">La conversión es alta y mejora: flujo operativo de 3.031 M en 2025 (106 % del beneficio neto) y ≈3.131 M en 9M26 (estimado; 145 % del beneficio, inflado por el cargo de 450 M devengado y no pagado), frente a 2.138 M en 9M25 [1, 24]. El capex bajó de 1.111 M en 2024 a 540 M en 2025 al terminar las obras de capacidad y sigue bajo en 2026 (≈329 M en 9M26, 113 M en el 3T26) [1, 29]. Ojo: el capex no recoge los sistemas cedidos en arrendamiento operativo, que se fabrican como existencias (flujo operativo) y pasan al inmovilizado (809 M en 2025); con el 53 % de las colocaciones en arrendamiento, esa inversión de crecimiento resta del flujo operativo, no del capex [1]. Estimación propia: capex de mantenimiento ≈250-300 M al año (depreciación de edificios y equipos sin los sistemas arrendados); el resto, crecimiento. Años anómalos: 2022-2024 por las obras de campus y fábricas [1, 3,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(San José,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en lo que importa: PwC (12 años) firma sin salvedades, sin deterioros, sin capitalizar I+D y con un único asunto clave de auditoría, el reparto del precio entre sistema, instrumentos y servicio [1]. Los indicadores del motor no muestran alertas: Altman Z de 38,31 (sin deuda, zona segura), Piotroski F de 8 sobre 9 (solo falla el margen bruto, que bajó por aranceles) y Beneish M de −2,43, por debajo del umbral de manipulación (−1,78). Lo que hay que ajustar no es contable sino de presentación: la remuneración en acciones (788 M USD en 2025, 27,6 % del beneficio neto) desaparece del no GAAP y del EBITDA del consenso; el tipo fiscal GAAP (13,1 %) está rebajado 7,4 puntos por la deducción del ejercicio de acciones, que depende de la cotización; y el capex no recoge los sistemas en arrendamiento [1, 19]. Por eso este informe usa EBITDA GAAP, un tipo del 19 % y la inversión con los sistemas arrendados. El 3T26 añade un cargo no recurrente de 454,9 M por litigios (450 M del acuerdo antimonopolio, devengado y aún sin pagar), que se saca del EBITDA y se resta en el puente [28].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 y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788 M USD en 2025: 27,6 % del beneficio neto, 7,8 % de las ventas y 26 % del flujo operativo; más 419 M de retenciones fiscales pagadas en caja [1]. Las acciones diluidas pasaron de 365,8 M (2021) a 362,7 M (2025) pese a 5.319 M de recompras en 2022-2025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fiscal rebajado por el ejercicio de acciones y partidas suizas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fiscal de 246 M en 2025 (7,4 p.p.) y 223 M en 2024 (8,4 p.p.) [1]; 2023 al 7,2 % por beneficios suizos [3]. La guía no GAAP es del 22-23 % [26].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 en 2025 frente a +20,5 % de ingresos; 2.028,7 M a jun-26. Parte son sistemas destinados a arrendamiento operativo (808,9 M traspasados al inmovilizado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que no recoge los sistemas cedidos en arrendamiento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sistemas en arrendamiento operativo (1.371 M netos a dic-25) entran por existencias en el flujo operativo y se traspasan sin salida de capex; el 51-56 % de las colocaciones van por esta vía [1,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en el reparto del precio de los sistemas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estimación del precio independiente de cada elemento en las ventas de sistemas (2.473,7 M de ingresos de sistemas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costes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capitalizadas (38,0 M amortizados en 2025) y software capitalizado (299,3 M brutos) [1]. No capitaliza I+D.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las amortizaciones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el estado de flujos agrupa «amortization of intangible and other assets» (62,4 M en 2025 frente a 13,2 M solo de intangibles), lo que cambia la cifra de D&amp;A según la fuente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antimonopolio por la reparación de instrumentos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colectiva certificada en marzo de 2025 (sin fecha de juicio) y recursos de SIS y Restore; la empresa no estima la pérdida posible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370 M en 2025 (el 4 % del capital invertido medio); ha subido más de un 5 % en 4 de 9 años: comprador en serie. ROIC publicado 30,2 %; sin fondo de comercio, 31,6 %.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9,9 %.</w:t>
      </w:r>
    </w:p>
    <w:p>
      <w:pPr>
        <w:spacing w:after="100"/>
      </w:pPr>
      <w:r>
        <w:t xml:space="preserve">Intuitive crea valor con holgura: un ROIC del 30,2 % en 2025 frente a un WACC del 9,95 %, y por encima del 29 % todos los años desde 2016. Pero la tendencia es a la baja, del 75,7 % de 2016 al 30,2 %: no por margen (el NOPAT se ha multiplicado por 3,6, de 712 a 2.559 M USD) sino por capital, que ha crecido más deprisa por las fábricas, el inventario y, sobre todo, los sistemas cedidos en arrendamiento operativo, el 51 % de las colocaciones [1]. El ROIC incremental de los últimos años, 24,6 %, confirma que el crecimiento sigue siendo rentable aunque menos que el negocio heredado. El ROE (16,7 %) es bajo para ese ROIC porque la caja, el 44 % del activo, rinde a tipos de mercado. Frente a los comparables, el ROIC de Stock Analysis de Intuitive (21,9 %) duplica el de Stryker (12,5 %), Boston Scientific (11,2 %) o Medtronic (8,6 %), y solo IDEXX (47,2 %) y Dexcom (44,5 %) lo superan [94, 110, 114, 118, 130, 138].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6.800 M USD a sep-26 (8.626 M a jun-26 y 9.034 M a dic-25), sin deuda financiera ni líneas de crédito; la bajada del trimestre es por recompras (2.940 M). Queda pendiente de pago el acuerdo antimonopolio de 450 M (2027) [1, 7, 28, 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emitida; el 10-K no menciona calificación crediticia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como arrendatario: 170,9 M USD a dic-25 (6,0 años de vida media, 4,6 %) [1]. Compromisos de compra de 2.530 M, 2.370 M a un año, un tercio de instalaciones [1]. Sin deuda ni operaciones fuera de balance relevantes [1]. Litigios: responsabilidad por producto autoasegurada, sin estimar la pérdida adicional posible; demandas antimonopolio por la reparación de EndoWrist (SIS, recurrida tras ganar Intuitive en 2025; acción colectiva de Larkin certificada en marzo de 2025, sin fecha de juicio; Restore, desestimada y recurrida) sin estimación de pérdida [1]. Beneficios fiscales no reconocidos 286,1 M [1]. Pagos aplazados de compras: ninguno relevante desde 2023 [1, 3].</w:t>
      </w:r>
    </w:p>
    <w:p>
      <w:pPr>
        <w:pStyle w:val="Heading1"/>
      </w:pPr>
      <w:r>
        <w:t xml:space="preserve">12. Asignación de capital</w:t>
      </w:r>
    </w:p>
    <w:p>
      <w:pPr>
        <w:pStyle w:val="Confianza"/>
        <w:spacing w:after="100"/>
      </w:pPr>
      <w:r>
        <w:t xml:space="preserve">Confianza: Alta</w:t>
      </w:r>
    </w:p>
    <w:p>
      <w:pPr>
        <w:spacing w:after="100"/>
      </w:pPr>
      <w:r>
        <w:t xml:space="preserve">Intuitive nunca ha pagado dividendos y quiere retener el beneficio para el negocio y, cuando convenga, recomprar acciones [1]. El programa de recompra existe desde marzo de 2009 y no caduca; en abril de 2026 el consejo amplió el disponible a 5.000 M (incluido el remanente) y a jun-26 quedaban ≈4.700 M [7]. Recompras: 2.300,9 M en 2025 (4,8 M acciones a 477,84 USD), 1.506,5 M en 1S26 (3,2 M a 475,67 USD) y 2.940 M en el 3T26 (7,8 M a ≈377 USD), la mayor de su historia [1, 7, 28, 29]. Autorización restante a sep-26: ≈1.760 M estimados (4.700 - 2.940), salvo ampliación no publicada; el 10-Q la confirmará. ASR: 2.274 M en 2017 y 2.000 M en 2022 [4, 6]. Sin deuda: la inversión se paga con el flujo operativo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da Vinci/Ion de ab medica, Abex y Excelencia Robótica (Italia, España, Portugal, Malta, San Marino; &gt;470 sistemas instalados y ≈250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1-mar-26; fondo de comercio 218,0 M e intangibles 219,4 M (relaciones con clientes 195,5 M a 6,6 años); amortización de intangibles de 24 M en 2T26. Anunciada en ene-25 con un pago inicial de ≈319 M EUR [1, 7, 22,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de robótica e IA para evaluar tejido en biopsias (sin nombre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significativo; fondo de comercio +22,3 M en 2025. La cifra es la línea de compras del estado de flujos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Orpheus Medical (Israel; conectividad y vídeo quirúrgico)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plataforma digital; sin deterioros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fabricación de endoscopios de Schölly Fiberoptic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(34,4 M inicial y 67,0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casi terminada a comienzos de 2021; fondo de comercio 58,9 M; Alemania fabrica hoy la mayoría de los endoscopios [5, 21].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Chindex en China (por la empresa conjunta con Fosun)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 M inicial y 64,7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contingentes de 53,7 M en 2020; el mercado chino sufre topes de precio y compra centralizada [1, 5,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Distribuidores de India (Vattikuti, 38,1 M) y Taiwán (Unison, 35,4 M) y activos de InTouch Technologies (38,7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venta directa en India y Taiwán; India destaca hoy por crecimiento de procedimientos [1, 6].</w:t>
            </w:r>
          </w:p>
        </w:tc>
      </w:tr>
    </w:tbl>
    <w:p>
      <w:pPr>
        <w:spacing w:after="160" w:before="0"/>
      </w:pPr>
    </w:p>
    <w:p>
      <w:pPr>
        <w:spacing w:after="100"/>
      </w:pPr>
      <w:r>
        <w:t xml:space="preserve">La recompra es la única vía de retribución y en 2026 se acelera: ≈4.450 M en nueve meses (11,0 M de acciones, ≈3 % del capital), más que todo 2025, financiados con caja (de 9.034 a 6.800 M). La del 3T26 se hizo a ≈377 USD, un 21 % por debajo del precio medio del 1S26 (476 USD) y un 14 % por debajo del cierre del 20-oct (438 USD): la dirección compró en la caída [7, 28, 29]. Aun así la dilución por remuneración en acciones (≈865 M de gasto en 2026 y retenciones fiscales de ≈365 M en 1S26) absorbe una parte: las acciones diluidas bajan un 2,8 % en un año (361,8 a 351,6 M) [7, 28]. Las compras de negocio son pequeñas y de integración vertical (distribuidores, 533 M en 2026) [7].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(Dave) Rosa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marzo de 1996 (ingeniería, I+D, comercial, calidad); director científico (2014-2015), director comercial (2015-2019), director de negocio (2019-2022), de estrategia y crecimiento (2022-2023) y presidente (mayo de 2023-junio de 2025); consejero desde julio de 2024 y CEO desde el 1 de julio de 2025 [33, 63, 75]. En sus cuatro trimestres como CEO los procedimientos da Vinci crecieron un 19 %, 17 %, 16 % y 15 % y los ingresos un 23 %, 19 %, 23 % y 19 % [18, 19,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E. Samath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(CFO) y responsable de tecnología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abril de 2013 como controller y responsable contable; CFO desde enero de 2022 y vicepresidente ejecutivo desde enero de 2025; antes, controller y responsable contable de Atmel y puestos financieros en National Semiconductor; consejero de KLA desde abril de 2025 [63, 69, 91]. Con él como CFO los ingresos pasaron de 5.710 M USD (2021) a 10.065 M USD (2025) y la guía anual de procedimientos se superó los cuatro años [15, 19, 24, 84, 86, 89].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1996; presidente y director de operaciones (2006-2010), CEO de 2010 a junio de 2025 y presidente ejecutivo desde el 1 de julio de 2025, como empleado con salario de 700.000 USD y sin bonus anual [33, 63]. Durante su etapa de CEO los ingresos pasaron de 1.413 M USD (2010) a 8.352 M USD (2024)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P. Brosius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fabricación y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diciembre de 2012; vicepresidente de operaciones de instrumentos (2017), vicepresidente sénior de operaciones (2020) y director de fabricación y cadena de suministro desde mayo de 2023; ascendido a vicepresidente ejecutivo el 23 de marzo de 2026; antes, presidente y director técnico de Harbor Fluid Products (2002-2011) [63]. La empresa fabrica en México la mayor parte de sus instrumentos y accesorios, expuestos a los aranceles de EE. UU.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H. Loeb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jurídico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septiembre de 2022 como secretario general y director de cumplimiento; vicepresidente ejecutivo desde enero de 2025; antes, secretario general de Mammoth Biosciences, Sangamo Therapeutics y Achaogen, y 11 años en Genentech como responsable de propiedad intelectual y litigios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Taylor Patton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 y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dos décadas en Intuitive; como vicepresidente sénior global del negocio endoluminal dirigió el lanzamiento mundial de Ion; sustituye desde el 1 de julio de 2026 a Henry Charlton, que pasa a vicepresidente sénior de operaciones de negocio global [71, 72]. Su participación no figura en el proxy de 2026, anterior al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sin guía en enero por la COVID [90]; +22 % a +26 % en abril [82], +27 % a +30 % en julio y +27 % a +29 % en octubre [83]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 (unos 1.594.000 procedimientos) [84]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70 %-71 % en abril [82]; 70,5 %-71,5 % en julio y 71 %-71,5 % en octubre [83]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71,2 % [84]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+11 % a +15 % en enero [84]; +14 % a +16,5 % en julio y +17 % a +18 % en octubre [85]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[86]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69,5 %-70,5 % en enero [84]; rebajado a 69 %-69,5 % en octubre por costes de suministro y dólar fuerte [85]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 [86]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+12 % a +16 % en enero [86]; +20 % a +22 % en julio y +21 % a +22 % en octubre [87]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[89]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68 %-69 % en enero [86]; 68 %-68,5 % en octubre [87]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[89]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[89]; +15,5 % a +17 % en julio y +16 % a +17 % en octubre [88]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67 %-68 % en enero [89]; 68,5 %-69 % en octubre [88]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[15]; +15 % a +17 % en abril [16], +15,5 % a +17 % en julio [17] y +17 % a +17,5 %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67 %-68 % en enero sin aranceles [15]; 65 %-66,5 % con aranceles (1,7 pp) en abril [16], 66 %-67 % en julio [17] y 67 %-67,5 %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67,6 %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+15 % en enero [19]; +13,5 % a +15,5 % en abril [20]; igual en julio, «más cerca del punto medio» [21]; +14 % a +15 % en octubre, «más cerca del punto medio»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+16 % en el 1T, +15 % en el 2T y +14 % en el 3T [20, 21, 28]; el punto medio de octubre (14,5 %) supone un 4T de en torno al 13 % (estimación propia). Va en camino de cumplirse dentro del rango inicial, pero por primera vez desde 2021 sin superar su techo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67 %-68 % en enero, con 1,2 pp de aranceles [19]; 67,5 %-68,5 % en abril [20]; 68 %-69 % en julio [21]; 68,7 %-69,3 % en octubre, con 0,9 pp de aranceles sin contar devoluciones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69,2 % en enero-septiembre y 69,9 % en el 3T, con devoluciones de aranceles IEEPA (22 M USD netos en el 3T) [28]. Por encima del techo de la guía inicial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no GAAP: +11 % a +15 % en enero [19]; +11 % a +14 % en abril [20]; +11 % a +13 % en julio [21] y en octubre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+13,9 % en enero-septiembre (2.468 frente a 2.168 M USD, calculado como margen bruto no GAAP menos resultado operativo no GAAP, incluye los distribuidores de Italia, España y Portugal comprados en el 1T) y +18 % en el 3T [28]; para quedar en el 11-13 % el 4T tendría que crecer por debajo del 10 % (estimación propia)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de 2021 a 2025 la guía de procedimientos se superó siempre por encima del techo del rango inicial (18 % frente a 13-16 % en 2025) y solo se falló la de margen bruto de 2022 [15, 16, 17, 18, 19, 84, 85, 86, 87, 88, 89]. La sucesión fue ordenada: Dave Rosa sustituyó a Gary Guthart en julio de 2025 y Guthart sigue como presidente ejecutivo [33, 68]. En 2026 el patrón cambia: la guía de procedimientos se mueve dentro del rango inicial (13-15 % en enero, 14-15 % en octubre) con el crecimiento bajando del 16 % al 14 % trimestre a trimestre, mientras la de margen bruto se ha subido tres veces [19, 20, 21, 28]. Sin cambios en la cúpula desde el 6-oct [92]. La dirección posee el 0,6 % y vendió 93,4 M USD en 12 meses, sin compras [63, 76].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Rosa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H. Barratt,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(presidente del consejo 2020-2025)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Beery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Retribuciones (desde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Lewis Chew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Sreelakshmi Kolli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L. Ladd,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R. Leonard,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 Dover Nachtsheim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Monica P. Reed,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(todas sus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33.613.298 acciones a 31-12-2025 (13F citado en el proxy) [63], frente a 30.375.212 (8,63 %) a 31-12-2023 [79]. Desde el 12-1-2026 informa por gestoras separadas: Vanguard Capital Management declara 26.601.419 acciones (7,49 %) a 31-3-2026 y The Vanguard Group, 0 [77, 78]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30.516.154 acciones a 31-12-2025 (13F citado en el proxy) [63], frente a 29.575.972 (8,4 %) a 31-12-2023 [80]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su 13G/A de febrero de 2024 (16.990.447 acciones a 31-12-2023); no ha vuelto a declarar [81]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2.260.608 acciones a 31-12-2025, con 555.917 opciones ejercitables; Guthart tiene 1.512.213 (0,43 %)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353.278.038 acciones en circulación a 16-7-2026, frente a 355,1 millones a 31-12-2025 [1, 7]; en el 3T26 recompró otros 7,8 millones de acciones por 2.940 M USD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J. Rosa (CEO), plan 10b5-1, tras ejercer 27.000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H. Barratt (consejero coordinador), plan 10b5-1; también 750 el 12-11-2025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 Miller (director digital),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L. Charlton (director comercial),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Myriam Curet (directora médica): 16 ventas entre el 28-10-2025 y el 10-3-2026,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Iman Jeddi (directora de plataformas da Vinci),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H. Loeb (director jurídico): 3 ventas entre mayo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a través de fideicomiso familiar,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L. Ladd (consejera): 4 ventas en abril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P. Brosius (director de fabricación): 33 ventas entre el 12-12-2025 y el 11-9-2026,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Fredrik Widman (controller): 7 ventas entre el 5-11-2025 y el 15-9-2026,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(CIP) se financia en 2025 al 50 % con el resultado operativo ajustado (umbral 3.210 M USD, objetivo 3.368 M USD, máximo 3.710 M USD; real 3.969 M USD, 125 %) y al 50 % con objetivos de empresa no publicados en cifra (adopción, innovación, eficiencia, calidad y finanzas; 105,3 %); pagó el 115,2 % del objetivo. En 2026 los pesos pasan a 35 % y 65 %, y el máximo sube del 125 % al 150 % del objetivo. El variable a largo plazo es mitad RSU a cuatro años y mitad PSU a tres años (pago entre 75 % y 125 %): dos tercios por crecimiento del número de procedimientos da Vinci e Ion y un tercio por margen operativo ajustado relativo a un grupo de comparables, que en 2025 sustituyó al TSR relativo. Las PSU de 2023 pagaron el 125 %. Hay clawback obligatorio por reformulación, ampliado en enero de 2026 a las acciones en caso de fraude, y un tope de indemnización en efectivo de 2,99 veces salario más bonus sin aprobación de la junta [63].</w:t>
      </w:r>
    </w:p>
    <w:p>
      <w:pPr>
        <w:pStyle w:val="Heading2"/>
      </w:pPr>
      <w:r>
        <w:t xml:space="preserve">Operaciones vinculadas, estructura de control y defensas</w:t>
      </w:r>
    </w:p>
    <w:p>
      <w:pPr>
        <w:spacing w:after="100"/>
      </w:pPr>
      <w:r>
        <w:t xml:space="preserve">No hay accionista de control: los dos mayores son gestoras indexadas (Vanguard 9,5 % y BlackRock 8,6 % a cierre de 2025) y el consejo y la dirección suman el 0,6 % [63]. Una sola clase de acciones con un voto cada una, sin límites de voto [63]. Consejo no escalonado: los diez consejeros se eligen cada año por mayoría de votos, con política de dimisión si no la alcanzan [63]. Los accionistas con el 20 % pueden convocar una junta extraordinaria; no pueden actuar por escrito fuera de junta [74]. Hay acceso a la convocatoria para grupos de hasta 20 accionistas con el 3 % durante tres años, que pueden proponer hasta el 25 % del consejo, y los estatutos se modifican por mayoría simple [63]. El 23 de julio de 2026 el consejo reformó los estatutos sin pasar por la junta: endurece los requisitos para proponer consejeros, exige estar presente en la junta y cambia la mayoría de las demás votaciones a votos emitidos sin contar abstenciones [73]. El proxy no recoge operaciones vinculadas [63].</w:t>
      </w:r>
    </w:p>
    <w:p>
      <w:pPr>
        <w:pStyle w:val="Heading2"/>
      </w:pPr>
      <w:r>
        <w:t xml:space="preserve">Señales de alerta</w:t>
      </w:r>
    </w:p>
    <w:p>
      <w:pPr>
        <w:pStyle w:val="ListParagraph"/>
        <w:numPr>
          <w:ilvl w:val="0"/>
          <w:numId w:val="2"/>
        </w:numPr>
        <w:spacing w:after="60"/>
      </w:pPr>
      <w:r>
        <w:t xml:space="preserve">Acuerdo de 450 M USD (cargo antes de impuestos en el 3T26; 347 M USD netos, 0,99 USD por acción) para cerrar la demanda colectiva antimonopolio de hospitales «In re: da Vinci Surgical Robot Antitrust Litigation», sobre la reparación de instrumentos EndoWrist, con medidas cautelares pactadas y sin reconocer culpa; pendiente de la aprobación del tribunal [7, 28].</w:t>
      </w:r>
    </w:p>
    <w:p>
      <w:pPr>
        <w:pStyle w:val="ListParagraph"/>
        <w:numPr>
          <w:ilvl w:val="0"/>
          <w:numId w:val="2"/>
        </w:numPr>
        <w:spacing w:after="60"/>
      </w:pPr>
      <w:r>
        <w:t xml:space="preserve">Ventas continuadas de la dirección: 175.918 acciones por 93,4 M USD en 12 meses, todas con planes 10b5-1 y ninguna compra; el presidente ejecutivo Guthart vendió 91.706 acciones (48,8 M USD) y el CEO Rosa 24.500 (13,4 M USD) [76].</w:t>
      </w:r>
    </w:p>
    <w:p>
      <w:pPr>
        <w:pStyle w:val="ListParagraph"/>
        <w:numPr>
          <w:ilvl w:val="0"/>
          <w:numId w:val="2"/>
        </w:numPr>
        <w:spacing w:after="60"/>
      </w:pPr>
      <w:r>
        <w:t xml:space="preserve">El presidente del consejo es el anterior CEO, que sigue como empleado (presidente ejecutivo); la independencia del consejo descansa en el consejero coordinador Barratt, que además, según el proxy, pasaba a presidir Intel en mayo de 2026 [33, 63].</w:t>
      </w:r>
    </w:p>
    <w:p>
      <w:pPr>
        <w:pStyle w:val="ListParagraph"/>
        <w:numPr>
          <w:ilvl w:val="0"/>
          <w:numId w:val="2"/>
        </w:numPr>
        <w:spacing w:after="60"/>
      </w:pPr>
      <w:r>
        <w:t xml:space="preserve">La propuesta de accionistas para someter a la junta las indemnizaciones excesivas obtuvo el 44,1 % de los votos emitidos en 2025 [66].</w:t>
      </w:r>
    </w:p>
    <w:p>
      <w:pPr>
        <w:pStyle w:val="ListParagraph"/>
        <w:numPr>
          <w:ilvl w:val="0"/>
          <w:numId w:val="2"/>
        </w:numPr>
        <w:spacing w:after="60"/>
      </w:pPr>
      <w:r>
        <w:t xml:space="preserve">La ampliación del plan de acciones tuvo un 10,5 % de votos en contra en 2025 y un 7,8 % en 2026 [65, 66].</w:t>
      </w:r>
    </w:p>
    <w:p>
      <w:pPr>
        <w:pStyle w:val="ListParagraph"/>
        <w:numPr>
          <w:ilvl w:val="0"/>
          <w:numId w:val="2"/>
        </w:numPr>
        <w:spacing w:after="60"/>
      </w:pPr>
      <w:r>
        <w:t xml:space="preserve">El consejo modificó los estatutos el 23-7-2026 sin la junta para endurecer las propuestas de accionistas [73].</w:t>
      </w:r>
    </w:p>
    <w:p>
      <w:pPr>
        <w:pStyle w:val="ListParagraph"/>
        <w:numPr>
          <w:ilvl w:val="0"/>
          <w:numId w:val="2"/>
        </w:numPr>
        <w:spacing w:after="60"/>
      </w:pPr>
      <w:r>
        <w:t xml:space="preserve">Rotación en la dirección comercial y digital en 2025-2026 (Miller deja de reportar al CEO; Charlton cede la dirección comercial a Patton) [70, 71].</w:t>
      </w:r>
    </w:p>
    <w:p>
      <w:pPr>
        <w:pStyle w:val="ListParagraph"/>
        <w:numPr>
          <w:ilvl w:val="0"/>
          <w:numId w:val="2"/>
        </w:numPr>
        <w:spacing w:after="60"/>
      </w:pPr>
      <w:r>
        <w:t xml:space="preserve">El año de entrada de Guthart en el consejo difiere entre proxies: 2009 en el de 2026 y 2010 en el de 2025 [63, 64].</w:t>
      </w:r>
    </w:p>
    <w:p>
      <w:pPr>
        <w:pStyle w:val="ListParagraph"/>
        <w:numPr>
          <w:ilvl w:val="0"/>
          <w:numId w:val="2"/>
        </w:numPr>
        <w:spacing w:after="60"/>
      </w:pPr>
      <w:r>
        <w:t xml:space="preserve">Siguen abiertos dos pleitos antimonopolio por la reparación de EndoWrist, ambos ganados en primera instancia y recurridos: SIS ante el Noveno Circuito (vista oral el 25-6-2026) y Restore Robotics ante el Undécimo; además, demandas individuales por responsabilidad de producto con una pérdida posible superior a la provisión que la empresa no puede estimar [7].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del 20-oct-2026 (3T26): crecimiento mundial de procedimientos da Vinci de ≈ 14 %-15 %, «closer to the midpoint», que estrecha la horquilla de 13,5 %-15,5 % de abril y julio sin mover el punto medio; margen bruto no GAAP del 68,7 %-69,3 % de las ventas (antes 68,0 %-69,0 %), con un impacto de aranceles del 0,9 % de las ventas sin contar las devoluciones; crecimiento del gasto operativo no GAAP del 11 %-13 %, sin cambios [21, 28]. La empresa no da guía de ingresos ni de tipo impositivo ni concilia la guía no GAAP con GAAP [28]. En el 3T26: ingresos de 3.049 M (+22 %), procedimientos da Vinci +14 % e Ion +31 %, 546 sistemas colocados (315 da Vinci 5) y un cargo de 450 M antes de impuestos por el acuerdo en la demanda colectiva antimonopolio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leído el 21-oct-2026 antes de que el consenso recoja el 3T26; 34 analistas; EBITDA y EBIT ajustados (sin remuneración en acciones); BPA en base GAAP [97]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21-oct-2026, sin recoger el 3T26; EBITDA y EBIT ajustados; BPA GAAP [97]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Market Intelligence), 21-oct-2026, sin recoger el 3T26; EBITDA y EBIT ajustados; BPA GAAP [97]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324,00 – 685,00</w:t>
            </w:r>
          </w:p>
        </w:tc>
      </w:tr>
    </w:tbl>
    <w:p>
      <w:pPr>
        <w:spacing w:after="160" w:before="0"/>
      </w:pPr>
    </w:p>
    <w:p>
      <w:pPr>
        <w:pStyle w:val="Heading2"/>
      </w:pPr>
      <w:r>
        <w:t xml:space="preserve">Revisiones de estimaciones</w:t>
      </w:r>
    </w:p>
    <w:p>
      <w:pPr>
        <w:spacing w:after="100"/>
      </w:pPr>
      <w:r>
        <w:t xml:space="preserve">El consenso del 21-oct todavía no recoge el 3T26: MarketScreener ya carga los ingresos reales del trimestre (3.049 M) pero mantiene los anuales de antes (11.755 M en 2026e) [97]. Antes de los resultados, el BPA GAAP 2026e había subido de 8,16 USD (6-oct-2025) y 9,05 (6-jul-2026) a 9,41 hoy: +4,0 % en algo más de 3 meses y +15,3 % en 12 meses; 2027e de 9,79 y 10,32 a 10,76 (+4,3 % y +9,9 %); 2028e de 10,79 y 11,95 a 12,23 (+2,3 % y +13,3 %) [97, 99]. El EBIT ajustado 2026e pasó de 4.021 M y 4.519 M a 4.675 M (+3,5 % y +16,3 %) [97, 99]. Con el 3T26, el BPA GAAP 2026e bajará ≈ 0,99 USD por el acuerdo antimonopolio (no recurrente) y el ajustado subirá: el trimestre batió en ingresos (3,05 mil M frente a 2,91 de FactSet) y BPA no GAAP (3,00 frente a 2,65) [28, 164].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Intuitive pierde un 22,7 % en el año frente al +13,7 % del S&amp;P 500 y el −12,3 % de los fabricantes de dispositivos (IHI) [93]: el castigo es sectorial y propio. La acción marcó su máximo de 603,88 USD el 7-ene-2026 y cayó a 328,57 el 23-jul tras dos golpes: el 14-jul (−6,8 %) por la caída de las cirugías de HCA y recortes de objetivo [166] y el 17-jul (−14,1 %) por una guía de procedimientos que no mejoró pese a batir en cifras [104]. Desde el mínimo ha recuperado un 31,9 % hasta el cierre del 20-oct, en un sector que también rebota (IHI +6,6 % del 6 al 20-oct) [93]. Los resultados del 3T26 batieron en ingresos y BPA no GAAP, pero la acción cedía un 7 % fuera de horas al estrechar la guía de procedimientos [163, 164]. Beta de 5 años 1,46 y volatilidad del 34,6 % [93].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 +28,6 % / -2,9 % / -1,8 %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 / +31,9 %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 (22-oct)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mejores de lo esperado y subida de la guía de procedimientos: de 462,74 a 527,03 USD en un día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 (11-may)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52 semanas tras el 1T26: dudas sobre la valoración, riesgo de más aranceles, retirada de clase I (la más grave) de unos cartuchos de grapadora SureForm y competencia de los robots de Medtronic y J&amp;J [165].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 (14-jul)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HCA publicó caídas de cirugías hospitalarias (−2,3 %) y ambulatorias (−3,4 %) y varias casas recortaron el objetivo (Baird 610→525; TD Cowen citó competencia, instrumentos reprocesados y valoración); Stryker y Medtronic cayeron un 6,3 % y un 4,9 % [166].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 (17-jul; mayor caída de un mes, −17,6 % hasta el 23-jul)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por encima de lo esperado (BPA no GAAP 2,80 frente a 2,51) pero guía de procedimientos de 13,5 %-15,5 % sin cambios, por debajo de lo que esperaba el mercado, con el crecimiento en EE. UU. frenado por cambios de cobertura sanitaria [21, 104]; de 402,33 a 345,42 USD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 (20-ago)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397,72 a 374,48 USD con el doble de volumen habitual [93]; no se encontró la causa en la prensa ni en EDGAR (sin 8-K ese día) tras tres búsquedas.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 (mayor subida de un mes, +18,4 % hasta el 7-oct)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 julio con subidas de recomendación (UBS a comprar con objetivo 500 el 28-jul; Oppenheimer a outperform con 500 el 12-ago) y objetivos al alza en octubre (Evercore, Leerink, Mizuho, Baird) [95, 98]; el sector también sube (IHI)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 ingresos 3.049 M (+22 %), BPA no GAAP 3,00 USD (2,65 esperado) y GAAP 1,49; procedimientos da Vinci +14 %; guía de procedimientos estrechada a 14 %-15 % (antes 13,5 %-15,5 %) y margen bruto subido a 68,7 %-69,3 % [28, 164]. Reacción: 407,55 USD al final de la sesión fuera de horas del 20-oct (−7,0 % sobre 438,00), con un mínimo de 382,91 (−12,6 %) a los cinco minutos, y 405,58 en la preapertura del 21-oct a las 04:08 EDT (−7,4 %) [163]. La prensa lo atribuye a la guía de crecimiento estrechada [164]. No cambia el precio del informe; la decisión se mide con el precio del momento.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en la demanda colectiva antimonopolio: pago único de 450 M USD (0,3 % de la capitalización) y medidas acordadas, sin admitir responsabilidad; pendiente de aprobación del tribunal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antes del 3T26: TD Cowen mantiene comprar (485), UBS comprar (500), Mizuho neutral 400→415, BTIG 469→454, Leerink 454→473, Baird 500→513, Evercore 375→400 [95, 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7,8 M de acciones por 2.940 M USD en el 3T26, la mayor de los últimos trimestres (0,38 mil M en el 2T26) [21, 28]. Las ventas de directivos (Form 4 del 13-oct, 16-sep y anteriores) las analiza la sección de gobierno.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HSBC baja a mantener (391), Deutsche Bank recorta a 324 (vender), JPMorgan 550→450, Wells Fargo 654→487, Bernstein 750→685, Piper Sandler 580→470; UBS sube a comprar (500, 28-jul) y Oppenheimer a outperform (500, 12-ago) [98].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clasifica como de clase I (la más grave) la retirada de unos cartuchos de grapadora SureForm de 8 mm, ligada a cuatro lesiones graves y una muerte; seguía abierta en mayo [165].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9,1 % en un mes y un 28,6 % en tres meses, pero sigue un 26,1 % bajo el máximo de 52 semanas y justo bajo la media de 200 sesiones (−0,1 %: tendencia bajista por poco) [93]. Las caídas fuertes del año tienen causa conocida (guía de procedimientos, cirugías en EE. UU., retirada de producto), salvo la del 20-ago. Los resultados del 3T26 ya están publicados: la reacción (−7 % fuera de horas y en preapertura) [163] se mide con el precio del momento y no retrasa la decisión. No hay hecho externo pendiente que pueda mover el precio más de un 5 %: el acuerdo antimonopolio es el 0,3 % de la capitalización y los próximos resultados llegan hacia el 21-ene-2027 (fecha estimada).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Por su propia historia, Intuitive nunca ha estado tan barata: 32,4x el EBITDA de 12 meses (sin el acuerdo antimonopolio) frente a una media de 49x en 2016-2025 (percentil 10, un 34 % de descuento) y 53,0x el beneficio frente a 69,6x. El argumento de compra del mercado descansa ahí. Pero esa historia se formó con el Tesoro a 10 años entre el 0,52 % (agosto de 2020) y el 4,98 % (octubre de 2023), y hoy está en el 5,12 % [106, 177]: con tipos reales un 2-3 % más altos, el múltiplo justo es menor aunque el negocio sea igual de bueno. Además, el crecimiento de procedimientos ha pasado del 18-22 % de 2022-2025 a una guía del 14-15 % en 2026, y desde 2027 baja el precio de los instrumentos [28, 29]. Los dos cambios son estructurales; la media histórica no es un ancla válida.</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y alto margen, con los que compite por el capital de los mismos fondos: Stryker y Zimmer (robótica ortopédica), Medtronic (Hugo), Boston Scientific, Edwards y Abbott (crecedores de calidad), Dexcom, Insulet, IDEXX y ResMed (modelos de consumible recurrente). Quedan fuera J&amp;J (farma pesa más), CMR (no cotiza) y MicroPort MedBot y Edge (pérdidas operativas: múltiplos de EBITDA sin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14,6x / 18,0x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16,2x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18,9x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 / 4,7x / 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(10 comparables): múltiplo = 12,2 + 0,31 × crecimiento; R² = 0,13. El crecimiento explica poco los múltiplos de estos comparables (R² &lt; 0,3): la regresión no se usa en la valoración.</w:t>
      </w:r>
    </w:p>
    <w:p>
      <w:pPr>
        <w:spacing w:after="100"/>
      </w:pPr>
      <w:r>
        <w:t xml:space="preserve">Intuitive cotiza a 30,6x el EBITDA de los próximos 12 meses frente a una mediana de 14,6x, y a 41,7x el beneficio frente a 18,9x: más del doble. La prima tiene base: el mejor margen EBITDA del grupo (39,0 % GAAP sin el litigio), ROIC del 30,2 %, caja neta y un crecimiento previsto por encima de la mediana (11,6 %). Pero ningún comparable con crecimiento parecido cotiza así, y la regresión múltiplo-crecimiento no sirve aquí (R² de 0,13): el mercado no paga crecimiento en este grupo sino calidad y duración. Por eso los comparables (197,88 USD por PER y 217,32 por EV/EBITDA; 207,60 de media) solo pesan un 15 %: dicen cuánto vale Intuitive si se valora como un líder maduro, que es el destino del caso base hacia 2035, no hoy. Los comparables se llevaron al cierre del 20-oct; los EBITDA de MarketScreener no siempre restan la remuneración en acciones [D].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[154]. Prima frente al cierre del 14-ene-2026 (313,43 USD) [162]. Cierre previsto en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[155]. Cierre previsto en el 2T26.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[156].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[152].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[149]. EV y ventas de 12 meses a sep-2024 calculados con las cuentas de Inari: caja e inversiones 111,5 M, sin deuda; ventas 574,5 M [160]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[153]. EV y ventas de 12 meses a mar-2024 con las cuentas de Silk Road: caja e inversiones 174,4 M, deuda 75,9 M, ventas 185,5 M [161]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[150]; ventas 2023 de 730,2 M [158].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[157].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[151]; ventas del ejercicio a mar-2022 de 1.031,8 M [159].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247,16 – 409,19</w:t>
            </w:r>
          </w:p>
        </w:tc>
      </w:tr>
    </w:tbl>
    <w:p>
      <w:pPr>
        <w:spacing w:after="160" w:before="0"/>
      </w:pPr>
    </w:p>
    <w:p>
      <w:pPr>
        <w:spacing w:after="100"/>
      </w:pPr>
      <w:r>
        <w:t xml:space="preserve">Las nueve operaciones de tecnología médica de 2022-2026 se pagaron a una mediana de ≈ 8,8x las ventas (de 4,7x Paragon 28 a 17,9x Shockwave), con primas del 19-38 % donde se pueden medir [149, 150, 151, 152, 153, 154, 155, 156, 157]. Intuitive cotiza a 12,7x las ventas de 12 meses, por encima de esa mediana y sin prima de control. Las transacciones no sirven para valorarla (peso 0): con ≈ 153.000 M USD de capitalización y un 99,5 % de capital flotante, sería casi diez veces mayor que la mayor de la lista, y ningún comprador estratégico (J&amp;J, Medtronic) podría pagarla sin una ampliación enorme [94, 101]. La única operación de robótica quirúrgica de los últimos años (Zimmer-Monogram) no tenía ventas [156].</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18,9 % (≈ 11.970 M USD): 8.711,8 M publicados en nueve meses (+21 %, con los distribuidores de Italia, España y Portugal dentro desde marzo) y un 4T26 de ≈ 3.250 M (+13 %), algo por encima de lo que implicaba el consenso antes del 3T (11.755 M en el año) [A28, D]. Para 2027-2028 se usa el 11,0 % (antes 13,0 % y 12,5 %; consenso previo 12,8 % y 12,7 %): procedimientos al 11-12 % y un precio de instrumentos que resta 1-1,5 puntos, porque las rebajas anunciadas el 20-oct (instrumentos de más usos y descuentos por volumen desde el 1S27, China desde noviembre) quitan un 3-5 % del ingreso de I&amp;A por procedimiento, y el I&amp;A es el 59 % de las ventas [29]. Después, 10,5 % en 2029 y un punto menos cada año hasta el 5 % en 2035 (media del 9,6 % en 2026-2035). Es lo que la empresa puede financiar con un capex del 12 % (prueba de sostenibilidad). Es menos que el 15,7 % de TCAC de 2016-2025, porque EE. UU. (68 % de las ventas) crece ya al 10 % en procedimientos, el menor ritmo desde la COVID [29].</w:t>
      </w:r>
    </w:p>
    <w:p>
      <w:pPr>
        <w:keepNext/>
        <w:spacing w:after="100"/>
      </w:pPr>
      <w:r>
        <w:rPr>
          <w:b/>
          <w:bCs/>
        </w:rPr>
        <w:t xml:space="preserve">Márgenes.</w:t>
      </w:r>
    </w:p>
    <w:p>
      <w:pPr>
        <w:spacing w:after="100"/>
      </w:pPr>
      <w:r>
        <w:t xml:space="preserve">Margen EBITDA GAAP (con la remuneración en acciones como gasto) del 39,0 % en 2026e sin el acuerdo antimonopolio, frente al 39,0 % de los últimos 12 meses en las mismas condiciones; incluye devoluciones de aranceles (63,7 M en nueve meses) [28]. Baja al 38,0 % en 2027e por las rebajas de precio de instrumentos, que caen casi enteras al margen, y vuelve al 39 % en 2029 con el apalancamiento operativo: es el mejor nivel de la serie. La dirección recordó su horquilla de margen operativo del 35-40 % a largo plazo, por debajo del 42 % no GAAP de hoy, y no se comprometió con los gastos de 2027 [29]. No se proyecta más expansión por aranceles (0,9 % de las ventas), precio y la mezcla de arrendamientos por uso.</w:t>
      </w:r>
    </w:p>
    <w:p>
      <w:pPr>
        <w:keepNext/>
        <w:spacing w:after="100"/>
      </w:pPr>
      <w:r>
        <w:rPr>
          <w:b/>
          <w:bCs/>
        </w:rPr>
        <w:t xml:space="preserve">Inversión y circulante.</w:t>
      </w:r>
    </w:p>
    <w:p>
      <w:pPr>
        <w:spacing w:after="100"/>
      </w:pPr>
      <w:r>
        <w:t xml:space="preserve">La inversión total suma el capex de caja y los sistemas cedidos en arrendamiento operativo, que se fabrican en existencias y pasan al inmovilizado sin salir por la línea de capex: 808,9 M USD en 2025 (8,0 % de las ventas) frente a 539,8 M de capex [1]. Juntas fueron el 12,3 % de las ventas en 2025 (netas de 106 M de devoluciones) y el 21 % en 2023-2024, con las obras. Se proyecta el 12 % en 2026-2033 y el 11,5 % en 2034-2035, por encima de la amortización (del 6,5 % al 7,5 %, que ya incluye la de los sistemas arrendados) [1]. La versión anterior bajaba al 8 %: el capital por unidad de ventas caía de 0,84 a 0,66 y el crecimiento salía casi gratis. Con más de la mitad de las colocaciones en arrendamiento (51 % en 2025, 54 % en el 2T26), la inversión crece con los sistemas colocados [1, 26]. Circulante comercial del 31 % de las ventas (30,9 % en 2025), bajando al 29 %. Tipo fiscal del 19 %, entre el GAAP de 2025 (13,1 %) y el no GAAP guiado (22-23 %) [1, 26].</w:t>
      </w:r>
    </w:p>
    <w:p>
      <w:pPr>
        <w:keepNext/>
        <w:spacing w:after="100"/>
      </w:pPr>
      <w:r>
        <w:rPr>
          <w:b/>
          <w:bCs/>
        </w:rPr>
        <w:t xml:space="preserve">Coste del capital.</w:t>
      </w:r>
    </w:p>
    <w:p>
      <w:pPr>
        <w:spacing w:after="100"/>
      </w:pPr>
      <w:r>
        <w:t xml:space="preserve">Todo en USD. Tasa libre: Tesoro a 10 años al 5,12 % el 20-oct-2026 (curva par del Tesoro) [106]. Prima de mercado: la implícita de Damodaran a 1-oct-2026, 4,20 % [107]. Beta de 1,15: entre la propia de cinco años (1,46) y la del sector de productos sanitarios de Damodaran (0,91 apalancada) [108]. La beta propia está inflada por dos caídas idiosincrásicas (−49,9 % en 2021-2022 y −45 % de enero a julio de 2026); la sectorial infravalora la duración de un valor que cotiza a más de 40x beneficios. Sin deuda financiera, el WACC es el coste de los fondos propios: 9,95 %. Sin prima adicional: no hay riesgo país ni de tamaño.</w:t>
      </w:r>
    </w:p>
    <w:p>
      <w:pPr>
        <w:keepNext/>
        <w:spacing w:after="100"/>
      </w:pPr>
      <w:r>
        <w:rPr>
          <w:b/>
          <w:bCs/>
        </w:rPr>
        <w:t xml:space="preserve">Valor terminal.</w:t>
      </w:r>
    </w:p>
    <w:p>
      <w:pPr>
        <w:spacing w:after="100"/>
      </w:pPr>
      <w:r>
        <w:t xml:space="preserve">Valor terminal como media de dos métodos. Gordon con un crecimiento del 3,0 % (1-1,5 % real más ≈ 2 % de inflación en USD, por debajo del 5 % del último año proyectado) da un valor que equivale a solo 7,7x el EBITDA de 2035, menos que el múltiplo actual de cualquier comparable maduro. Por eso se promedia con un múltiplo de salida de 13x, la zona de Stryker y Abbott hoy: en 2035 Intuitive crecería al 5 %, como ellos. El valor terminal pesa el 67 % del valor empresa, por debajo del límite del 80 %.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 M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(ROIC 30,2 %)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frente al 9,6 %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 (histórico: 24,6 %)</w:t>
            </w:r>
          </w:p>
        </w:tc>
      </w:tr>
    </w:tbl>
    <w:p>
      <w:pPr>
        <w:spacing w:after="160" w:before="0"/>
      </w:pPr>
    </w:p>
    <w:p>
      <w:pPr>
        <w:spacing w:after="100"/>
      </w:pPr>
      <w:r>
        <w:t xml:space="preserve">La proyección reinvierte el 27 % del NOPAT. Con el ROIC del último ejercicio (30,2 %), eso financia un crecimiento del 8,0 % anual, frente al 9,6 % de ingresos proyectado. Supone que el capital nuevo rinde un 30,4 %, frente a un ROIC incremental histórico del 24,6 %.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da Vinci e Ion, con la guía estrechada al 14-15 % (+16 %, +15 % y +14 % en los tres trimestres) y colocaciones récord (546 en el 3T26, +28 %) [28, 29]. Precio y mezcla: el ingreso de I&amp;A por procedimiento sube por el da Vinci 5 y el SP. Otros: los distribuidores de Italia, España y Portugal, consolidados desde marzo, y la divisa.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hacia el 11-12 %, con EE. UU. ya al +10 % en el 3T26 [29]. Precio: las rebajas de instrumentos (−3-5 % del I&amp;A por procedimiento, desde el 1S27 y en China desde noviembre de 2026) restan ≈ 1,5 puntos, compensados en parte por la mezcla del da Vinci 5 [29].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rebajas ya enteras en el año; volumen con la cirugía cardiaca del da Vinci 5 y fuera de EE. UU. (+20 % en el 3T26) [29]. El consenso previo daba +12,7 %.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volumen por la competencia de Ottava, Hugo y CMR con Stryker en los concursos de EE. UU.; precio por mezcla [55]. Estimación propia.</w:t>
            </w:r>
          </w:p>
        </w:tc>
      </w:tr>
    </w:tbl>
    <w:p>
      <w:pPr>
        <w:spacing w:after="160" w:before="0"/>
      </w:pPr>
    </w:p>
    <w:p>
      <w:pPr>
        <w:spacing w:after="100"/>
      </w:pPr>
      <w:r>
        <w:t xml:space="preserve">En parte; el caso base ya está dentro de lo financiable. Foso amplio (≈ 83 % de las unidades, cirujanos formados en da Vinci) y poder de precios que ahora se reduce: la propia empresa baja el precio de los instrumentos desde 2027 [29]. Crecer exige capital: la mitad de las colocaciones va en arrendamiento. Con el capex en el 12 %, el crecimiento medio (9,6 %) es el financiable al ROIC actual (8,0 %) más ≈ 1,6 puntos de precio y mezcla que no piden capital, menos que antes por las rebajas. Cuota: ≈ 14.700 M USD en 2028e sobre un mercado de 18.422 M, el 80 %, y luego menos crecimiento que el mercado [B].</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69 % justifica el precio (base: 39,0 %)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(WACC: 9,9 %)</w:t>
            </w:r>
          </w:p>
        </w:tc>
      </w:tr>
    </w:tbl>
    <w:p>
      <w:pPr>
        <w:spacing w:after="160" w:before="0"/>
      </w:pPr>
    </w:p>
    <w:p>
      <w:pPr>
        <w:spacing w:after="100"/>
      </w:pPr>
      <w:r>
        <w:t xml:space="preserve">El DCF da 198,89 USD por acción, un 54,6 % por debajo de los 438,00 USD del cierre del 20-oct, con un rango de 187,08-213,51 USD al mover WACC y crecimiento terminal medio punto. El valor terminal pesa el 67 %. Qué hace falta creer para pagar el precio: el DCF inverso responde de tres formas. Con nuestro WACC, los ingresos tendrían que crecer un 22,1 % anual de media en 2027-2035, casi tres veces nuestro 8,6 % y por encima del 15,7 % histórico, con una base diez veces mayor. Con nuestro crecimiento, ningún margen EBITDA lo justifica, ni el 69 %, frente al 39 %. Y con nuestras cifras, el precio implica una rentabilidad anual del 5,1 %, lo mismo que el Tesoro a 10 años (5,12 %). Ninguna es razonable: el mercado paga la calidad de Intuitive como si los tipos siguieran en el 2 %. El 3T26 empeora la lectura: la propia empresa anuncia que bajará el precio de los instrumentos, y el valor baja de 200,29 a 198,89 USD pese a un 2026 mejor.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Ottava (J&amp;J), Hugo (Medtronic) y CMR con Stryker entran en los hospitales de EE. UU. con descuentos en sistemas e instrumentos, China pasa a compra centralizada con marcas locales y los GLP-1 y la reforma de Medicaid restan volumen: el crecimiento de procedimientos baja a un dígito alto, como ya le ocurrió a la laparoscopia al madurar, y el margen cae 3 puntos por precio. Es el camino que ya recorrió el 2T26 en China [7, 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al 14-15 % en 2026 y al 11-12 % en 2027-2028, con las rebajas de precio de instrumentos restando 1-1,5 puntos de ingresos, y desaceleración gradual (10,5 % en 2029, un punto menos cada año) hasta el 5 % en 2035, con el da Vinci 5 y la expansión fuera de EE. UU. compensando la madurez de urología y ginecología en EE. UU.; margen EBITDA GAAP estable en torno al 39 % y una inversión del 12 % de las ventas, con los sistemas en arrendamiento dentro.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general y torácica fuera de EE. UU. (Japón con reembolso desde junio de 2026, Europa tras comprar sus distribuidores) y el canal ambulatorio sostienen crecimientos de procedimientos del 15 % durante cinco años más; el da Vinci 5 sube el ingreso por procedimiento y el apalancamiento operativo añade 2 puntos de margen [23, 25,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3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201,27 USD (-54,0 %).</w:t>
      </w:r>
    </w:p>
    <w:p>
      <w:pPr>
        <w:spacing w:after="100"/>
      </w:pPr>
      <w:r>
        <w:t xml:space="preserve">La asimetría es desfavorable en los tres escenarios: el alcista (263,39 USD) queda un 39,9 % por debajo del precio, el base un 54,6 % y el bajista (143,91 USD) un 67,1 %. Incluso con dos puntos y medio más de crecimiento cada año, dos puntos más de margen y medio punto menos de WACC, el DCF no llega a la cotización. El valor ponderado (201,27 USD) apenas se mueve frente al base, porque el bajista y el alcista son casi simétricos en valor. Lo que haría falta para justificar 438 USD no es un escenario operativo sino de tipos: con nuestras cifras, el precio implica una rentabilidad anual del 5,1 %. El bajista es verosímil: es lo que ya ocurre en China, donde los precios bajan por norma desde noviembre [29].</w:t>
      </w:r>
    </w:p>
    <w:p>
      <w:pPr>
        <w:pStyle w:val="Heading1"/>
      </w:pPr>
      <w:r>
        <w:t xml:space="preserve">22. Suma de partes</w:t>
      </w:r>
    </w:p>
    <w:p>
      <w:pPr>
        <w:pStyle w:val="Confianza"/>
        <w:spacing w:after="100"/>
      </w:pPr>
      <w:r>
        <w:t xml:space="preserve">Confianza: Alta</w:t>
      </w:r>
    </w:p>
    <w:p>
      <w:pPr>
        <w:spacing w:after="100"/>
      </w:pPr>
      <w:r>
        <w:t xml:space="preserve">No aplica: Intuitive reporta un solo segmento y sus líneas de ingresos (instrumentos, sistemas, servicio) son partes del mismo modelo de cuchilla y cartuchos, con los mismos clientes y comparables; Ion (biopsia pulmonar) pesa menos del 5 % de los procedimientos y no se publica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3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200,79 USD (-54,2 % sobre 438,00).</w:t>
      </w:r>
    </w:p>
    <w:p>
      <w:pPr>
        <w:spacing w:after="100"/>
      </w:pPr>
      <w:r>
        <w:t xml:space="preserve">El DCF pesa un 60 % porque es el único método que recoge lo que distingue a Intuitive: crecimiento de dos dígitos durante años, ROIC del 30 % y caja neta. Los escenarios ponderados pesan un 25 % para incorporar la dispersión de resultados. Los comparables, un 15 %: los pares crecen menos o tienen peor ROIC, y la regresión no explica los múltiplos. Las transacciones, cero: nadie puede comprar una empresa de ≈ 153.000 M USD. Todos los métodos coinciden: DCF 198,89 USD, comparables 207,60 USD y escenarios 201,27 USD, con un valor objetivo de 200,79 USD (−54,2 %). Solo dos referencias están por encima del precio: el objetivo medio de los analistas (478,53 USD, aún sin el 3T26) y el rango de 52 semanas (328,57-603,88 USD). Puente a 30-sep: sin deuda, 6.800,4 M de caja e inversiones (1.825 M menos que en junio por la recompra récord de 2.940 M), 130,9 M de minoritarios de la empresa conjunta con Fosun, 170,9 M de arrendamientos y 347 M del acuerdo antimonopolio neto de impuestos, devengado y pendiente de pago [A28, 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(42.9x) × 1.1 (tope: la mediana de 5 años, 59.9x,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+80,5 %</w:t>
            </w:r>
          </w:p>
        </w:tc>
      </w:tr>
    </w:tbl>
    <w:p>
      <w:pPr>
        <w:spacing w:after="160" w:before="0"/>
      </w:pPr>
    </w:p>
    <w:p>
      <w:pPr>
        <w:spacing w:after="100"/>
      </w:pPr>
      <w:r>
        <w:rPr>
          <w:b/>
          <w:bCs/>
        </w:rPr>
        <w:t xml:space="preserve">Objetivo a 12 meses (ponderado):</w:t>
      </w:r>
      <w:r>
        <w:t xml:space="preserve"> 558,09 USD · rentabilidad +27,4 % (base +22,2 %) · señal Mantener.</w:t>
      </w:r>
    </w:p>
    <w:p>
      <w:pPr>
        <w:spacing w:after="100"/>
      </w:pPr>
      <w:r>
        <w:t xml:space="preserve">Para comparar, con la regla v2 (historia al cierre, mismo precio): 36,5x / 42,9x / 55,8x, 16,0 % Mantener; con el tope anterior del base (×1,3, 14-oct mediodía): 33,5 %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(11,34) queda un 7,3 % por debajo del consenso GAAP (12,23): el consenso aún no recoge las rebajas de precio de instrumentos anunciadas el 20-oct, supone recompras y un tipo fiscal más bajo (13-15 % frente a nuestro 19 % normalizado). En ventas, nuestro 2028e (14.738 M) queda un 1,3 % por debajo de los 14.930 M del consenso.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tras 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el BPA no GAAP de 2026 y bajan 2027-2028 por las rebajas de precio de instrumentos; el GAAP de 2026 pierde ≈ 1 USD por el acuerdo antimonopolio [D].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 (≈ 21-ene)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procedimientos y gastos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efecto de las rebajas de precio; si la guía de procedimientos arranca por debajo del 12 % confirma la madurez del caso base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las rebajas de precio de instrumentos (más usos y descuentos por volumen)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del ingreso de I&amp;A por procedimiento a mezcla constante hasta fin de 2027; prueba de si el precio compra volumen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Ottava (J&amp;J) y CMR con Stryker en los concursos de EE. UU.; Hugo pendiente de ampliar indicaciones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instalaciones y precio en cirugía general [45, 55, 56].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judicial del acuerdo de 450 M con los hospitales y nuevo juicio de SIS tras la revocación del 13-ago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demanda colectiva con cambios pactados en reparación de instrumentos; SIS vuelve a primera instancia (Intuitive pidió revisión por el pleno) [28, 58,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 1.760 M de autorización pendiente tras 2.940 M en 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Retiran ≈ 1 % del capital al precio de hoy; compran por encima del valor intrínseco [A].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remuneración y sobre la reforma estatutaria de julio de 2026 aprobada sin junta [73].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la tesis vendedora: bajada de tipos o vuelta del mercado a pagar duración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(WACC del 8,9 % y g del 4 %: 232,56 USD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con un WACC del 8,9 % el DCF supera los 240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 de Ottava (J&amp;J) y Hugo (Medtronic): precio en concursos y en instrumentos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(escenario bajista: 143,91 frente a 198,89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formación, 12.094 sistemas instalados, contratos de arrendamiento; rebajas de precio propias para defender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del da Vinci por debajo de 1,5 M USD o ingreso por procedimiento por debajo de 1.800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Madurez de EE. UU. (68 % de las ventas): urología y ginecología saturadas, GLP-1 y reforma de Medicaid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menos de crecimiento anual (187,88 frente a 198,89 USD en la tabla de crecimiento y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Cirugía general, torácica y cardiaca con da Vinci 5; canal ambulatorio.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en EE. UU. por debajo del +10 % dos trimestres seguidos (+10 %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 centralizada, marcas locales y topes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Dentro del escenario bajista; no se puede aislar: la empresa no publica las ventas de China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Fosun y fabricación local en Shanghái.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formal de la robótica en la compra centralizada.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antimonopolio sobre la reparación de EndoWrist (SIS, Restore,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abre la remanufactura (estimación propia sobre el 60 % de las ventas en instrumentos)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450 M con los hospitales (pendiente del tribunal); Restore fue desestimada. El Noveno Circuito revocó en agosto la victoria ante SIS.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por el pleno del caso SIS y aprobación judicial del acuerdo con los hospitales.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cadena de suministro (México, Alemania,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(192,58 frente a 198,89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Mexicali exentos por el USMCA; inventario de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por debajo del 67 %.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retiradas y responsabilidad autoasegurada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una retirada de clase I del da Vinci 5 retrasaría renovaciones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retiradas desde 2023, 62 de clase 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de clase I o cartas de advertencia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 que absorbe las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−2 % anual de valor por acción si las recompras no la compensan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récord: 2.940 M en el 3T26 (7,8 M de acciones).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por encima de 355 M.</w:t>
            </w:r>
          </w:p>
        </w:tc>
      </w:tr>
    </w:tbl>
    <w:p>
      <w:pPr>
        <w:spacing w:after="160" w:before="0"/>
      </w:pPr>
    </w:p>
    <w:p>
      <w:pPr>
        <w:pStyle w:val="Heading2"/>
      </w:pPr>
      <w:r>
        <w:t xml:space="preserve">Pre-mortem</w:t>
      </w:r>
    </w:p>
    <w:p>
      <w:pPr>
        <w:spacing w:after="100"/>
      </w:pPr>
      <w:r>
        <w:t xml:space="preserve">Octubre de 2029. No comprar Intuitive a 438 USD fue un error: cotiza a 600 USD, un 37 % más. Qué pasó. Primero, los tipos: la Reserva Federal bajó tipos en 2027 por la desaceleración, el Tesoro a 10 años volvió al 3,75 % y los fondos de crecimiento de calidad recuperaron múltiplos de 40x beneficios. Segundo, la competencia resultó de nicho: Ottava se quedó en cirugía del abdomen superior en unos pocos centros académicos y Hugo no pasó de urología; los hospitales no cambiaron de plataforma porque sus cirujanos estaban formados en da Vinci y los contratos de arrendamiento por uso hacían el cambio caro. Tercero, el da Vinci 5 abrió la cirugía cardiaca y torácica, Japón y Europa crecieron al 20 % y los procedimientos se mantuvieron por encima del 13 % tres años más, en vez de bajar al 11 %. El beneficio por acción creció al 15 % y el múltiplo no cayó. Lo habrían anticipado tres indicadores: la guía de procedimientos de enero de 2027 por encima del 13 %, la utilización por sistema subiendo más del 3 % y un ASP del da Vinci estable pese a los rivales. Nuestro error habría sido tratar como permanente un WACC que dependía de un nivel de tipos.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Seguridad y calidad del producto: entre 2023 y oct-2026 la FDA registra 63 retiradas o correcciones de productos de Intuitive, 62 de clase II y 1 de clase I (cargas grises de la grapadora SureForm 30 de 8 mm, mar-2026, por posible línea de grapado incompleta) [53]; sin retiradas nuevas registradas entre el 6 y el 21-oct-2026 [53]; la empresa se autoasegura la responsabilidad por producto [1]. Acceso y precio: los topes de precio en China y los litigios antimonopolio sobre la reparación de instrumentos (acuerdo de 450 M USD en oct-2026 y caso SIS reabierto) afectan al modelo de recurrentes, que es el 84 % de los ingresos [1, 7]. Capital humano: 17.021 empleados, rotación del 9,3 %, y 5 de 11 consejeros son mujeres [1]. Cadena de suministro: hay proveedores únicos y dependencia de México y Alemania; los aranceles costaron 63,0 M USD en 2025 [1].</w:t>
      </w:r>
    </w:p>
    <w:p>
      <w:pPr>
        <w:pStyle w:val="Heading2"/>
      </w:pPr>
      <w:r>
        <w:t xml:space="preserve">Controversias</w:t>
      </w:r>
    </w:p>
    <w:p>
      <w:pPr>
        <w:spacing w:after="100"/>
      </w:pPr>
      <w:r>
        <w:t xml:space="preserve">Demanda colectiva de hospitales («In re da Vinci Surgical Robot Antitrust Litigation»): en oct-2026 Intuitive acordó, sin admitir responsabilidad, un pago único de 450 M USD y medidas pactadas sobre los remanufacturadores y servicios de terceros; lo apuntó como gasto en el 3T26 (347 M USD netos, 0,99 USD por acción) y falta la aprobación del tribunal, prevista en 2027 [28, 54]. SIS: el tribunal dio la razón a Intuitive (28-ene-2025), pero el 13-ago-2026 el Noveno Circuito revocó esa sentencia, porque las instrucciones al jurado eran erróneas, y devolvió el caso; consideró además que un jurado podía ver «ilusorio» el proceso de Intuitive para aprobar productos de terceros [58]. Según la prensa, Intuitive ha pedido que lo revise el pleno del tribunal [62]. Restore Robotics: demanda desestimada el 7-nov-2025 y recurrida [7]; la primera se cerró con acuerdo en ene-2023 [4]. Hay demandas por daños personales sin cuantía estimable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procedimientos en EE. UU. espera la dirección cuando urología y ginecología estén saturadas, y qué parte del +10 % del 3T26 es efecto de Medicaid y qué parte madurez?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21,4 % anual de crecimiento de ingresos; cada punto de crecimiento mueve el valor ≈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perdido algún concurso en EE. UU. frente a Ottava o Hugo desde su autorización, y con qué descuento se ha defendido?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vez en 25 años que dos grandes grupos tienen autorización de la FDA en tejidos blandos; el precio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real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será la inversión en sistemas cedidos en arrendamiento en 2026-2028, y qué rentabilidad tiene un sistema por uso frente a uno vendido?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traspasos (808,9 M en 2025) no aparecen como capex y son el 8 % de las ventas: cambian la caja libre que el mercado 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procedimiento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bajará el ingreso de instrumentos por procedimiento en 2027 con las rebajas anunciadas (−3-5 % a mezcla constante) y cuánto volumen espera comprar con ellas?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las ventas son instrumentos; la dirección no lo cuantificó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China y qué precio espera tras la compra centralizada?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desglose; 11 de los 13 robots aprobados allí son locales.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2.940 M en un trimestre a ≈ 377 USD, el doble del valor intrínseco que estima este informe, justo antes de anunciar rebajas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por debajo del coste del capital y las recompras apenas compensan la remuneración en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los activos por impuesto diferido de 1.019 a 652 M USD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explicación en el 10-Q y afecta al tipo fiscal normalizado (19 %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reformaron los estatutos el 23-jul-2026 sin someterlo a la junta, endureciendo las propuestas de los accionistas?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señal de gobierno que resta y coincide con la peor caída de la cotización en cuatro años.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($ISRG)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noche del 20-oct, «beat-and-dump»: los que se etiquetan alcistas compran la caída («una venta no cambia la historia a largo plazo»), y los bajistas señalan dos catalizadores propios, el acuerdo antimonopolio y los recortes de precio de instrumentos, más el miedo a los GLP-1 y la comparación con UnitedHealth [168].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colaboradores)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Doce artículos de julio a octubre, repartidos: unos ven la corrección como compra («la venta del 17 % es una compra», «el múltiplo cayó, la historia no») y otros siguen viendo el precio caro («un problema de valoración», «demasiado cara incluso para un gran negocio»); un autor bajista subió su recomendación en septiembre [167].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Patrón repetido en el 2T y el 3T: bate previsiones y cae, por el crecimiento de procedimientos en EE. UU. en julio y por el acuerdo de 450 M USD y el ajuste de la guía en octubre; en julio pesó también la autorización de la FDA al robot de J&amp;J [167].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de antes de los resultados, alcistas y de largo plazo: la caída del año es una oportunidad para el inversor paciente, con el ecosistema da Vinci 5 e Ion como tesis y la valoración como principal riesgo [172][173].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en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año, dos opiniones favorables con matices («esperar mejor entrada», «comprar en debilidad») y una negativa de octubre: demasiada competencia en el sector (J&amp;J) y múltiplo alto [174].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(MarketBeat, StockStory, Barron's y Reuters vía agregadores)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del 20-oct casi unánimes, «bate y cae»: el resumen de MarketBeat da como positivos el crecimiento, las colocaciones y la vida útil de instrumentos, y como negativos el cargo por el acuerdo y la guía de procedimientos [170][175].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Rebajas de precio de instrumentos y accesorios (EE. UU. desde 2027 y China desde noviembre)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calcula un 3-5 % menos de ingreso de instrumentos por procedimiento con mezcla constante, menos que el 7 % del programa de 2020, sin contar el efecto favorable de da Vinci 5 y SP, y espera un efecto pequeño en el margen bruto, compensado con reducción de costes, y más volumen por elasticidad. El foro lo lee como recorte de ingresos; la dirección, como ampliación del mercado en cirugía benigna [169].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Freno de los procedimientos en EE. UU. y «recorte»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dijo en la conferencia que el 10 % de EE. UU. es el menor crecimiento desde la COVID; fuera de EE. UU. crecen un 20 %. La guía anual pasa de 13,5-15,5 % a 14-15 %, con el punto medio igual: es un estrechamiento, no una rebaja, y el foro exagera aquí [169].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Acuerdo antimonopolio de 450 M USD (reparación de terceros)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y en efectivo (347 M USD después de impuestos) y queda pendiente de aprobación judicial en 2027, pero es puntual y no llega al beneficio neto de un trimestre; la caja y las inversiones suman 6.800 M USD sin deuda. El ruido es mayor que el efecto económico [169].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múltiplo tras la caída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debate de fondo de julio a octubre: los alcistas comparan con el múltiplo medio de cinco años y los bajistas con el crecimiento previsto, que se frena. Las cifras de múltiplo que circulan en foros no se usan: el informe lo resuelve con sus propios múltiplos históricos y su DCF [167][172][174].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robot de J&amp;J autorizado por la FDA, Medtronic e indios de bajo coste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del 3T26 no muestran pérdida de cuota: 546 colocaciones de da Vinci frente a 427 un año antes y colocaciones netas +40 %. La amenaza es de plazo largo, y las rebajas de precio parecen en parte la respuesta [169][170].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de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2.900 M USD de recompras en el 3T26 a un precio medio de 377 USD, la mayor recompra trimestral de su historia según un analista en la conferencia; parte de los alcistas la usa como suelo implícito [169].</w:t>
            </w:r>
          </w:p>
        </w:tc>
      </w:tr>
    </w:tbl>
    <w:p>
      <w:pPr>
        <w:spacing w:after="160" w:before="0"/>
      </w:pPr>
    </w:p>
    <w:p>
      <w:pPr>
        <w:spacing w:after="100"/>
      </w:pPr>
      <w:r>
        <w:t xml:space="preserve">El sentimiento no es extremo: no hay euforia ni capitulación. Lo que se ve es fatiga después de un año en el que la acción cae tras cada trimestre bueno. La reacción del 20-oct castiga dos cosas que el informe debe medir y no copiar: las rebajas de precio de instrumentos (3-5 % por procedimiento, sin contar la mezcla favorable) y el freno de EE. UU. El acuerdo de 450 M USD es sobre todo ruido. El tono de los foros va algo por detrás del consenso de analistas, que sigue en «compra moderada» con 24 de 31 favorables [171]. Esa distancia es la oportunidad posible si la elasticidad al precio aparece en 2027, y el riesgo si EE. UU. sigue en el 10 %. Catalizadores que vigila el foro: la aprobación del acuerdo y EE. UU. en el 4T26.</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178 (86 primarias); citas distintas en el texto: 175.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 explica la causa (créditos fiscales, regularizaciones, mezcla de países) y no lo proyectes en el DCF. Explicación: El 7,2 % de 2023 viene de 92,3 M de beneficios fiscales suizos y 67,1 M de revaluación de activos diferidos; no se proyecta: el DCF usa un tipo normalizado del 19 %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30,4 % frente a un ROIC de 30,2 % y un incremental histórico de 24,6 %: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30,9 % real: genera una variación de circulante de 598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En este grupo el mercado paga calidad y duración, no crecimiento: la regresión no se usa y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178 fuentes (86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96, 176, 178.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3T24-2T26: solo crecimiento reportado; 2) 10-Q 2T26: efecto divisa solo sobre ingresos fuera de EE. UU. y la compra de distribuidores declarada no significativa, sin cifra; 3) derivarlo exigiría los ingresos de la adquirida,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oficial de las conferencias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isrg.intuitive.com / investor.intuitivesurgical.com (node/23031, 23231): sin respuesta en 60-120 s; 2) isrg.gcs-web.com/node/23036/pdf: sin respuesta; 3) transcripciones de terceros (Stock Analysis 1T26, Webull 2T26) leídas con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2016-2018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OperatingLeaseLiability empieza en 2019; 2) 10-K 2018: arrendamientos fuera de balance antes de ASC 842; 3) no procede calcularlo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nivel de utilización (procedimientos por sistema)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variación (+3 %); 2) conferencias: solo variación; 3) procedimientos/base media daría ≈300 por sistema, pero la empresa no lo publica así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4T24-4T25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no citan consenso; 2) transcripciones: no dan la previsión previa; 3) AAII e Insider Monkey solo dan 1T26-3T26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depreciación y flujo operativo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21-oct: solo el 8-K del 20-oct, sin 10-Q; 2) la nota de prensa no trae estado de flujos; 3) web de inversores (isrg.gcs-web.com, isrg.intuitive.com) con 403 de Akamai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pública de Sustainalytics de Intuitive (sustainalytics.com/esg-rating/intuitive-surgical-inc/1007908485): redirige a una página genérica y la nota solo se carga con JavaScript; 2) MSCI ESG Ratings &amp; Climate Search Tool: la ficha del emisor solo es accesible en MSCI ONE; 3) búsqueda de un informe ESG de Intuitive o de una puntuación de CDP publicada: no aparece en abierto (los resúmenes de buscador con una nota de 18,0 de Sustainalytics no valen,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 (salvo CMR)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 Frost &amp; Sullivan: no desglosa las unidades de los rivales; 2) cuentas anuales de Medtronic, J&amp;J, MedBot, Edge y SSII: no dan unidades ni ingresos robóticos de 2024 comparables; 3) derivarlo de los pedidos acumulados: no es coherente con las ventas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(aranceles a productos USMCA)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Hoja informativa de la USTR del 23-jul-2026: no dice cómo trata a los productos USMCA de México; 2) nota de prensa del 3T26: solo da el efecto total (0,9 % de los ingresos); 3) conferencia del 3T26: tampoco lo detalla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avisa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equipo[Taylor Patton].participacion_pct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(tabla de participaciones a 31-12-2025): no figura, aún no era directivo; 2) Form 4 de los últimos 12 meses (91 formularios, form4.mjs a 21-10-2026): ninguno suyo; 3) Lista de presentaciones de EDGAR a 21-10-2026: sin Form 3 suyo (los únicos Form 3 de 2026 son de Jeddi y Wadors, 5-2-2026)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(guía de enero)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del 4T20: sin perspectivas; 2) Transcripción de la conferencia del 4T20: la dirección dijo que no daba guía de procedimientos por la COVID; 3) Se toma como guía inicial la de abril de 2021 (conferencia del 1T21)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2026 (real)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3T26: guía de octubre y datos de enero-septiembre; 2) Notas del 4T25, 1T26 y 2T26: guías de enero, abril y julio; 3) El ejercicio no ha terminado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serie[].ev_ebitda_ntm y serie[].per_ntm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valuation): solo da PER y EV/ventas del ejercicio en curso y el siguiente; 2) Stock Analysis (forecast): da un PER adelantado no GAAP por ejercicio, pero no EV/EBITDA adelantado y su BPA no es GAAP; 3) Yahoo / Macrotrends: sin series históricas de múltiplos adelantados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publica gráficos de ventas, EBIT y BPA, no de EBITDA; 2) Stock Analysis: no publica revisiones; 3) Nasdaq.com: solo precio objetivo y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revisiones del EBIT ajustado, que excluye las mismas partidas salvo la amortización)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desglosa los pasivos por arrendamiento; 2) XBRL del 10-Q: sin la etiqueta OperatingLeaseLiability en el 2T26; 3) 10-K 2025: 170,9 M a 31-dic-2025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el dato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comprador y objetivo (EDGAR): ninguna publica el múltiplo de EBITDA; 2) XBRL de los objetivos: EBITDA bajo o negativo en Monogram, Silk Road y Axonics; 3) prensa: múltiplos no verificables con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operaciones[].prima_pct (salvo Silk Road y Penumbra)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no la publican; 2) Yahoo Finance: los objetivos ya no cotizan y no conserva el histórico (HTTP 404); 3) XBRL: no contiene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(4T26)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calendario: «No events available»; 2) Stock Analysis, estadísticas: sin fecha siguiente; 3) calendario histórico de la empresa (22-ene-2026, 23-ene-2025)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(21-ene-2027)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3T26: no da acciones al cierre; 2) EDGAR: el 10-Q del 3T26 no está presentado el 21-oct; 3) cálculo: 353,9 M a 30-jun − 7,8 M recompradas + 2,6 M de dilución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(348,7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caída del 20-ago-2026 (−5,8 %)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sin 8-K ese día; 2) búsqueda web por fecha: sin noticia; 3) búsqueda con competencia, retiradas y recomendaciones: sin noticia; artículo de Nasdaq.com con error 503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deja el movimiento sin causa)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puente.minoritarios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3T26: balance resumido sin minoritarios; 2) 10-Q del 3T26: no presentado; 3) 30-jun + resultado atribuido del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(130,9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y foros con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búsqueda JSON: 403; 2) Seeking Alpha artículos completos y comentarios: 403 (solo titulares por RSS); 3) Benzinga y Barron's: bloqueados (403/401)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https://www.sec.gov/Archives/edgar/data/1035267/000103526725000017/isrg-20241231.htm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https://www.sec.gov/Archives/edgar/data/1035267/000103526724000021/isrg-20231231.htm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https://www.sec.gov/Archives/edgar/data/1035267/000103526723000019/isrg-20221231.htm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https://www.sec.gov/Archives/edgar/data/1035267/000103526721000028/isrg-20201231.htm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https://www.sec.gov/Archives/edgar/data/1035267/000103526719000012/isrg-20181231x10k.htm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(abril-junio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https://www.sec.gov/Archives/edgar/data/1035267/000103526726000058/isrg-20260630.htm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https://www.sec.gov/Archives/edgar/data/1035267/000103526726000032/isrg-20260331.htm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https://www.sec.gov/Archives/edgar/data/1035267/000103526725000209/isrg-20250930.htm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https://www.sec.gov/Archives/edgar/data/1035267/000103526725000192/isrg-20250630.htm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https://www.sec.gov/Archives/edgar/data/1035267/000103526725000109/isrg-20250331.htm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https://www.sec.gov/Archives/edgar/data/1035267/000103526724000247/isrg-20240930.htm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https://www.sec.gov/Archives/edgar/data/1035267/000103526724000207/isrg-20240630.htm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https://www.sec.gov/Archives/edgar/data/1035267/000103526724000244/q324ex-991earningsrelease.htm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https://www.sec.gov/Archives/edgar/data/1035267/000103526725000106/q125ex-991earningsrelease.htm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https://www.sec.gov/Archives/edgar/data/1035267/000103526725000183/q225ex-991earningsrelease.htm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https://www.sec.gov/Archives/edgar/data/1035267/000103526725000206/q325ex-991earningsrelease.htm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https://www.sec.gov/Archives/edgar/data/1035267/000103526726000006/q425ex-991earningsrelease.htm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https://www.sec.gov/Archives/edgar/data/1035267/000103526726000029/q126ex-991earningsrelease.htm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https://www.sec.gov/Archives/edgar/data/1035267/000103526726000047/q226ex-991earningsrelease.htm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compra de los distribuidores de Italia, España y Portugal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https://www.sec.gov/Archives/edgar/data/1035267/000103526725000008/q424ex-992acquisitionpress.htm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del negocio da Vinci/Ion de ab medica, Abex y Excelencia Robótica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https://www.sec.gov/Archives/edgar/data/1035267/000103526726000012/q126ex-991acquisitionpress.htm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0001035267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https://data.sec.gov/api/xbrl/companyfacts/CIK0001035267.json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https://stockanalysis.com/stocks/isrg/transcripts/544923-q1-2026/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https://www.webull.com/news/15239187065545728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Q1 2026 Earnings Call Transcript (cabecera: BPA frente a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https://www.insidermonkey.com/blog/intuitive-surgical-inc-nasdaqisrg-q1-2026-earnings-call-transcript-1743827/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https://www.sec.gov/Archives/edgar/data/1035267/000103526726000067/q326ex-991earningsrelease.htm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3T26 (Quartr)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https://stockanalysis.com/stocks/isrg/transcripts/709779-q3-2026/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You Need to Know About Intuitive Surgical, Inc.'s Q3 Earnings (BPA 2T26 frente al consenso y consenso del trimestre siguiente)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https://www.aaii.com/investingideas/article/515590-what-you-need-to-know-about-intuitive-surgical-incs-q3-earnings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 Q3 2026 Earnings Preview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Hudson Labs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https://www.hudson-labs.com/research/intuitive-surgical-q3-2026-earnings-preview-isrg-results-preview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cierre de la compra de la distribución de ab medica, Abex y Excelencia Robótica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https://www.sec.gov/Archives/edgar/data/1035267/000103526726000012/isrg-20260301.htm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nombramiento de David J. Rosa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https://www.sec.gov/Archives/edgar/data/1035267/000103526725000161/isrg-20250514.htm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modificación estatutaria para el desdoblamiento 3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https://www.sec.gov/Archives/edgar/data/1035267/000103526721000170/isrg-20210920.htm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2004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https://www.sec.gov/Archives/edgar/data/1035267/000119312504040493/d10k.htm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https://www.sec.gov/Archives/edgar/data/1035267/000103526720000032/isrg-20191231.htm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 de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https://www.marketbeat.com/earnings/reports/2026-1-22-intuitive-surgical-inc-stock/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folleto de la oferta global (Industry Overview con datos de Frost &amp; Sullivan)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https://www1.hkexnews.hk/listedco/listconews/sehk/2025/1230/2025123000029.pdf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https://www1.hkexnews.hk/listedco/listconews/sehk/2026/0327/2026032704562.pdf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MicroPort MedBot,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MicroPort MedBot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https://www1.hkexnews.hk/listedco/listconews/sehk/2026/0326/2026032603342.pdf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Surgical Robots Market Report 2025-2030 (resumen público, MD 6781)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https://www.marketsandmarkets.com/Market-Reports/surgical-robotics-market-256618532.html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10-K del ejercicio 2026 (cerrado el 24-abr-2026)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https://www.sec.gov/Archives/edgar/data/1613103/000162828026044354/mdt-20260424.htm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10-Q del 1T del ejercicio 2027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https://www.sec.gov/Archives/edgar/data/1613103/000162828026060473/mdt-20260731.htm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Receives FDA Market Authorization in the U.S. for its OTTAVA Robotic Surgical System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https://investor.jnj.com/investor-news/news-details/2026/Johnson--Johnson-Receives-FDA-Market-Authorization-in-the-U-S--for-its-OTTAVA-Robotic-Surgical-System/default.aspx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https://www.sec.gov/Archives/edgar/data/1237831/000162828026011209/gmed-20251231.htm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https://www.sec.gov/Archives/edgar/data/1136869/000119312526059853/zbh-20251231.htm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International,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https://www.sec.gov/Archives/edgar/data/1676163/000121390026025440/ea0277925-10k_ssinnova.htm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Limited, cuentas consolidadas del ejercicio 2025 (Companies House, sociedad 08863657)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https://find-and-update.company-information.service.gov.uk/company/08863657/filing-history/MzU0ODc1NzM3N2FkaXF6a2N4/document?format=pdf&amp;download=0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Form 8-K (anexo 99.1): cierre de la compra por KARL STORZ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https://www.sec.gov/Archives/edgar/data/876378/000143774924027539/ex_717520.htm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Annual (medias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openFDA, bases de datos de retiradas de dispositivos (device/recall y device/enforcement), consulta Intuitive Surgical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https://api.fda.gov/device/enforcement.json?search=recalling_firm:%22Intuitive+Surgical%22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de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https://uk.investing.com/news/stock-market-news/earnings-call-transcript-intuitive-surgical-beats-q3-2026-estimates-shares-fall-93CH-4921063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and CMR Surgical announce strategic alliance to advance robotic-assisted surgery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https://www.stryker.com/us/en/about/news/2026/stryker-cmr-surgical-announce-strategic-alliance-advance-robotic-assisted-surgery.html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submits 510(k) filings to expand Hugo RAS system into general and gynecologic specialties in the United States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https://news.medtronic.com/2026-06-03-Medtronic-submits-510-k-filings-to-expand-Hugo-TM-robotic-assisted-surgery-system-into-general-and-gynecologic-specialties-in-the-United-States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openFDA, base de datos 510(k) y De Novo (códigos SCV, SIR y NAY, 2026; actualizada 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https://api.fda.gov/device/510k.json?search=product_code:SCV+AND+decision_date:[20260101+TO+20261021]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Surgical Instrument Service Co. v. Intuitive Surgical, Inc., n.º 25-1372, sentencia (opinion)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Court of Appeals for the Ninth Circuit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https://cdn.ca9.uscourts.gov/datastore/opinions/2026/08/13/25-1372.pdf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USTR Takes Action in Forced Labor Section 301 Investigations (nota de prensa y hoja informativa)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 of the U.S. Trade Representative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https://ustr.gov/about/policy-offices/press-office/press-releases/2026/july/ustr-takes-action-forced-labor-section-301-investigations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Form 8-K (anexo 99.1):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https://www.sec.gov/Archives/edgar/data/0000200406/000020040626000189/a2026q3exhibit991.htm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Toumai Surgical Robotic System Surpasses 300 Global Commercial Orders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https://microport.com/news/toumai-surgical-robotic-system-surpasses-300-global-commercial-orders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asks US appeals court for rehearing after loss in antitrust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https://www.mlex.com/mlex/articles/2531050/intuitive-surgical-asks-us-appeals-court-for-rehearing-after-loss-in-antitrust-case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https://www.sec.gov/Archives/edgar/data/1035267/000103526726000023/isrg-20260313.htm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https://www.sec.gov/Archives/edgar/data/1035267/000103526725000098/isrg-20250314.htm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30-4-2026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https://www.sec.gov/Archives/edgar/data/1035267/000103526726000035/isrg-20260430.htm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https://www.sec.gov/Archives/edgar/data/1035267/000103526725000156/isrg-20250501.htm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25-4-2024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https://www.sec.gov/Archives/edgar/data/1035267/000103526724000171/isrg-20240425.htm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CEO Transition Effective July 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https://www.sec.gov/Archives/edgar/data/1035267/000103526725000161/q225ex-991leadershipchange.htm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ascensos de Samath y Charlton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https://www.sec.gov/Archives/edgar/data/1035267/000103526725000002/isrg-20250101.htm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cambio de funciones de Brian E. Miller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https://www.sec.gov/Archives/edgar/data/1035267/000103526725000211/isrg-20251216.htm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director comercial y de marketing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https://www.sec.gov/Archives/edgar/data/1035267/000103526726000042/isrg-20260528.htm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New Chief Commercial and Marketing Officer Taylor Patton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https://www.sec.gov/Archives/edgar/data/1035267/000103526726000042/q226ex-991appointmentofoff.htm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reforma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https://www.sec.gov/Archives/edgar/data/1035267/000103526726000063/isrg-20260723.htm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refundidos (Amended and Restated Bylaws), anexo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https://www.sec.gov/Archives/edgar/data/1035267/000103526726000063/ex-31xamendedandrestatedby.htm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David J. Rosa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https://www.sec.gov/Archives/edgar/data/1035267/000103526724000215/isrg-20240724.htm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Intuitive Surgical (91 formularios, 21-10-2025 a 21-10-2026)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https://www.sec.gov/cgi-bin/browse-edgar?action=getcompany&amp;CIK=0001035267&amp;type=4&amp;dateb=&amp;owner=include&amp;count=100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https://www.sec.gov/Archives/edgar/data/1035267/000210011926000758/xslSCHEDULE_13G_X02/primary_doc.xml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10 de The Vanguard Group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https://www.sec.gov/Archives/edgar/data/1035267/000010290926001603/xslSCHEDULE_13G_X02/primary_doc.xml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The Vanguard Group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https://www.sec.gov/Archives/edgar/data/1035267/000110465924021224/tv01218-intuitivesurgicalinc.htm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BlackRock, Inc.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https://www.sec.gov/Archives/edgar/data/1035267/000108636424003794/us46120e6023_012524.txt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 Rowe Price Associates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Rowe Price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https://www.sec.gov/Archives/edgar/data/1035267/000008025524000676/isrg13gadec23.txt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https://www.fool.com/earnings/call-transcripts/2021/04/20/intuitive-surgical-isrg-q1-2021-earnings-call-tran/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https://www.fool.com/earnings/call-transcripts/2021/10/20/intuitive-surgical-isrg-q3-2021-earnings-call-tran/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https://www.fool.com/earnings/call-transcripts/2022/01/21/intuitive-surgical-isrg-q4-2021-earnings-call-tran/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https://www.fool.com/earnings/call-transcripts/2022/10/18/intuitive-surgical-isrg-q3-2022-earnings-call-tran/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https://www.fool.com/earnings/call-transcripts/2023/01/24/intuitive-surgical-isrg-q4-2022-earnings-call-tran/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https://www.fool.com/earnings/call-transcripts/2023/10/19/intuitive-surgical-isrg-q3-2023-earnings-call-tran/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https://www.fool.com/earnings/call-transcripts/2024/10/17/intuitive-surgical-isrg-q3-2024-earnings-call-tran/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https://www.fool.com/earnings/call-transcripts/2024/01/23/intuitive-surgical-isrg-q4-2023-earnings-call-tran/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https://www.fool.com/earnings/call-transcripts/2021/01/22/intuitive-surgical-isrg-q4-2020-earnings-call-tran/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Executive Leadership Changes (anexo 99.2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https://www.sec.gov/Archives/edgar/data/1035267/000103526721000174/a20210930ex-992leadershipc.htm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Intuitive Surgical en EDGAR (8-K, Form 3/4/144, Schedule 13G)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https://data.sec.gov/submissions/CIK0001035267.json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ISRG, SPY, IHI y de los diez comparables (cierre y cierre ajustado), hasta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https://finance.yahoo.com/quote/ISRG/history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Stock Forecast (S&amp;P Global Market Intelligence /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Intuitive Surgical, Inc. (estimaciones 2026-2028,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Intuitive Surgical, Inc.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Estimates Revisions Intuitive Surgical, Inc. (gráficos de evolución de ventas, EBIT y BPA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https://www.marketscreener.com/quote/stock/INTUITIVE-SURGICAL-INC-9740/consensus-revisions/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Intuitive Surgical,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Shareholders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(sector y sub-industria GICS de cada componente)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analyst price target and ratings (API de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https://api.nasdaq.com/api/analyst/ISRG/targetprice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shares slide despite earnings beat as 2026 outlook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https://finviz.com/news/369459/intuitive-surgical-shares-slide-despite-earnings-beat-as-2026-outlook-underwhelms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short interest (fechas de liquidación quincenales, FINRA)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https://www.nasdaq.com/market-activity/stocks/isrg/short-interest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https://home.treasury.gov/resource-center/data-chart-center/interest-rates/daily-treasury-rates.csv/2026/all?type=daily_treasury_yield_curve&amp;field_tdr_date_value_month=202610&amp;page&amp;_format=csv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Stryker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Boston Scientific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Medtronic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Abbott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https://www.marketscreener.com/quote/stock/ABBOTT-LABORATORIES-11506/finances/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Edwards Lifesciences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Dexcom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https://www.marketscreener.com/quote/stock/DEXCOM-INC-9115/finances/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Insulet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https://www.marketscreener.com/quote/stock/INSULET-CORPORATION-50468/finances/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IDEXX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ResMed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Zimmer Biomet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https://www.marketscreener.com/quote/stock/ZIMMER-BIOMET-HOLDINGS-IN-14996/finances/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(nota de prensa, Exhibit 99.1 del 8-K de Stryker)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https://www.sec.gov/Archives/edgar/data/310764/000119312525002537/d899660dex991.htm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Abiomed (nota de prensa, Exhibit 99.1 del 8-K de J&amp;J)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https://www.sec.gov/Archives/edgar/data/200406/000119312522274491/d395813dex991.htm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Paragon 28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https://www.sec.gov/Archives/edgar/data/1136869/000119312525014569/d644888dex991.htm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enters into definitive agreement to be acquired by Boston Scientific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https://www.sec.gov/Archives/edgar/data/1397702/000110465924072846/tm2417405d1_ex99-1.htm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to acquire Penumbra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https://www.sec.gov/Archives/edgar/data/885725/000094787126000034/ss5822817_ex9901.htm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acquisition of Exact Sciences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Monogram Technologies (presentación,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https://www.sec.gov/Archives/edgar/data/1136869/000119312525158442/d76564dex991.htm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(sala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https://news.bostonscientific.com/2024-01-08-Boston-Scientific-Announces-Agreement-to-Acquire-Axonics,-Inc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Shockwave Medical (CIK 0001642545)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https://data.sec.gov/api/xbrl/companyfacts/CIK0001642545.json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Abiomed (CIK 0000815094)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https://data.sec.gov/api/xbrl/companyfacts/CIK0000815094.json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Inari Medical (CIK 0001531048)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https://data.sec.gov/api/xbrl/companyfacts/CIK0001531048.json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Silk Road Medical (CIK 0001397702)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https://data.sec.gov/api/xbrl/companyfacts/CIK0001397702.json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Penumbra (PEN),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cotización cada 5 minutos con fuera de horas del 20-oct y preapertura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https://finance.yahoo.com/quote/ISRG/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noticias (titulares del 20-oct-2026: «Stock Plunges 7% After Company Narrows Growth Outlook», «Earnings Flash … vs. FactSet 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Stock Drops 6%: Why ISRG Hit A Fresh 52-Week Low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TechStock² (ts2.tech)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https://ts2.tech/en/intuitive-surgical-stock-drops-6-why-isrg-hit-a-fresh-52-week-low-today/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(NASDAQ:ISRG) slides 6%; HCA surgery slowdown sharpens Q2 valuation 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TechStock² (ts2.tech)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https://ts2.tech/?p=21166870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RSS combinado de ISRG (titulares de análisis de colaboradores y noticias, julio-octubre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https://seekingalpha.com/api/sa/combined/ISRG.xml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$ISRG en torno a los resultados del 3T26 (60 mensajes, 20-21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https://api.stocktwits.com/api/2/streams/symbol/ISRG.json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Q3 2026 earnings report y transcripción de la conferencia con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https://www.marketbeat.com/earnings/reports/2026-10-20-intuitive-surgical-inc-stock/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News Today: resumen de noticias y titulares de prensa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https://www.marketbeat.com/stocks/NASDAQ/ISRG/news/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ISRG: recomendación media, posiciones cortas, sentimiento de noticias y operaciones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https://www.marketbeat.com/stocks/NASDAQ/ISRG/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Stock Is Down 25% Year to Date. History Says Patient Investors Get Rewarded.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https://www.fool.com/investing/2026/10/17/intuitive-surgical-isrg-stock-is-down-25-year-to/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Wall Street Analysts See Intuitive Surgical Hitting $500. Here's the Bull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https://www.fool.com/investing/2026/10/19/3-wall-street-analysts-see-intuitive-surgical-500/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Opiniones de expertos en televisión sobre Intuitive Surgical (ISRG),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https://stockchase.com/ISRG-Q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(NASDAQ:ISRG) Reports Upbeat Q3 2026 But Stock Drops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https://finance.yahoo.com/markets/stocks/articles/intuitive-surgical-nasdaq-isrg-reports-201040144.html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serie diaria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riesgos</w:t>
      </w:r>
      <w:r>
        <w:t xml:space="preserve"> · Generado el 21 oct 2026.</w:t>
      </w:r>
    </w:p>
    <w:p>
      <w:pPr>
        <w:pStyle w:val="Nota"/>
        <w:spacing w:after="100"/>
      </w:pPr>
      <w:r>
        <w:t xml:space="preserve">Línea cotizada única (NASDAQ: ISRG), cuentas y cotización en USD. Precio: cierre del 20-oct-2026 (438,00 USD), anterior a los resultados del 3T26, publicados ese día tras el cierre; fuera de horas cayó a 407,55 USD (−7,0 %) y la reacción se mide aparte al precio del momento [163]. El 10-Q del 3T26 no estaba en EDGAR el 21-oct: el trimestre sale de la nota de prensa (8-K) y la transcripción de la conferencia; el flujo operativo y la amortización del 3T están estimados y las acciones a 30-sep (348,7 M diluidas) son una estimación propia desde las de junio menos la recompra del trimestre [A28, A29, D]. El EBITDA de las cuentas es GAAP (la remuneración en acciones es gasto); el del consenso es ajustado y el motor le resta el 7,5 % de las ventas. El EBITDA de los últimos 12 meses excluye el acuerdo antimonopolio de 454,9 M del 3T26, que va al puente neto de impuestos (347 M) [28]. El consenso del 21-oct aún no recoge el 3T26 [D]. Los múltiplos de comparables mezclan EBITDA de MarketScreener ajustado y no ajustado según la empresa. Las acciones de 2016-2018 y sus precios están reexpresados por el desdoblamiento 3 por 1 de 2021. Sin servicios de pago: faltan las calificaciones ESG de MSCI y Sustainalytics y los múltiplos históricos de los próximos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Intuitive Surgical, Inc. (ISRG)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438,00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(190,90 – 264,66)</c:v>
                </c:pt>
                <c:pt idx="3">
                  <c:v>Comparables: PER NTM (165,60 – 261,91)</c:v>
                </c:pt>
                <c:pt idx="4">
                  <c:v>Transacciones precedentes (EV/ventas) (247,16 – 409,19)</c:v>
                </c:pt>
                <c:pt idx="5">
                  <c:v>DCF (WACC y g ± 0,5) (187,08 – 213,51)</c:v>
                </c:pt>
                <c:pt idx="6">
                  <c:v>Escenarios (bajista – alcista) (143,91 – 263,39)</c:v>
                </c:pt>
                <c:pt idx="7">
                  <c:v>DCF con la prima implícita del mercado (4,2 %)</c:v>
                </c:pt>
                <c:pt idx="8">
                  <c:v>Precio actual (438,00)</c:v>
                </c:pt>
              </c:strCache>
            </c:strRef>
          </c:cat>
          <c:val>
            <c:numRef>
              <c:f>Hoja1!$B$2:$B$10</c:f>
              <c:numCache>
                <c:formatCode>#,##0</c:formatCode>
                <c:ptCount val="9"/>
                <c:pt idx="0">
                  <c:v>328.57</c:v>
                </c:pt>
                <c:pt idx="1">
                  <c:v>324</c:v>
                </c:pt>
                <c:pt idx="2">
                  <c:v>190.9</c:v>
                </c:pt>
                <c:pt idx="3">
                  <c:v>165.6</c:v>
                </c:pt>
                <c:pt idx="4">
                  <c:v>247.16</c:v>
                </c:pt>
                <c:pt idx="5">
                  <c:v>187.08</c:v>
                </c:pt>
                <c:pt idx="6">
                  <c:v>143.91</c:v>
                </c:pt>
                <c:pt idx="7">
                  <c:v>189.8</c:v>
                </c:pt>
                <c:pt idx="8">
                  <c:v>435.81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(190,90 – 264,66)</c:v>
                </c:pt>
                <c:pt idx="3">
                  <c:v>Comparables: PER NTM (165,60 – 261,91)</c:v>
                </c:pt>
                <c:pt idx="4">
                  <c:v>Transacciones precedentes (EV/ventas) (247,16 – 409,19)</c:v>
                </c:pt>
                <c:pt idx="5">
                  <c:v>DCF (WACC y g ± 0,5) (187,08 – 213,51)</c:v>
                </c:pt>
                <c:pt idx="6">
                  <c:v>Escenarios (bajista – alcista) (143,91 – 263,39)</c:v>
                </c:pt>
                <c:pt idx="7">
                  <c:v>DCF con la prima implícita del mercado (4,2 %)</c:v>
                </c:pt>
                <c:pt idx="8">
                  <c:v>Precio actual (438,00)</c:v>
                </c:pt>
              </c:strCache>
            </c:strRef>
          </c:cat>
          <c:val>
            <c:numRef>
              <c:f>Hoja1!$C$2:$C$10</c:f>
              <c:numCache>
                <c:formatCode>#,##0</c:formatCode>
                <c:ptCount val="9"/>
                <c:pt idx="0">
                  <c:v>275.31</c:v>
                </c:pt>
                <c:pt idx="1">
                  <c:v>361</c:v>
                </c:pt>
                <c:pt idx="2">
                  <c:v>73.76000000000002</c:v>
                </c:pt>
                <c:pt idx="3">
                  <c:v>96.31000000000003</c:v>
                </c:pt>
                <c:pt idx="4">
                  <c:v>162.03</c:v>
                </c:pt>
                <c:pt idx="5">
                  <c:v>26.42999999999998</c:v>
                </c:pt>
                <c:pt idx="6">
                  <c:v>119.47999999999999</c:v>
                </c:pt>
                <c:pt idx="7">
                  <c:v>19.20999999999998</c:v>
                </c:pt>
                <c:pt idx="8">
                  <c:v>4.3799999999999955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Instrumentos y accesorios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1395.8</c:v>
                </c:pt>
                <c:pt idx="1">
                  <c:v>1636.9</c:v>
                </c:pt>
                <c:pt idx="2">
                  <c:v>1962</c:v>
                </c:pt>
                <c:pt idx="3">
                  <c:v>2408.2</c:v>
                </c:pt>
                <c:pt idx="4">
                  <c:v>2455.7</c:v>
                </c:pt>
                <c:pt idx="5">
                  <c:v>3100.5</c:v>
                </c:pt>
                <c:pt idx="6">
                  <c:v>3517.9</c:v>
                </c:pt>
                <c:pt idx="7">
                  <c:v>4276.6</c:v>
                </c:pt>
                <c:pt idx="8">
                  <c:v>5079</c:v>
                </c:pt>
                <c:pt idx="9">
                  <c:v>6018.9</c:v>
                </c:pt>
              </c:numCache>
            </c:numRef>
          </c:val>
        </c:ser>
        <c:ser>
          <c:idx val="1"/>
          <c:order val="1"/>
          <c:tx>
            <c:strRef>
              <c:f>Hoja1!$C$1</c:f>
              <c:strCache>
                <c:ptCount val="1"/>
                <c:pt idx="0">
                  <c:v>Sistemas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800</c:v>
                </c:pt>
                <c:pt idx="1">
                  <c:v>928.4</c:v>
                </c:pt>
                <c:pt idx="2">
                  <c:v>1127.1</c:v>
                </c:pt>
                <c:pt idx="3">
                  <c:v>1346.1</c:v>
                </c:pt>
                <c:pt idx="4">
                  <c:v>1178.9</c:v>
                </c:pt>
                <c:pt idx="5">
                  <c:v>1693.4</c:v>
                </c:pt>
                <c:pt idx="6">
                  <c:v>1680.1</c:v>
                </c:pt>
                <c:pt idx="7">
                  <c:v>1679.7</c:v>
                </c:pt>
                <c:pt idx="8">
                  <c:v>1966</c:v>
                </c:pt>
                <c:pt idx="9">
                  <c:v>2473.7</c:v>
                </c:pt>
              </c:numCache>
            </c:numRef>
          </c:val>
        </c:ser>
        <c:ser>
          <c:idx val="2"/>
          <c:order val="2"/>
          <c:tx>
            <c:strRef>
              <c:f>Hoja1!$D$1</c:f>
              <c:strCache>
                <c:ptCount val="1"/>
                <c:pt idx="0">
                  <c:v>Servicio</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510.7</c:v>
                </c:pt>
                <c:pt idx="1">
                  <c:v>572.9</c:v>
                </c:pt>
                <c:pt idx="2">
                  <c:v>635.1</c:v>
                </c:pt>
                <c:pt idx="3">
                  <c:v>724.2</c:v>
                </c:pt>
                <c:pt idx="4">
                  <c:v>723.8</c:v>
                </c:pt>
                <c:pt idx="5">
                  <c:v>916.2</c:v>
                </c:pt>
                <c:pt idx="6">
                  <c:v>1024.2</c:v>
                </c:pt>
                <c:pt idx="7">
                  <c:v>1167.8</c:v>
                </c:pt>
                <c:pt idx="8">
                  <c:v>1307.1</c:v>
                </c:pt>
                <c:pt idx="9">
                  <c:v>1572.1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Instrumentos y accesorios</c:v>
                </c:pt>
                <c:pt idx="1">
                  <c:v>Sistemas</c:v>
                </c:pt>
                <c:pt idx="2">
                  <c:v>Servicio</c:v>
                </c:pt>
              </c:strCache>
            </c:strRef>
          </c:cat>
          <c:val>
            <c:numRef>
              <c:f>Hoja1!$B$2:$B$4</c:f>
              <c:numCache>
                <c:formatCode>General</c:formatCode>
                <c:ptCount val="3"/>
                <c:pt idx="0">
                  <c:v>59.8</c:v>
                </c:pt>
                <c:pt idx="1">
                  <c:v>24.6</c:v>
                </c:pt>
                <c:pt idx="2">
                  <c:v>15.6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Fuera de EE. UU.</c:v>
                </c:pt>
              </c:strCache>
            </c:strRef>
          </c:cat>
          <c:val>
            <c:numRef>
              <c:f>Hoja1!$B$2:$B$3</c:f>
              <c:numCache>
                <c:formatCode>0"%"</c:formatCode>
                <c:ptCount val="2"/>
                <c:pt idx="0">
                  <c:v>67.7</c:v>
                </c:pt>
                <c:pt idx="1">
                  <c:v>32.3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(robots de cirugía endoscópica, mundo, precio de fábrica;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2025e</c:v>
                </c:pt>
                <c:pt idx="5">
                  <c:v>2026e</c:v>
                </c:pt>
                <c:pt idx="6">
                  <c:v>2027e</c:v>
                </c:pt>
                <c:pt idx="7">
                  <c:v>2028e</c:v>
                </c:pt>
              </c:strCache>
            </c:strRef>
          </c:cat>
          <c:val>
            <c:numRef>
              <c:f>Hoja1!$B$2:$B$9</c:f>
              <c:numCache>
                <c:formatCode>#,##0</c:formatCode>
                <c:ptCount val="8"/>
                <c:pt idx="0">
                  <c:v>6572.8</c:v>
                </c:pt>
                <c:pt idx="1">
                  <c:v>7248.4</c:v>
                </c:pt>
                <c:pt idx="2">
                  <c:v>8449</c:v>
                </c:pt>
                <c:pt idx="3">
                  <c:v>10220.4</c:v>
                </c:pt>
                <c:pt idx="4">
                  <c:v>12449.8</c:v>
                </c:pt>
                <c:pt idx="5">
                  <c:v>14190.7</c:v>
                </c:pt>
                <c:pt idx="6">
                  <c:v>15843</c:v>
                </c:pt>
                <c:pt idx="7">
                  <c:v>18422.3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Intuitive</c:v>
                </c:pt>
                <c:pt idx="1">
                  <c:v>Medtronic (Hugo RAS)</c:v>
                </c:pt>
                <c:pt idx="2">
                  <c:v>Johnson &amp; Johnson MedTech (Ottava)</c:v>
                </c:pt>
                <c:pt idx="3">
                  <c:v>Stryker (Mako)</c:v>
                </c:pt>
                <c:pt idx="4">
                  <c:v>CMR Surgical (Versius)</c:v>
                </c:pt>
                <c:pt idx="5">
                  <c:v>MicroPort MedBot (Toumai)</c:v>
                </c:pt>
                <c:pt idx="6">
                  <c:v>Edge Medical (MP1000 / SP1000)</c:v>
                </c:pt>
                <c:pt idx="7">
                  <c:v>SS Innovations (SSi Mantra)</c:v>
                </c:pt>
                <c:pt idx="8">
                  <c:v>Globus Medical (ExcelsiusGPS)</c:v>
                </c:pt>
              </c:strCache>
            </c:strRef>
          </c:cat>
          <c:val>
            <c:numRef>
              <c:f>Hoja1!$B$2:$B$10</c:f>
              <c:numCache>
                <c:formatCode>0.0"%"</c:formatCode>
                <c:ptCount val="9"/>
                <c:pt idx="0">
                  <c:v>29.3</c:v>
                </c:pt>
                <c:pt idx="1">
                  <c:v>17.8</c:v>
                </c:pt>
                <c:pt idx="2">
                  <c:v>12.2</c:v>
                </c:pt>
                <c:pt idx="3">
                  <c:v>19.5</c:v>
                </c:pt>
                <c:pt idx="4">
                  <c:v>-133.7</c:v>
                </c:pt>
                <c:pt idx="5">
                  <c:v>-42.7</c:v>
                </c:pt>
                <c:pt idx="6">
                  <c:v>-19.3</c:v>
                </c:pt>
                <c:pt idx="7">
                  <c:v>-19.3</c:v>
                </c:pt>
                <c:pt idx="8">
                  <c:v>16.3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2706.5</c:v>
                </c:pt>
                <c:pt idx="1">
                  <c:v>3138.2</c:v>
                </c:pt>
                <c:pt idx="2">
                  <c:v>3724.2</c:v>
                </c:pt>
                <c:pt idx="3">
                  <c:v>4478.5</c:v>
                </c:pt>
                <c:pt idx="4">
                  <c:v>4358.4</c:v>
                </c:pt>
                <c:pt idx="5">
                  <c:v>5710.1</c:v>
                </c:pt>
                <c:pt idx="6">
                  <c:v>6222.2</c:v>
                </c:pt>
                <c:pt idx="7">
                  <c:v>7124.1</c:v>
                </c:pt>
                <c:pt idx="8">
                  <c:v>8352.1</c:v>
                </c:pt>
                <c:pt idx="9">
                  <c:v>10064.7</c:v>
                </c:pt>
                <c:pt idx="10">
                  <c:v>11967</c:v>
                </c:pt>
                <c:pt idx="11">
                  <c:v>13283</c:v>
                </c:pt>
                <c:pt idx="12">
                  <c:v>14744</c:v>
                </c:pt>
                <c:pt idx="13">
                  <c:v>16293</c:v>
                </c:pt>
                <c:pt idx="14">
                  <c:v>17922</c:v>
                </c:pt>
                <c:pt idx="15">
                  <c:v>19535</c:v>
                </c:pt>
                <c:pt idx="16">
                  <c:v>21098</c:v>
                </c:pt>
                <c:pt idx="17">
                  <c:v>22574</c:v>
                </c:pt>
                <c:pt idx="18">
                  <c:v>23929</c:v>
                </c:pt>
                <c:pt idx="19">
                  <c:v>25125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1041.8</c:v>
                </c:pt>
                <c:pt idx="1">
                  <c:v>1162</c:v>
                </c:pt>
                <c:pt idx="2">
                  <c:v>1322.2</c:v>
                </c:pt>
                <c:pt idx="3">
                  <c:v>1577.5</c:v>
                </c:pt>
                <c:pt idx="4">
                  <c:v>1326</c:v>
                </c:pt>
                <c:pt idx="5">
                  <c:v>2131.2</c:v>
                </c:pt>
                <c:pt idx="6">
                  <c:v>1942.9</c:v>
                </c:pt>
                <c:pt idx="7">
                  <c:v>2188.6</c:v>
                </c:pt>
                <c:pt idx="8">
                  <c:v>2810.9</c:v>
                </c:pt>
                <c:pt idx="9">
                  <c:v>3573.4</c:v>
                </c:pt>
                <c:pt idx="10">
                  <c:v>4667</c:v>
                </c:pt>
                <c:pt idx="11">
                  <c:v>5048</c:v>
                </c:pt>
                <c:pt idx="12">
                  <c:v>5677</c:v>
                </c:pt>
                <c:pt idx="13">
                  <c:v>6354</c:v>
                </c:pt>
                <c:pt idx="14">
                  <c:v>6990</c:v>
                </c:pt>
                <c:pt idx="15">
                  <c:v>7619</c:v>
                </c:pt>
                <c:pt idx="16">
                  <c:v>8228</c:v>
                </c:pt>
                <c:pt idx="17">
                  <c:v>8804</c:v>
                </c:pt>
                <c:pt idx="18">
                  <c:v>9332</c:v>
                </c:pt>
                <c:pt idx="19">
                  <c:v>9799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70.2</c:v>
                </c:pt>
                <c:pt idx="2">
                  <c:v>69.9</c:v>
                </c:pt>
                <c:pt idx="3">
                  <c:v>69.4</c:v>
                </c:pt>
                <c:pt idx="4">
                  <c:v>65.6</c:v>
                </c:pt>
                <c:pt idx="5">
                  <c:v>69.3</c:v>
                </c:pt>
                <c:pt idx="6">
                  <c:v>67.4</c:v>
                </c:pt>
                <c:pt idx="7">
                  <c:v>66.4</c:v>
                </c:pt>
                <c:pt idx="8">
                  <c:v>67.5</c:v>
                </c:pt>
                <c:pt idx="9">
                  <c:v>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38.5</c:v>
                </c:pt>
                <c:pt idx="1">
                  <c:v>37</c:v>
                </c:pt>
                <c:pt idx="2">
                  <c:v>35.5</c:v>
                </c:pt>
                <c:pt idx="3">
                  <c:v>35.2</c:v>
                </c:pt>
                <c:pt idx="4">
                  <c:v>30.4</c:v>
                </c:pt>
                <c:pt idx="5">
                  <c:v>37.3</c:v>
                </c:pt>
                <c:pt idx="6">
                  <c:v>31.2</c:v>
                </c:pt>
                <c:pt idx="7">
                  <c:v>30.7</c:v>
                </c:pt>
                <c:pt idx="8">
                  <c:v>33.7</c:v>
                </c:pt>
                <c:pt idx="9">
                  <c:v>35.5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35.1</c:v>
                </c:pt>
                <c:pt idx="1">
                  <c:v>33.9</c:v>
                </c:pt>
                <c:pt idx="2">
                  <c:v>32.2</c:v>
                </c:pt>
                <c:pt idx="3">
                  <c:v>30.7</c:v>
                </c:pt>
                <c:pt idx="4">
                  <c:v>24.1</c:v>
                </c:pt>
                <c:pt idx="5">
                  <c:v>31.9</c:v>
                </c:pt>
                <c:pt idx="6">
                  <c:v>25.3</c:v>
                </c:pt>
                <c:pt idx="7">
                  <c:v>24.8</c:v>
                </c:pt>
                <c:pt idx="8">
                  <c:v>28.1</c:v>
                </c:pt>
                <c:pt idx="9">
                  <c:v>29.3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27.3</c:v>
                </c:pt>
                <c:pt idx="1">
                  <c:v>21.4</c:v>
                </c:pt>
                <c:pt idx="2">
                  <c:v>30.3</c:v>
                </c:pt>
                <c:pt idx="3">
                  <c:v>30.8</c:v>
                </c:pt>
                <c:pt idx="4">
                  <c:v>24.3</c:v>
                </c:pt>
                <c:pt idx="5">
                  <c:v>29.9</c:v>
                </c:pt>
                <c:pt idx="6">
                  <c:v>21.3</c:v>
                </c:pt>
                <c:pt idx="7">
                  <c:v>25.2</c:v>
                </c:pt>
                <c:pt idx="8">
                  <c:v>27.8</c:v>
                </c:pt>
                <c:pt idx="9">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25.2</c:v>
                </c:pt>
                <c:pt idx="1">
                  <c:v>19.2</c:v>
                </c:pt>
                <c:pt idx="2">
                  <c:v>21.4</c:v>
                </c:pt>
                <c:pt idx="3">
                  <c:v>22.9</c:v>
                </c:pt>
                <c:pt idx="4">
                  <c:v>18.8</c:v>
                </c:pt>
                <c:pt idx="5">
                  <c:v>23</c:v>
                </c:pt>
                <c:pt idx="6">
                  <c:v>18.5</c:v>
                </c:pt>
                <c:pt idx="7">
                  <c:v>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59</c:v>
                </c:pt>
                <c:pt idx="2">
                  <c:v>67</c:v>
                </c:pt>
                <c:pt idx="3">
                  <c:v>53</c:v>
                </c:pt>
                <c:pt idx="4">
                  <c:v>54</c:v>
                </c:pt>
                <c:pt idx="5">
                  <c:v>50</c:v>
                </c:pt>
                <c:pt idx="6">
                  <c:v>55</c:v>
                </c:pt>
                <c:pt idx="7">
                  <c:v>58</c:v>
                </c:pt>
                <c:pt idx="8">
                  <c:v>54</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94</c:v>
                </c:pt>
                <c:pt idx="2">
                  <c:v>133</c:v>
                </c:pt>
                <c:pt idx="3">
                  <c:v>159</c:v>
                </c:pt>
                <c:pt idx="4">
                  <c:v>147</c:v>
                </c:pt>
                <c:pt idx="5">
                  <c:v>122</c:v>
                </c:pt>
                <c:pt idx="6">
                  <c:v>161</c:v>
                </c:pt>
                <c:pt idx="7">
                  <c:v>186</c:v>
                </c:pt>
                <c:pt idx="8">
                  <c:v>200</c:v>
                </c:pt>
                <c:pt idx="9">
                  <c:v>196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32</c:v>
                </c:pt>
                <c:pt idx="2">
                  <c:v>33</c:v>
                </c:pt>
                <c:pt idx="3">
                  <c:v>33</c:v>
                </c:pt>
                <c:pt idx="4">
                  <c:v>20</c:v>
                </c:pt>
                <c:pt idx="5">
                  <c:v>25</c:v>
                </c:pt>
                <c:pt idx="6">
                  <c:v>26</c:v>
                </c:pt>
                <c:pt idx="7">
                  <c:v>29</c:v>
                </c:pt>
                <c:pt idx="8">
                  <c:v>26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1033.1</c:v>
                </c:pt>
                <c:pt idx="1">
                  <c:v>953.2</c:v>
                </c:pt>
                <c:pt idx="2">
                  <c:v>982.1999999999999</c:v>
                </c:pt>
                <c:pt idx="3">
                  <c:v>1172.6</c:v>
                </c:pt>
                <c:pt idx="4">
                  <c:v>1143.3</c:v>
                </c:pt>
                <c:pt idx="5">
                  <c:v>1749.9</c:v>
                </c:pt>
                <c:pt idx="6">
                  <c:v>958.4</c:v>
                </c:pt>
                <c:pt idx="7">
                  <c:v>749.5999999999999</c:v>
                </c:pt>
                <c:pt idx="8">
                  <c:v>1303.8</c:v>
                </c:pt>
                <c:pt idx="9">
                  <c:v>2490.7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738.3</c:v>
                </c:pt>
                <c:pt idx="1">
                  <c:v>670.9</c:v>
                </c:pt>
                <c:pt idx="2">
                  <c:v>1127.9</c:v>
                </c:pt>
                <c:pt idx="3">
                  <c:v>1379.3</c:v>
                </c:pt>
                <c:pt idx="4">
                  <c:v>1060.6</c:v>
                </c:pt>
                <c:pt idx="5">
                  <c:v>1704.6</c:v>
                </c:pt>
                <c:pt idx="6">
                  <c:v>1322.3</c:v>
                </c:pt>
                <c:pt idx="7">
                  <c:v>1798</c:v>
                </c:pt>
                <c:pt idx="8">
                  <c:v>2322.6</c:v>
                </c:pt>
                <c:pt idx="9">
                  <c:v>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68.9</c:v>
                </c:pt>
                <c:pt idx="2">
                  <c:v>75.7</c:v>
                </c:pt>
                <c:pt idx="3">
                  <c:v>57.9</c:v>
                </c:pt>
                <c:pt idx="4">
                  <c:v>33.8</c:v>
                </c:pt>
                <c:pt idx="5">
                  <c:v>52.1</c:v>
                </c:pt>
                <c:pt idx="6">
                  <c:v>33.5</c:v>
                </c:pt>
                <c:pt idx="7">
                  <c:v>30.9</c:v>
                </c:pt>
                <c:pt idx="8">
                  <c:v>29.4</c:v>
                </c:pt>
                <c:pt idx="9">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c:v>
                </c:pt>
                <c:pt idx="1">
                  <c:v>10</c:v>
                </c:pt>
                <c:pt idx="2">
                  <c:v>10</c:v>
                </c:pt>
                <c:pt idx="3">
                  <c:v>10</c:v>
                </c:pt>
                <c:pt idx="4">
                  <c:v>10</c:v>
                </c:pt>
                <c:pt idx="5">
                  <c:v>10</c:v>
                </c:pt>
                <c:pt idx="6">
                  <c:v>10</c:v>
                </c:pt>
                <c:pt idx="7">
                  <c:v>10</c:v>
                </c:pt>
                <c:pt idx="8">
                  <c:v>10</c:v>
                </c:pt>
                <c:pt idx="9">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c:v>
                </c:pt>
                <c:pt idx="1">
                  <c:v>12.7</c:v>
                </c:pt>
                <c:pt idx="2">
                  <c:v>19.7</c:v>
                </c:pt>
                <c:pt idx="3">
                  <c:v>18.5</c:v>
                </c:pt>
                <c:pt idx="4">
                  <c:v>11.8</c:v>
                </c:pt>
                <c:pt idx="5">
                  <c:v>15.8</c:v>
                </c:pt>
                <c:pt idx="6">
                  <c:v>11.5</c:v>
                </c:pt>
                <c:pt idx="7">
                  <c:v>14.8</c:v>
                </c:pt>
                <c:pt idx="8">
                  <c:v>15.6</c:v>
                </c:pt>
                <c:pt idx="9">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-4.64</c:v>
                </c:pt>
                <c:pt idx="1">
                  <c:v>-3.31</c:v>
                </c:pt>
                <c:pt idx="2">
                  <c:v>-3.66</c:v>
                </c:pt>
                <c:pt idx="3">
                  <c:v>-3.66</c:v>
                </c:pt>
                <c:pt idx="4">
                  <c:v>-5.12</c:v>
                </c:pt>
                <c:pt idx="5">
                  <c:v>-4</c:v>
                </c:pt>
                <c:pt idx="6">
                  <c:v>-3.42</c:v>
                </c:pt>
                <c:pt idx="7">
                  <c:v>-3.31</c:v>
                </c:pt>
                <c:pt idx="8">
                  <c:v>-3.09</c:v>
                </c:pt>
                <c:pt idx="9">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88.2</c:v>
                </c:pt>
                <c:pt idx="3">
                  <c:v>82.3</c:v>
                </c:pt>
                <c:pt idx="4">
                  <c:v>122.7</c:v>
                </c:pt>
                <c:pt idx="5">
                  <c:v>44.6</c:v>
                </c:pt>
                <c:pt idx="6">
                  <c:v>17.3</c:v>
                </c:pt>
                <c:pt idx="7">
                  <c:v>11.8</c:v>
                </c:pt>
                <c:pt idx="8">
                  <c:v>1.5</c:v>
                </c:pt>
                <c:pt idx="9">
                  <c:v>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42.5</c:v>
                </c:pt>
                <c:pt idx="1">
                  <c:v>2274</c:v>
                </c:pt>
                <c:pt idx="2">
                  <c:v>0</c:v>
                </c:pt>
                <c:pt idx="3">
                  <c:v>269.5</c:v>
                </c:pt>
                <c:pt idx="4">
                  <c:v>134.3</c:v>
                </c:pt>
                <c:pt idx="5">
                  <c:v>0</c:v>
                </c:pt>
                <c:pt idx="6">
                  <c:v>2607.4</c:v>
                </c:pt>
                <c:pt idx="7">
                  <c:v>416.3</c:v>
                </c:pt>
                <c:pt idx="8">
                  <c:v>0</c:v>
                </c:pt>
                <c:pt idx="9">
                  <c:v>2295.3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(todas sus gestoras)</c:v>
                </c:pt>
                <c:pt idx="1">
                  <c:v>BlackRock, Inc.</c:v>
                </c:pt>
                <c:pt idx="2">
                  <c:v>T. Rowe Price Associates</c:v>
                </c:pt>
                <c:pt idx="3">
                  <c:v>Consejeros y directivos (17 personas)</c:v>
                </c:pt>
                <c:pt idx="4">
                  <c:v>Autocartera</c:v>
                </c:pt>
              </c:strCache>
            </c:strRef>
          </c:cat>
          <c:val>
            <c:numRef>
              <c:f>Hoja1!$B$2:$B$6</c:f>
              <c:numCache>
                <c:formatCode>0.0"%"</c:formatCode>
                <c:ptCount val="5"/>
                <c:pt idx="0">
                  <c:v>9.5</c:v>
                </c:pt>
                <c:pt idx="1">
                  <c:v>8.6</c:v>
                </c:pt>
                <c:pt idx="2">
                  <c:v>4.8</c:v>
                </c:pt>
                <c:pt idx="3">
                  <c:v>0.6</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16.1</c:v>
                </c:pt>
                <c:pt idx="1">
                  <c:v>72.6</c:v>
                </c:pt>
                <c:pt idx="2">
                  <c:v>31.2</c:v>
                </c:pt>
                <c:pt idx="3">
                  <c:v>23.4</c:v>
                </c:pt>
                <c:pt idx="4">
                  <c:v>38.4</c:v>
                </c:pt>
                <c:pt idx="5">
                  <c:v>31.8</c:v>
                </c:pt>
                <c:pt idx="6">
                  <c:v>-26.1</c:v>
                </c:pt>
                <c:pt idx="7">
                  <c:v>27.1</c:v>
                </c:pt>
                <c:pt idx="8">
                  <c:v>54.7</c:v>
                </c:pt>
                <c:pt idx="9">
                  <c:v>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19.3</c:v>
                </c:pt>
                <c:pt idx="1">
                  <c:v>33.2</c:v>
                </c:pt>
                <c:pt idx="2">
                  <c:v>39.4</c:v>
                </c:pt>
                <c:pt idx="3">
                  <c:v>41.1</c:v>
                </c:pt>
                <c:pt idx="4">
                  <c:v>69.1</c:v>
                </c:pt>
                <c:pt idx="5">
                  <c:v>57.7</c:v>
                </c:pt>
                <c:pt idx="6">
                  <c:v>46.1</c:v>
                </c:pt>
                <c:pt idx="7">
                  <c:v>51.8</c:v>
                </c:pt>
                <c:pt idx="8">
                  <c:v>64.2</c:v>
                </c:pt>
                <c:pt idx="9">
                  <c:v>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c:v>
                </c:pt>
                <c:pt idx="1">
                  <c:v>49</c:v>
                </c:pt>
                <c:pt idx="2">
                  <c:v>49</c:v>
                </c:pt>
                <c:pt idx="3">
                  <c:v>49</c:v>
                </c:pt>
                <c:pt idx="4">
                  <c:v>49</c:v>
                </c:pt>
                <c:pt idx="5">
                  <c:v>49</c:v>
                </c:pt>
                <c:pt idx="6">
                  <c:v>49</c:v>
                </c:pt>
                <c:pt idx="7">
                  <c:v>49</c:v>
                </c:pt>
                <c:pt idx="8">
                  <c:v>49</c:v>
                </c:pt>
                <c:pt idx="9">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Intuitive</c:v>
                </c:pt>
                <c:pt idx="1">
                  <c:v>Stryker</c:v>
                </c:pt>
                <c:pt idx="2">
                  <c:v>Boston Scientific</c:v>
                </c:pt>
                <c:pt idx="3">
                  <c:v>Medtronic</c:v>
                </c:pt>
                <c:pt idx="4">
                  <c:v>Abbott Laboratories</c:v>
                </c:pt>
                <c:pt idx="5">
                  <c:v>Edwards Lifesciences</c:v>
                </c:pt>
                <c:pt idx="6">
                  <c:v>Dexcom</c:v>
                </c:pt>
                <c:pt idx="7">
                  <c:v>Insulet</c:v>
                </c:pt>
                <c:pt idx="8">
                  <c:v>IDEXX Laboratories</c:v>
                </c:pt>
                <c:pt idx="9">
                  <c:v>ResMed</c:v>
                </c:pt>
                <c:pt idx="10">
                  <c:v>Zimmer Biomet</c:v>
                </c:pt>
              </c:strCache>
            </c:strRef>
          </c:cat>
          <c:val>
            <c:numRef>
              <c:f>Hoja1!$B$2:$B$12</c:f>
              <c:numCache>
                <c:formatCode>0.0"x"</c:formatCode>
                <c:ptCount val="11"/>
                <c:pt idx="0">
                  <c:v>30.6</c:v>
                </c:pt>
                <c:pt idx="1">
                  <c:v>15.3</c:v>
                </c:pt>
                <c:pt idx="2">
                  <c:v>11.7</c:v>
                </c:pt>
                <c:pt idx="3">
                  <c:v>12.6</c:v>
                </c:pt>
                <c:pt idx="4">
                  <c:v>14.4</c:v>
                </c:pt>
                <c:pt idx="5">
                  <c:v>20.3</c:v>
                </c:pt>
                <c:pt idx="6">
                  <c:v>18.9</c:v>
                </c:pt>
                <c:pt idx="7">
                  <c:v>12.7</c:v>
                </c:pt>
                <c:pt idx="8">
                  <c:v>24.7</c:v>
                </c:pt>
                <c:pt idx="9">
                  <c:v>14.7</c:v>
                </c:pt>
                <c:pt idx="10">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Intuitive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11.3</c:v>
                </c:pt>
              </c:numCache>
            </c:numRef>
          </c:xVal>
          <c:yVal>
            <c:numRef>
              <c:f>Hoja1!$C$2</c:f>
              <c:numCache>
                <c:formatCode>0.0"x"</c:formatCode>
                <c:ptCount val="1"/>
                <c:pt idx="0">
                  <c:v>30.6</c:v>
                </c:pt>
              </c:numCache>
            </c:numRef>
          </c:yVal>
          <c:smooth val="0"/>
        </c:ser>
        <c:ser>
          <c:idx val="1"/>
          <c:order val="1"/>
          <c:tx>
            <c:strRef>
              <c:f>Hoja1!$A$3</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15.3</c:v>
                </c:pt>
              </c:numCache>
            </c:numRef>
          </c:yVal>
          <c:smooth val="0"/>
        </c:ser>
        <c:ser>
          <c:idx val="2"/>
          <c:order val="2"/>
          <c:tx>
            <c:strRef>
              <c:f>Hoja1!$A$4</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11.7</c:v>
                </c:pt>
              </c:numCache>
            </c:numRef>
          </c:yVal>
          <c:smooth val="0"/>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5.6</c:v>
                </c:pt>
              </c:numCache>
            </c:numRef>
          </c:xVal>
          <c:yVal>
            <c:numRef>
              <c:f>Hoja1!$C$5</c:f>
              <c:numCache>
                <c:formatCode>0.0"x"</c:formatCode>
                <c:ptCount val="1"/>
                <c:pt idx="0">
                  <c:v>12.6</c:v>
                </c:pt>
              </c:numCache>
            </c:numRef>
          </c:yVal>
          <c:smooth val="0"/>
        </c:ser>
        <c:ser>
          <c:idx val="4"/>
          <c:order val="4"/>
          <c:tx>
            <c:strRef>
              <c:f>Hoja1!$A$6</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15.2</c:v>
                </c:pt>
              </c:numCache>
            </c:numRef>
          </c:xVal>
          <c:yVal>
            <c:numRef>
              <c:f>Hoja1!$C$6</c:f>
              <c:numCache>
                <c:formatCode>0.0"x"</c:formatCode>
                <c:ptCount val="1"/>
                <c:pt idx="0">
                  <c:v>14.4</c:v>
                </c:pt>
              </c:numCache>
            </c:numRef>
          </c:yVal>
          <c:smooth val="0"/>
        </c:ser>
        <c:ser>
          <c:idx val="5"/>
          <c:order val="5"/>
          <c:tx>
            <c:strRef>
              <c:f>Hoja1!$A$7</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12.1</c:v>
                </c:pt>
              </c:numCache>
            </c:numRef>
          </c:xVal>
          <c:yVal>
            <c:numRef>
              <c:f>Hoja1!$C$7</c:f>
              <c:numCache>
                <c:formatCode>0.0"x"</c:formatCode>
                <c:ptCount val="1"/>
                <c:pt idx="0">
                  <c:v>20.3</c:v>
                </c:pt>
              </c:numCache>
            </c:numRef>
          </c:yVal>
          <c:smooth val="0"/>
        </c:ser>
        <c:ser>
          <c:idx val="6"/>
          <c:order val="6"/>
          <c:tx>
            <c:strRef>
              <c:f>Hoja1!$A$8</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14.5</c:v>
                </c:pt>
              </c:numCache>
            </c:numRef>
          </c:xVal>
          <c:yVal>
            <c:numRef>
              <c:f>Hoja1!$C$8</c:f>
              <c:numCache>
                <c:formatCode>0.0"x"</c:formatCode>
                <c:ptCount val="1"/>
                <c:pt idx="0">
                  <c:v>18.9</c:v>
                </c:pt>
              </c:numCache>
            </c:numRef>
          </c:yVal>
          <c:smooth val="0"/>
        </c:ser>
        <c:ser>
          <c:idx val="7"/>
          <c:order val="7"/>
          <c:tx>
            <c:strRef>
              <c:f>Hoja1!$A$9</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19.5</c:v>
                </c:pt>
              </c:numCache>
            </c:numRef>
          </c:xVal>
          <c:yVal>
            <c:numRef>
              <c:f>Hoja1!$C$9</c:f>
              <c:numCache>
                <c:formatCode>0.0"x"</c:formatCode>
                <c:ptCount val="1"/>
                <c:pt idx="0">
                  <c:v>12.7</c:v>
                </c:pt>
              </c:numCache>
            </c:numRef>
          </c:yVal>
          <c:smooth val="0"/>
        </c:ser>
        <c:ser>
          <c:idx val="8"/>
          <c:order val="8"/>
          <c:tx>
            <c:strRef>
              <c:f>Hoja1!$A$10</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11.1</c:v>
                </c:pt>
              </c:numCache>
            </c:numRef>
          </c:xVal>
          <c:yVal>
            <c:numRef>
              <c:f>Hoja1!$C$10</c:f>
              <c:numCache>
                <c:formatCode>0.0"x"</c:formatCode>
                <c:ptCount val="1"/>
                <c:pt idx="0">
                  <c:v>24.7</c:v>
                </c:pt>
              </c:numCache>
            </c:numRef>
          </c:yVal>
          <c:smooth val="0"/>
        </c:ser>
        <c:ser>
          <c:idx val="9"/>
          <c:order val="9"/>
          <c:tx>
            <c:strRef>
              <c:f>Hoja1!$A$11</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4.7</c:v>
                </c:pt>
              </c:numCache>
            </c:numRef>
          </c:xVal>
          <c:yVal>
            <c:numRef>
              <c:f>Hoja1!$C$11</c:f>
              <c:numCache>
                <c:formatCode>0.0"x"</c:formatCode>
                <c:ptCount val="1"/>
                <c:pt idx="0">
                  <c:v>14.7</c:v>
                </c:pt>
              </c:numCache>
            </c:numRef>
          </c:yVal>
          <c:smooth val="0"/>
        </c:ser>
        <c:ser>
          <c:idx val="10"/>
          <c:order val="10"/>
          <c:tx>
            <c:strRef>
              <c:f>Hoja1!$A$12</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3.9</c:v>
                </c:pt>
              </c:numCache>
            </c:numRef>
          </c:xVal>
          <c:yVal>
            <c:numRef>
              <c:f>Hoja1!$C$12</c:f>
              <c:numCache>
                <c:formatCode>0.0"x"</c:formatCode>
                <c:ptCount val="1"/>
                <c:pt idx="0">
                  <c:v>8.8</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1895</c:v>
                </c:pt>
                <c:pt idx="1">
                  <c:v>2258</c:v>
                </c:pt>
                <c:pt idx="2">
                  <c:v>2646</c:v>
                </c:pt>
                <c:pt idx="3">
                  <c:v>2942</c:v>
                </c:pt>
                <c:pt idx="4">
                  <c:v>3356</c:v>
                </c:pt>
                <c:pt idx="5">
                  <c:v>3621</c:v>
                </c:pt>
                <c:pt idx="6">
                  <c:v>4070</c:v>
                </c:pt>
                <c:pt idx="7">
                  <c:v>4308</c:v>
                </c:pt>
                <c:pt idx="8">
                  <c:v>4868</c:v>
                </c:pt>
                <c:pt idx="9">
                  <c:v>5059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20901</c:v>
                </c:pt>
                <c:pt idx="1">
                  <c:v>42301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438,00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143.91</c:v>
                </c:pt>
                <c:pt idx="1">
                  <c:v>198.89</c:v>
                </c:pt>
                <c:pt idx="2">
                  <c:v>263.39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438,00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(190,90 – 264,66)</c:v>
                </c:pt>
                <c:pt idx="3">
                  <c:v>Comparables: PER NTM (165,60 – 261,91)</c:v>
                </c:pt>
                <c:pt idx="4">
                  <c:v>Transacciones precedentes (EV/ventas) (247,16 – 409,19)</c:v>
                </c:pt>
                <c:pt idx="5">
                  <c:v>DCF (WACC y g ± 0,5) (187,08 – 213,51)</c:v>
                </c:pt>
                <c:pt idx="6">
                  <c:v>Escenarios (bajista – alcista) (143,91 – 263,39)</c:v>
                </c:pt>
                <c:pt idx="7">
                  <c:v>DCF con la prima implícita del mercado (4,2 %)</c:v>
                </c:pt>
                <c:pt idx="8">
                  <c:v>Precio actual (438,00)</c:v>
                </c:pt>
              </c:strCache>
            </c:strRef>
          </c:cat>
          <c:val>
            <c:numRef>
              <c:f>Hoja1!$B$2:$B$10</c:f>
              <c:numCache>
                <c:formatCode>#,##0</c:formatCode>
                <c:ptCount val="9"/>
                <c:pt idx="0">
                  <c:v>328.57</c:v>
                </c:pt>
                <c:pt idx="1">
                  <c:v>324</c:v>
                </c:pt>
                <c:pt idx="2">
                  <c:v>190.9</c:v>
                </c:pt>
                <c:pt idx="3">
                  <c:v>165.6</c:v>
                </c:pt>
                <c:pt idx="4">
                  <c:v>247.16</c:v>
                </c:pt>
                <c:pt idx="5">
                  <c:v>187.08</c:v>
                </c:pt>
                <c:pt idx="6">
                  <c:v>143.91</c:v>
                </c:pt>
                <c:pt idx="7">
                  <c:v>189.8</c:v>
                </c:pt>
                <c:pt idx="8">
                  <c:v>435.81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(190,90 – 264,66)</c:v>
                </c:pt>
                <c:pt idx="3">
                  <c:v>Comparables: PER NTM (165,60 – 261,91)</c:v>
                </c:pt>
                <c:pt idx="4">
                  <c:v>Transacciones precedentes (EV/ventas) (247,16 – 409,19)</c:v>
                </c:pt>
                <c:pt idx="5">
                  <c:v>DCF (WACC y g ± 0,5) (187,08 – 213,51)</c:v>
                </c:pt>
                <c:pt idx="6">
                  <c:v>Escenarios (bajista – alcista) (143,91 – 263,39)</c:v>
                </c:pt>
                <c:pt idx="7">
                  <c:v>DCF con la prima implícita del mercado (4,2 %)</c:v>
                </c:pt>
                <c:pt idx="8">
                  <c:v>Precio actual (438,00)</c:v>
                </c:pt>
              </c:strCache>
            </c:strRef>
          </c:cat>
          <c:val>
            <c:numRef>
              <c:f>Hoja1!$C$2:$C$10</c:f>
              <c:numCache>
                <c:formatCode>#,##0</c:formatCode>
                <c:ptCount val="9"/>
                <c:pt idx="0">
                  <c:v>275.31</c:v>
                </c:pt>
                <c:pt idx="1">
                  <c:v>361</c:v>
                </c:pt>
                <c:pt idx="2">
                  <c:v>73.76000000000002</c:v>
                </c:pt>
                <c:pt idx="3">
                  <c:v>96.31000000000003</c:v>
                </c:pt>
                <c:pt idx="4">
                  <c:v>162.03</c:v>
                </c:pt>
                <c:pt idx="5">
                  <c:v>26.42999999999998</c:v>
                </c:pt>
                <c:pt idx="6">
                  <c:v>119.47999999999999</c:v>
                </c:pt>
                <c:pt idx="7">
                  <c:v>19.20999999999998</c:v>
                </c:pt>
                <c:pt idx="8">
                  <c:v>4.3799999999999955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