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Compañía Ejemplo, S.A.</w:t>
      </w:r>
    </w:p>
    <w:p>
      <w:pPr>
        <w:spacing w:after="60"/>
        <w:rPr>
          <w:color w:val="52514E"/>
          <w:sz w:val="22"/>
          <w:szCs w:val="22"/>
        </w:rPr>
      </w:pPr>
      <w:r>
        <w:rPr>
          <w:color w:val="52514E"/>
          <w:sz w:val="22"/>
          <w:szCs w:val="22"/>
        </w:rPr>
        <w:t xml:space="preserve">EJM · Bolsa de Madrid (Mercado Continuo) · ISIN ES0000000000 · Industria</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6 oct 2026</w:t>
      </w:r>
      <w:r>
        <w:rPr>
          <w:color w:val="52514E"/>
          <w:sz w:val="18"/>
          <w:szCs w:val="18"/>
        </w:rPr>
        <w:t xml:space="preserve"> · Divisa: </w:t>
      </w:r>
      <w:r>
        <w:rPr>
          <w:b/>
          <w:bCs/>
          <w:color w:val="52514E"/>
          <w:sz w:val="18"/>
          <w:szCs w:val="18"/>
        </w:rPr>
        <w:t xml:space="preserve">EUR</w:t>
      </w:r>
      <w:r>
        <w:rPr>
          <w:color w:val="52514E"/>
          <w:sz w:val="18"/>
          <w:szCs w:val="18"/>
        </w:rPr>
        <w:t xml:space="preserve"> · Cifras en </w:t>
      </w:r>
      <w:r>
        <w:rPr>
          <w:b/>
          <w:bCs/>
          <w:color w:val="52514E"/>
          <w:sz w:val="18"/>
          <w:szCs w:val="18"/>
        </w:rPr>
        <w:t xml:space="preserve">millones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Mantener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31,40 EUR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objetivo</w:t>
            </w:r>
          </w:p>
          <w:p>
            <w:pPr>
              <w:spacing w:after="0"/>
            </w:pPr>
            <w:r>
              <w:rPr>
                <w:rFonts w:ascii="Calibri" w:cs="Calibri" w:eastAsia="Calibri" w:hAnsi="Calibri"/>
                <w:b/>
                <w:bCs/>
                <w:color w:val="1F2A3C"/>
                <w:sz w:val="26"/>
                <w:szCs w:val="26"/>
              </w:rPr>
              <w:t xml:space="preserve">31,05 EUR · mercado 34,28</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total 12 m</w:t>
            </w:r>
          </w:p>
          <w:p>
            <w:pPr>
              <w:spacing w:after="0"/>
            </w:pPr>
            <w:r>
              <w:rPr>
                <w:rFonts w:ascii="Calibri" w:cs="Calibri" w:eastAsia="Calibri" w:hAnsi="Calibri"/>
                <w:b/>
                <w:bCs/>
                <w:color w:val="1F2A3C"/>
                <w:sz w:val="26"/>
                <w:szCs w:val="26"/>
              </w:rPr>
              <w:t xml:space="preserve">+1,0 % · mercado +11,2 %</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Media</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5.024 M</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10,5x</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1,2x</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Compañía Ejemplo, 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EJM / ES0000000000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 de Madrid (Mercado Continuo)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IBEX 35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Industria / Componentes y equipos eléctricos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Madrid · 1975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8.400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www.ejemplo.com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31,40 (3 oct 2026)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24,10 – 33,90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62,5 %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5.024 M EUR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5.654 M EUR</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6,5 M EUR/día (3 meses)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29 oct 2026</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r>
        <w:br w:type="page"/>
      </w:r>
    </w:p>
    <w:p>
      <w:pPr>
        <w:pStyle w:val="Heading1"/>
      </w:pPr>
      <w:r>
        <w:t xml:space="preserve">Síntesis y recomendación</w:t>
      </w:r>
    </w:p>
    <w:p>
      <w:pPr>
        <w:spacing w:after="100"/>
      </w:pPr>
      <w:r>
        <w:rPr>
          <w:b/>
          <w:bCs/>
        </w:rPr>
        <w:t xml:space="preserve">Mantener</w:t>
      </w:r>
      <w:r>
        <w:t xml:space="preserve"> · Convicción Media · Valor objetivo </w:t>
      </w:r>
      <w:r>
        <w:rPr>
          <w:b/>
          <w:bCs/>
        </w:rPr>
        <w:t xml:space="preserve">31,05 EUR</w:t>
      </w:r>
      <w:r>
        <w:t xml:space="preserve"> frente a 31,40 · con la prima implícita del mercado: 34,28 (+9,2 %) · Rentabilidad total esperada a 12 meses </w:t>
      </w:r>
      <w:r>
        <w:rPr>
          <w:b/>
          <w:bCs/>
        </w:rPr>
        <w:t xml:space="preserve">+1,0 %</w:t>
      </w:r>
      <w:r>
        <w:t xml:space="preserve"> · Alcista / bajista +16,4 % / -47,2 %</w:t>
      </w:r>
    </w:p>
    <w:p>
      <w:pPr>
        <w:spacing w:after="100"/>
      </w:pPr>
      <w:r>
        <w:rPr>
          <w:b/>
        </w:rPr>
        <w:t xml:space="preserve">La recomendación y por qué.</w:t>
      </w:r>
      <w:r>
        <w:t xml:space="preserve"> Mantener, con convicción media. El valor objetivo de 31,05 EUR deja una rentabilidad total esperada casi nula, y la asimetría es mala: el escenario alcista gana un 16 % y el bajista pierde un 47 %. Con la prima de riesgo que hoy pide el mercado el valor sube a 34,28 EUR (+9 %), que tampoco llega para comprar: las dos reglas dan Mantener. El negocio es bueno, pero el precio ya paga un crecimiento que la empresa no ha demostrado.</w:t>
      </w:r>
    </w:p>
    <w:p>
      <w:pPr>
        <w:spacing w:after="100"/>
      </w:pPr>
      <w:r>
        <w:rPr>
          <w:b/>
        </w:rPr>
        <w:t xml:space="preserve">El negocio.</w:t>
      </w:r>
      <w:r>
        <w:t xml:space="preserve"> El 39 % de los ingresos viene ya de las redes de distribución, un mercado regulado que crece por encima del 7 % anual [1][19]. Ese cambio de mezcla explica los 160 pb de mejora del margen EBITDA desde 2021 [1] y un ROIC del 11,8 %, por encima de un WACC del 8,5 %: la empresa crea valor, aunque con un foso estrecho.</w:t>
      </w:r>
    </w:p>
    <w:p>
      <w:pPr>
        <w:spacing w:after="100"/>
      </w:pPr>
      <w:r>
        <w:rPr>
          <w:b/>
        </w:rPr>
        <w:t xml:space="preserve">Finanzas.</w:t>
      </w:r>
      <w:r>
        <w:t xml:space="preserve"> La deuda neta ajustada es de 1,2 veces el EBITDA, con vencimientos cómodos [14]: el balance no es un riesgo. La conversión del beneficio en caja es buena y la calidad contable no muestra alertas.</w:t>
      </w:r>
    </w:p>
    <w:p>
      <w:pPr>
        <w:spacing w:after="100"/>
      </w:pPr>
      <w:r>
        <w:rPr>
          <w:b/>
        </w:rPr>
        <w:t xml:space="preserve">Valoración.</w:t>
      </w:r>
      <w:r>
        <w:t xml:space="preserve"> El DCF (50 % del peso) da 28,08 EUR, con una etapa de transición de cinco años (27,61 EUR sin ella), y los comparables 33,82 EUR; la dispersión es moderada. Lo decisivo es el DCF inverso: el precio descuenta un crecimiento del 8,5 % anual en 2027-2032, casi el doble del 4,6 % de nuestro caso base y por encima de su historia. Para que la acción suba hay que creer que automoción se recupera a la vez que redes sigue creciendo.</w:t>
      </w:r>
    </w:p>
    <w:p>
      <w:pPr>
        <w:spacing w:after="100"/>
      </w:pPr>
      <w:r>
        <w:rPr>
          <w:b/>
        </w:rPr>
        <w:t xml:space="preserve">Riesgos y catalizadores.</w:t>
      </w:r>
      <w:r>
        <w:t xml:space="preserve"> El riesgo principal es la competencia asiática en transformadores, que ya recortó el margen de un competidor en 2023 [26]; en el bajista resta unos 12 EUR por acción. El catalizador más cercano son los concursos de redes de 2027 [8].</w:t>
      </w:r>
    </w:p>
    <w:p>
      <w:pPr>
        <w:spacing w:after="100"/>
      </w:pPr>
      <w:r>
        <w:rPr>
          <w:b/>
        </w:rPr>
        <w:t xml:space="preserve">Qué cambiaría la decisión.</w:t>
      </w:r>
      <w:r>
        <w:t xml:space="preserve"> Compraríamos por debajo de 30,37 EUR o si la cartera de redes acelera por encima del 10 %; venderíamos por encima de 37,10 EUR o si la tasa de concursos ganados baja del 45 % [6].</w:t>
      </w:r>
    </w:p>
    <w:p>
      <w:r>
        <w:br w:type="page"/>
      </w:r>
    </w:p>
    <w:p>
      <w:pPr>
        <w:pStyle w:val="Heading1"/>
      </w:pPr>
      <w:r>
        <w:t xml:space="preserve">Resumen ejecutivo</w:t>
      </w:r>
    </w:p>
    <w:p>
      <w:pPr>
        <w:pStyle w:val="Confianza"/>
        <w:spacing w:after="100"/>
      </w:pPr>
      <w:r>
        <w:t xml:space="preserve">Confianza: Media</w:t>
      </w:r>
    </w:p>
    <w:p>
      <w:pPr>
        <w:spacing w:after="100"/>
      </w:pPr>
      <w:r>
        <w:rPr>
          <w:b/>
          <w:bCs/>
        </w:rPr>
        <w:t xml:space="preserve">Recomendación: Mantener</w:t>
      </w:r>
      <w:r>
        <w:t xml:space="preserve"> · Convicción: Media · Horizonte: 12 meses · Valor objetivo: </w:t>
      </w:r>
      <w:r>
        <w:rPr>
          <w:b/>
          <w:bCs/>
        </w:rPr>
        <w:t xml:space="preserve">31,05 EUR</w:t>
      </w:r>
      <w:r>
        <w:t xml:space="preserve"> (-1,1 % sobre 31,40; rentabilidad total esperada +1,0 %) · con la prima implícita del mercado: 34,28 (+9,2 %)</w:t>
      </w:r>
    </w:p>
    <w:p>
      <w:pPr>
        <w:spacing w:after="100"/>
      </w:pPr>
      <w:r>
        <w:t xml:space="preserve">Ejemplo fabrica equipos eléctricos de media tensión y obtiene ya el </w:t>
      </w:r>
      <w:r>
        <w:rPr>
          <w:b/>
        </w:rPr>
        <w:t xml:space="preserve">39 % de sus ingresos de las redes de distribución</w:t>
      </w:r>
      <w:r>
        <w:t xml:space="preserve">, un mercado que crece por encima del 7 % anual por la inversión regulada en redes [1][19]. El margen EBITDA ha subido 160 pb desde 2021 por ese cambio de mezcla [1].</w:t>
      </w:r>
    </w:p>
    <w:p>
      <w:pPr>
        <w:spacing w:after="100"/>
      </w:pPr>
      <w:r>
        <w:t xml:space="preserve">Al precio actual, el DCF inverso dice que el mercado descuenta un crecimiento anual cercano al de nuestra proyección: el precio ya recoge buena parte de la tesis de redes [16].</w:t>
      </w:r>
    </w:p>
    <w:p>
      <w:pPr>
        <w:spacing w:after="100"/>
      </w:pPr>
      <w:r>
        <w:t xml:space="preserve">Para ganar dinero hay que creer que el margen de redes seguirá subiendo y que automoción se estabiliza en 2027; ninguna de las dos cosas está demostrada [5][6].</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objetivo (síntesis ponderada)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31,05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Potencial sobre el precio actual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por dividendo ordinario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total esperada a 12 meses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 alcista /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 / -47,2 %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Asimetría (ganancia alcista / pérdida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0,35x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anual implícita en el precio frente al WACC y al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7,9 % frente a 8,5 % y 7,4 %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objetivo con la prima implícita del mercado (4,3 %, WACC 7,4 %)</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34,28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total esperada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Asimetría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Regla absoluta (frente a su coste de capital)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Regla relativa (frente a lo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anual implícito en el precio (2027e-2032e) frente al previsto para su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 frente a 7,3 %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según las reglas (manda la relativa salvo contradicción)</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bl>
    <w:p>
      <w:pPr>
        <w:spacing w:after="160" w:before="0"/>
      </w:pPr>
    </w:p>
    <w:p>
      <w:pPr>
        <w:pStyle w:val="Nota"/>
        <w:spacing w:after="100"/>
      </w:pPr>
      <w:r>
        <w:t xml:space="preserve">Regla: Comprar si la rentabilidad total esperada a 12 meses es ≥ 15 % y el alcista gana al menos lo que pierde el bajista; Vender si es ≤ −10 %, o negativa con asimetría &lt; 0,5; Mantener en el resto. Se aplica dos veces: con el WACC del análisis (regla absoluta: ¿rinde más que su coste de capital?) y con el WACC que resulta de la prima de riesgo implícita del mercado (regla relativa: ¿rinde más que lo que hoy pide el mercado, ajustado por su beta?). Manda la relativa, salvo que las dos se contradigan (una Comprar y otra Vender): entonces, Mantener.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Comprar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30,37 (rentabilidad total esperada ≥ 15 % y el alcista compensa al bajista, con la regla combinada)</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Mantener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Entre 30,37 y 37,10</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Vender o reducir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encima de 37,10 (rentabilidad total esperada ≤ −10 %, o negativa con un bajista que pesa el doble que el alcista, con la regla combinada)</w:t>
            </w:r>
          </w:p>
        </w:tc>
      </w:tr>
    </w:tbl>
    <w:p>
      <w:pPr>
        <w:spacing w:after="160" w:before="0"/>
      </w:pPr>
    </w:p>
    <w:p>
      <w:pPr>
        <w:pStyle w:val="Heading2"/>
      </w:pPr>
      <w:r>
        <w:t xml:space="preserve">Qué cambiaría la recomendación</w:t>
      </w:r>
    </w:p>
    <w:p>
      <w:pPr>
        <w:pStyle w:val="ListParagraph"/>
        <w:numPr>
          <w:ilvl w:val="0"/>
          <w:numId w:val="2"/>
        </w:numPr>
        <w:spacing w:after="60"/>
      </w:pPr>
      <w:r>
        <w:t xml:space="preserve">Si el precio baja de la zona de compra con la cartera de redes intacta, pasaríamos a Comprar.</w:t>
      </w:r>
    </w:p>
    <w:p>
      <w:pPr>
        <w:pStyle w:val="ListParagraph"/>
        <w:numPr>
          <w:ilvl w:val="0"/>
          <w:numId w:val="2"/>
        </w:numPr>
        <w:spacing w:after="60"/>
      </w:pPr>
      <w:r>
        <w:t xml:space="preserve">Si la tasa de concursos ganados en transformadores cae por debajo del 45 %, pasaríamos a Vender [6].</w:t>
      </w:r>
    </w:p>
    <w:p>
      <w:pPr>
        <w:pStyle w:val="ListParagraph"/>
        <w:numPr>
          <w:ilvl w:val="0"/>
          <w:numId w:val="2"/>
        </w:numPr>
        <w:spacing w:after="60"/>
      </w:pPr>
      <w:r>
        <w:t xml:space="preserve">Si la dirección presenta un plan creíble de reducción de capacidad en automoción, revisaríamos al alza el margen [8].</w:t>
      </w:r>
    </w:p>
    <w:p>
      <w:pPr>
        <w:pStyle w:val="Heading2"/>
      </w:pPr>
      <w:r>
        <w:t xml:space="preserve">Dónde discrepamos del mercado</w:t>
      </w:r>
    </w:p>
    <w:p>
      <w:pPr>
        <w:keepNext/>
        <w:spacing w:after="100"/>
      </w:pPr>
      <w:r>
        <w:rPr>
          <w:b/>
          <w:bCs/>
        </w:rPr>
        <w:t xml:space="preserve">Lo que descuenta el precio.</w:t>
      </w:r>
    </w:p>
    <w:p>
      <w:pPr>
        <w:spacing w:after="100"/>
      </w:pPr>
      <w:r>
        <w:t xml:space="preserve">Un crecimiento de ingresos en torno al 6 % anual y márgenes estables, en línea con el consenso [16][17].</w:t>
      </w:r>
    </w:p>
    <w:p>
      <w:pPr>
        <w:keepNext/>
        <w:spacing w:after="100"/>
      </w:pPr>
      <w:r>
        <w:rPr>
          <w:b/>
          <w:bCs/>
        </w:rPr>
        <w:t xml:space="preserve">Lo que creemos nosotros.</w:t>
      </w:r>
    </w:p>
    <w:p>
      <w:pPr>
        <w:spacing w:after="100"/>
      </w:pPr>
      <w:r>
        <w:t xml:space="preserve">Coincidimos en crecimiento, pero vemos más riesgo en el margen de automoción y en la presión de precios asiática en transformadores [26].</w:t>
      </w:r>
    </w:p>
    <w:p>
      <w:pPr>
        <w:keepNext/>
        <w:spacing w:after="100"/>
      </w:pPr>
      <w:r>
        <w:rPr>
          <w:b/>
          <w:bCs/>
        </w:rPr>
        <w:t xml:space="preserve">Por qué podemos tener razón.</w:t>
      </w:r>
    </w:p>
    <w:p>
      <w:pPr>
        <w:spacing w:after="100"/>
      </w:pPr>
      <w:r>
        <w:t xml:space="preserve">La dirección no ha concretado el plan de reducción de capacidad en automoción y los concursos de transformadores se están perdiendo por precio [6][7].</w:t>
      </w:r>
    </w:p>
    <w:p>
      <w:pPr>
        <w:keepNext w:val="false"/>
        <w:spacing w:after="160" w:before="120"/>
        <w:jc w:val="center"/>
      </w:pPr>
      <w:r>
        <w:drawing>
          <wp:inline xmlns:wp="http://schemas.openxmlformats.org/drawingml/2006/wordprocessingDrawing" distT="0" distB="0" distL="0" distR="0">
            <wp:extent cx="5760000" cy="2880000"/>
            <wp:effectExtent l="0" t="0" r="0" b="0"/>
            <wp:docPr id="1001" name="Gráfico 1" descr="Valor por acción según cada métod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26,90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r>
    </w:tbl>
    <w:p>
      <w:pPr>
        <w:spacing w:after="160" w:before="0"/>
      </w:pPr>
    </w:p>
    <w:p>
      <w:pPr>
        <w:pStyle w:val="Heading2"/>
      </w:pPr>
      <w:r>
        <w:t xml:space="preserve">A favor</w:t>
      </w:r>
    </w:p>
    <w:p>
      <w:pPr>
        <w:pStyle w:val="ListParagraph"/>
        <w:numPr>
          <w:ilvl w:val="0"/>
          <w:numId w:val="2"/>
        </w:numPr>
        <w:spacing w:after="60"/>
      </w:pPr>
      <w:r>
        <w:rPr>
          <w:b/>
        </w:rPr>
        <w:t xml:space="preserve">Redes eléctricas</w:t>
      </w:r>
      <w:r>
        <w:t xml:space="preserve">: cartera de pedidos de 1,9 veces los ingresos del segmento [4].</w:t>
      </w:r>
    </w:p>
    <w:p>
      <w:pPr>
        <w:pStyle w:val="ListParagraph"/>
        <w:numPr>
          <w:ilvl w:val="0"/>
          <w:numId w:val="2"/>
        </w:numPr>
        <w:spacing w:after="60"/>
      </w:pPr>
      <w:r>
        <w:rPr>
          <w:b/>
        </w:rPr>
        <w:t xml:space="preserve">Balance</w:t>
      </w:r>
      <w:r>
        <w:t xml:space="preserve">: deuda neta de 1,3x EBITDA y sin vencimientos relevantes hasta 2028 [1].</w:t>
      </w:r>
    </w:p>
    <w:p>
      <w:pPr>
        <w:pStyle w:val="ListParagraph"/>
        <w:numPr>
          <w:ilvl w:val="0"/>
          <w:numId w:val="2"/>
        </w:numPr>
        <w:spacing w:after="60"/>
      </w:pPr>
      <w:r>
        <w:rPr>
          <w:b/>
        </w:rPr>
        <w:t xml:space="preserve">Asignación de capital</w:t>
      </w:r>
      <w:r>
        <w:t xml:space="preserve">: recompras de 120 M en tres años con el ROIC por encima del WACC [1].</w:t>
      </w:r>
    </w:p>
    <w:p>
      <w:pPr>
        <w:pStyle w:val="ListParagraph"/>
        <w:numPr>
          <w:ilvl w:val="0"/>
          <w:numId w:val="2"/>
        </w:numPr>
        <w:spacing w:after="60"/>
      </w:pPr>
      <w:r>
        <w:rPr>
          <w:b/>
        </w:rPr>
        <w:t xml:space="preserve">Gobierno</w:t>
      </w:r>
      <w:r>
        <w:t xml:space="preserve">: mayoría de independientes y variable ligado al ROIC [9][10].</w:t>
      </w:r>
    </w:p>
    <w:p>
      <w:pPr>
        <w:pStyle w:val="Heading2"/>
      </w:pPr>
      <w:r>
        <w:t xml:space="preserve">En contra</w:t>
      </w:r>
    </w:p>
    <w:p>
      <w:pPr>
        <w:pStyle w:val="ListParagraph"/>
        <w:numPr>
          <w:ilvl w:val="0"/>
          <w:numId w:val="2"/>
        </w:numPr>
        <w:spacing w:after="60"/>
      </w:pPr>
      <w:r>
        <w:rPr>
          <w:b/>
        </w:rPr>
        <w:t xml:space="preserve">Automoción</w:t>
      </w:r>
      <w:r>
        <w:t xml:space="preserve"> sigue cayendo (−6 % en el primer semestre) [4].</w:t>
      </w:r>
    </w:p>
    <w:p>
      <w:pPr>
        <w:pStyle w:val="ListParagraph"/>
        <w:numPr>
          <w:ilvl w:val="0"/>
          <w:numId w:val="2"/>
        </w:numPr>
        <w:spacing w:after="60"/>
      </w:pPr>
      <w:r>
        <w:rPr>
          <w:b/>
        </w:rPr>
        <w:t xml:space="preserve">Cobre</w:t>
      </w:r>
      <w:r>
        <w:t xml:space="preserve">: una subida del 10 % resta unos 40 pb de margen bruto si no se traslada [1].</w:t>
      </w:r>
    </w:p>
    <w:p>
      <w:pPr>
        <w:pStyle w:val="ListParagraph"/>
        <w:numPr>
          <w:ilvl w:val="0"/>
          <w:numId w:val="2"/>
        </w:numPr>
        <w:spacing w:after="60"/>
      </w:pPr>
      <w:r>
        <w:rPr>
          <w:b/>
        </w:rPr>
        <w:t xml:space="preserve">Valoración</w:t>
      </w:r>
      <w:r>
        <w:t xml:space="preserve">: el precio ya descuenta la mejora de márgenes [18].</w:t>
      </w:r>
    </w:p>
    <w:p>
      <w:pPr>
        <w:pStyle w:val="ListParagraph"/>
        <w:numPr>
          <w:ilvl w:val="0"/>
          <w:numId w:val="2"/>
        </w:numPr>
        <w:spacing w:after="60"/>
      </w:pPr>
      <w:r>
        <w:rPr>
          <w:b/>
        </w:rPr>
        <w:t xml:space="preserve">Competencia asiática</w:t>
      </w:r>
      <w:r>
        <w:t xml:space="preserve"> en transformadores con precios un 15-20 % inferiores [26].</w:t>
      </w:r>
    </w:p>
    <w:p>
      <w:pPr>
        <w:pStyle w:val="Heading2"/>
      </w:pPr>
      <w:r>
        <w:t xml:space="preserve">Qué tiene que pasar para que la tesis funcione</w:t>
      </w:r>
    </w:p>
    <w:p>
      <w:pPr>
        <w:spacing w:after="100"/>
      </w:pPr>
      <w:r>
        <w:t xml:space="preserve">La tesis depende de que la cartera de redes se convierta en ingresos al ritmo previsto y de que automoción toque fondo en 2027. La señal de alarma sería una caída de la cartera de pedidos dos trimestres seguidos [4].</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 de redes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2.020 M</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1.800 M</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Anticipa los ingresos de 12-18 meses.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 EBIT de automoción</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4 %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 cae más, el segmento destruye valor.</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del cobre</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9.800 USD/t</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&gt; 11.000 USD/t</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Coste principal de los cables.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Concursos de transformadores ganados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&lt; 45 %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Mide la presión asiática.</w:t>
            </w:r>
          </w:p>
        </w:tc>
      </w:tr>
    </w:tbl>
    <w:p>
      <w:pPr>
        <w:spacing w:after="160" w:before="0"/>
      </w:pP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11,5x / 10,5x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20,4x / 17,9x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15,8x</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1,85x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de ingresos (2016-2025)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11,8 %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8,5 %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 · 1,2x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 de 13</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r>
        <w:br w:type="page"/>
      </w:r>
    </w:p>
    <w:p>
      <w:pPr>
        <w:pStyle w:val="Parte"/>
      </w:pPr>
      <w:r>
        <w:t xml:space="preserve">Parte I — Negocio y sector</w:t>
      </w:r>
    </w:p>
    <w:p>
      <w:pPr>
        <w:pStyle w:val="Heading1"/>
      </w:pPr>
      <w:r>
        <w:t xml:space="preserve">1. Historia e hitos</w:t>
      </w:r>
    </w:p>
    <w:p>
      <w:pPr>
        <w:pStyle w:val="Confianza"/>
        <w:spacing w:after="100"/>
      </w:pPr>
      <w:r>
        <w:t xml:space="preserve">Confianza: Alta</w:t>
      </w:r>
    </w:p>
    <w:p>
      <w:pPr>
        <w:spacing w:after="100"/>
      </w:pPr>
      <w:r>
        <w:t xml:space="preserve">Fundada en 1975 como taller de bobinado, salió a bolsa en 1998 y se transformó con dos compras: cables especiales en 2008 y aparamenta en 2015. La familia fundadora conserva el 28 %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1975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Fundación en Madrid.</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1998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Salida a bolsa.</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2008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un fabricante de cables especiales.</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Entrada en aparamenta de media tensión.</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2019</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consejera delegada.</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cables especiales en Polonia por 120 M.</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estratégico 2025-2028 [8].</w:t>
            </w:r>
          </w:p>
        </w:tc>
      </w:tr>
    </w:tbl>
    <w:p>
      <w:pPr>
        <w:spacing w:after="160" w:before="0"/>
      </w:pPr>
    </w:p>
    <w:p>
      <w:pPr>
        <w:pStyle w:val="Heading1"/>
      </w:pPr>
      <w:r>
        <w:t xml:space="preserve">2. Modelo de negocio</w:t>
      </w:r>
    </w:p>
    <w:p>
      <w:pPr>
        <w:pStyle w:val="Confianza"/>
        <w:spacing w:after="100"/>
      </w:pPr>
      <w:r>
        <w:t xml:space="preserve">Confianza: Alta</w:t>
      </w:r>
    </w:p>
    <w:p>
      <w:pPr>
        <w:spacing w:after="100"/>
      </w:pPr>
      <w:r>
        <w:t xml:space="preserve">Diseña y fabrica aparamenta, transformadores de distribución y cableado para tres mercados: redes eléctricas, industria y automoción. Vende sobre todo a distribuidoras eléctricas con contratos marco de 3-5 años y a fabricantes industriales; tiene 14 plantas en seis países [1].</w:t>
      </w:r>
    </w:p>
    <w:p>
      <w:pPr>
        <w:pStyle w:val="Heading2"/>
      </w:pPr>
      <w:r>
        <w:t xml:space="preserve">Cómo gana dinero</w:t>
      </w:r>
    </w:p>
    <w:p>
      <w:pPr>
        <w:spacing w:after="100"/>
      </w:pPr>
      <w:r>
        <w:t xml:space="preserve">El 45 % de los ingresos de redes viene de contratos marco con revisión de precios por cobre. El margen depende del precio del cobre, de la utilización de las plantas (81 %) y de la mezcla: redes deja 17 % de margen EBIT frente al 6 % de automoción [1][4].</w:t>
      </w:r>
    </w:p>
    <w:p>
      <w:pPr>
        <w:pStyle w:val="Heading2"/>
      </w:pPr>
      <w:r>
        <w:t xml:space="preserve">Segmentos (2025)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1.184</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EBIT</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02" name="Gráfico 2" descr="Ingresos por segmen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
              </a:graphicData>
            </a:graphic>
          </wp:inline>
        </w:drawing>
      </w:r>
    </w:p>
    <w:p>
      <w:pPr>
        <w:keepNext w:val="false"/>
        <w:spacing w:after="160" w:before="120"/>
        <w:jc w:val="center"/>
      </w:pPr>
      <w:r>
        <w:drawing>
          <wp:inline xmlns:wp="http://schemas.openxmlformats.org/drawingml/2006/wordprocessingDrawing" distT="0" distB="0" distL="0" distR="0">
            <wp:extent cx="5760000" cy="2340000"/>
            <wp:effectExtent l="0" t="0" r="0" b="0"/>
            <wp:docPr id="1003" name="Gráfico 3" descr="Peso de cada segmento en los ingresos (2025)"/>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3"/>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2023</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2024</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835</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1.042</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1.184</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04" name="Gráfico 4" descr="Ingresos por geografía, según destino (% del to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4"/>
              </a:graphicData>
            </a:graphic>
          </wp:inline>
        </w:drawing>
      </w:r>
    </w:p>
    <w:p>
      <w:pPr>
        <w:pStyle w:val="Heading2"/>
      </w:pPr>
      <w:r>
        <w:t xml:space="preserve">Clientes, recurrencia y poder de precios</w:t>
      </w:r>
    </w:p>
    <w:p>
      <w:pPr>
        <w:spacing w:after="100"/>
      </w:pPr>
      <w:r>
        <w:t xml:space="preserve">Los diez primeros clientes son el 31 % de las ventas; el mayor, el 7 %. La tasa de renovación de contratos marco es del 92 % [1]. Subió precios un 9 % en 2022-2023, frente a una inflación de costes del 11 % [2][3].</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1.770 M</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2.020 M</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Récord; 1,9 años de ingresos de redes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Book-to-bill</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1,07x</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+0,05</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encima de 1 seis trimestres seguidos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Utilización de plantas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Cerca del límite en transformadores [5].</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Concursos ganados (transformadores)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Presión de precios asiática [6].</w:t>
            </w:r>
          </w:p>
        </w:tc>
      </w:tr>
    </w:tbl>
    <w:p>
      <w:pPr>
        <w:spacing w:after="160" w:before="0"/>
      </w:pPr>
    </w:p>
    <w:p>
      <w:pPr>
        <w:pStyle w:val="Heading1"/>
      </w:pPr>
      <w:r>
        <w:t xml:space="preserve">3. Sector y mercado</w:t>
      </w:r>
    </w:p>
    <w:p>
      <w:pPr>
        <w:pStyle w:val="Confianza"/>
        <w:spacing w:after="100"/>
      </w:pPr>
      <w:r>
        <w:t xml:space="preserve">Confianza: Media</w:t>
      </w:r>
    </w:p>
    <w:p>
      <w:pPr>
        <w:spacing w:after="100"/>
      </w:pPr>
      <w:r>
        <w:t xml:space="preserve">Mercado europeo de equipos de distribución eléctrica de media y baja tensión. Tomamos la cifra de la asociación sectorial [19]; la previsión de inversión del organismo europeo da un tamaño un 8 % mayor por perímetro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42.000 M EUR en 2025 [19]</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Expansión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7,3 %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los 5 primeros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Moderadamente concentrada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5" name="Gráfico 5" descr="Tamaño del mercado (miles de millones de EUR) · «e» = previsión"/>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5"/>
              </a:graphicData>
            </a:graphic>
          </wp:inline>
        </w:drawing>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Inversión regulada en redes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europeo de 584.000 M EUR hasta 2030 [20].</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Electrificación de la industria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Demanda eléctrica industrial +2 % anual [19].</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Producción de automóviles en Europa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2019 en un 18 % [26].</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del cobre</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60 % del coste de materiales [1].</w:t>
            </w:r>
          </w:p>
        </w:tc>
      </w:tr>
    </w:tbl>
    <w:p>
      <w:pPr>
        <w:spacing w:after="160" w:before="0"/>
      </w:pPr>
    </w:p>
    <w:p>
      <w:pPr>
        <w:pStyle w:val="Heading2"/>
      </w:pPr>
      <w:r>
        <w:t xml:space="preserve">Las cinco fuerzas</w:t>
      </w:r>
    </w:p>
    <w:p>
      <w:pPr>
        <w:keepNext w:val="false"/>
        <w:spacing w:after="160" w:before="120"/>
        <w:jc w:val="center"/>
      </w:pPr>
      <w:r>
        <w:drawing>
          <wp:inline xmlns:wp="http://schemas.openxmlformats.org/drawingml/2006/wordprocessingDrawing" distT="0" distB="0" distL="0" distR="0">
            <wp:extent cx="5760000" cy="2700000"/>
            <wp:effectExtent l="0" t="0" r="0" b="0"/>
            <wp:docPr id="1006" name="Gráfico 6" descr="Cinco fuerzas: intensidad (1 = favorable, 5 = desfavora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6"/>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Rivalidad</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Cuatro grandes y una cola de especialistas; precios estables salvo en transformadores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clientes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Distribuidoras grandes que licitan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proveedores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Cobre y acero cotizan en mercado; poca diferenciación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Amenaza de entrada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de 2-3 años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Amenaza de sustitutos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1</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 hay alternativa a la red física [19].</w:t>
            </w:r>
          </w:p>
        </w:tc>
      </w:tr>
    </w:tbl>
    <w:p>
      <w:pPr>
        <w:spacing w:after="160" w:before="0"/>
      </w:pPr>
    </w:p>
    <w:p>
      <w:pPr>
        <w:pStyle w:val="Heading2"/>
      </w:pPr>
      <w:r>
        <w:t xml:space="preserve">Ciclo</w:t>
      </w:r>
    </w:p>
    <w:p>
      <w:pPr>
        <w:spacing w:after="100"/>
      </w:pPr>
      <w:r>
        <w:t xml:space="preserve">La inversión en redes está en máximos y la regulación la asegura hasta 2030 [20]. En 2009 el sector cayó un 12 % y en 2020 un 8 %, la mitad que la industria [19].</w:t>
      </w:r>
    </w:p>
    <w:p>
      <w:pPr>
        <w:pStyle w:val="Heading2"/>
      </w:pPr>
      <w:r>
        <w:t xml:space="preserve">Regulación</w:t>
      </w:r>
    </w:p>
    <w:p>
      <w:pPr>
        <w:spacing w:after="100"/>
      </w:pPr>
      <w:r>
        <w:t xml:space="preserve">La remuneración regulada de las distribuidoras fija su inversión: la revisión de 2026 sube la tasa de retribución al 6,5 % [20].</w:t>
      </w:r>
    </w:p>
    <w:p>
      <w:pPr>
        <w:pStyle w:val="Heading2"/>
      </w:pPr>
      <w:r>
        <w:t xml:space="preserve">Tendencias y disrupción</w:t>
      </w:r>
    </w:p>
    <w:p>
      <w:pPr>
        <w:spacing w:after="100"/>
      </w:pPr>
      <w:r>
        <w:t xml:space="preserve">Digitalización de la red (sensores, telecontrol) y entrada de fabricantes asiáticos en transformadores. Ejemplo gana con la primera y pierde con la segunda [26].</w:t>
      </w:r>
    </w:p>
    <w:p>
      <w:pPr>
        <w:pStyle w:val="Heading1"/>
      </w:pPr>
      <w:r>
        <w:t xml:space="preserve">4. Posición competitiva y foso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5.º fabricante europeo de equipos de distribución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Estrecho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Estable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847"/>
        <w:gridCol w:w="953"/>
        <w:gridCol w:w="1059"/>
        <w:gridCol w:w="847"/>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Cuota</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Grupo Alfa</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Francia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ALF</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Líder en aparamenta; compite en precio en grandes concursos [21].</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 Energy</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Alemania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BET</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Fuerte en transformadores [22].</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Gamma Systems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Suiza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GAM</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17,4 %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Integra software de red [19].</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Delta Cables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Italia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DLC</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Especialista en cable [19].</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7" name="Gráfico 7" descr="Margen EBIT: la empresa frente a sus competidores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7"/>
              </a:graphicData>
            </a:graphic>
          </wp:inline>
        </w:drawing>
      </w:r>
    </w:p>
    <w:p>
      <w:pPr>
        <w:pStyle w:val="Heading2"/>
      </w:pPr>
      <w:r>
        <w:t xml:space="preserve">Fuentes de ventaja competitiva</w:t>
      </w:r>
    </w:p>
    <w:p>
      <w:pPr>
        <w:keepNext w:val="false"/>
        <w:spacing w:after="160" w:before="120"/>
        <w:jc w:val="center"/>
      </w:pPr>
      <w:r>
        <w:drawing>
          <wp:inline xmlns:wp="http://schemas.openxmlformats.org/drawingml/2006/wordprocessingDrawing" distT="0" distB="0" distL="0" distR="0">
            <wp:extent cx="5760000" cy="1980000"/>
            <wp:effectExtent l="0" t="0" r="0" b="0"/>
            <wp:docPr id="1008" name="Gráfico 8" descr="Fuentes de ventaja competitiva (0 = inexistente, 5 = muy fuert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Efectos de red</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aplica a un fabricante de equipos.</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Costes de cambio</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de 2-3 años con cada distribuidora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Intangibles (marca, patentes, licencias)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140 patentes, ninguna crítica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Ventaja en costes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EBIT por debajo de los dos líderes [21][22].</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Escala eficiente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Líder en España con el 22 % de cuota [19].</w:t>
            </w:r>
          </w:p>
        </w:tc>
      </w:tr>
    </w:tbl>
    <w:p>
      <w:pPr>
        <w:spacing w:after="160" w:before="0"/>
      </w:pPr>
    </w:p>
    <w:p>
      <w:pPr>
        <w:pStyle w:val="Heading2"/>
      </w:pPr>
      <w:r>
        <w:t xml:space="preserve">Amenazas</w:t>
      </w:r>
    </w:p>
    <w:p>
      <w:pPr>
        <w:spacing w:after="100"/>
      </w:pPr>
      <w:r>
        <w:t xml:space="preserve">Fabricantes asiáticos de transformadores con precios un 15-20 % inferiores, ya homologados en dos distribuidoras europeas [26].</w:t>
      </w:r>
    </w:p>
    <w:p>
      <w:r>
        <w:br w:type="page"/>
      </w:r>
    </w:p>
    <w:p>
      <w:pPr>
        <w:pStyle w:val="Parte"/>
      </w:pPr>
      <w:r>
        <w:t xml:space="preserve">Parte II — Finanzas</w:t>
      </w:r>
    </w:p>
    <w:p>
      <w:pPr>
        <w:pStyle w:val="Heading1"/>
      </w:pPr>
      <w:r>
        <w:t xml:space="preserve">5. Cuenta de resultados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186</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0,33</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289</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0,36</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2.075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30,5 %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0,71</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332</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2.688</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2.817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2.961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31,9 %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471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0,65</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r>
    </w:tbl>
    <w:p>
      <w:pPr>
        <w:spacing w:after="160" w:before="0"/>
      </w:pPr>
    </w:p>
    <w:p>
      <w:pPr>
        <w:spacing w:after="100"/>
      </w:pPr>
      <w:r>
        <w:t xml:space="preserve">Crecimiento anual compuesto 2016-2025: ingresos </w:t>
      </w:r>
      <w:r>
        <w:rPr>
          <w:b/>
          <w:bCs/>
        </w:rPr>
        <w:t xml:space="preserve">5,1 %</w:t>
      </w:r>
      <w:r>
        <w:t xml:space="preserve">, EBITDA </w:t>
      </w:r>
      <w:r>
        <w:rPr>
          <w:b/>
          <w:bCs/>
        </w:rPr>
        <w:t xml:space="preserve">6,5 %</w:t>
      </w:r>
      <w:r>
        <w:t xml:space="preserve">, BPA </w:t>
      </w:r>
      <w:r>
        <w:rPr>
          <w:b/>
          <w:bCs/>
        </w:rPr>
        <w:t xml:space="preserve">7,8 %</w:t>
      </w:r>
      <w:r>
        <w:t xml:space="preserve">.</w:t>
      </w:r>
    </w:p>
    <w:p>
      <w:pPr>
        <w:keepNext w:val="false"/>
        <w:spacing w:after="160" w:before="120"/>
        <w:jc w:val="center"/>
      </w:pPr>
      <w:r>
        <w:drawing>
          <wp:inline xmlns:wp="http://schemas.openxmlformats.org/drawingml/2006/wordprocessingDrawing" distT="0" distB="0" distL="0" distR="0">
            <wp:extent cx="5760000" cy="2700000"/>
            <wp:effectExtent l="0" t="0" r="0" b="0"/>
            <wp:docPr id="1009" name="Gráfico 9" descr="Ingresos y EBITDA (EUR, millones) · «e» = proyección propia del DCF"/>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9"/>
              </a:graphicData>
            </a:graphic>
          </wp:inline>
        </w:drawing>
      </w:r>
    </w:p>
    <w:p>
      <w:pPr>
        <w:keepNext w:val="false"/>
        <w:spacing w:after="160" w:before="120"/>
        <w:jc w:val="center"/>
      </w:pPr>
      <w:r>
        <w:drawing>
          <wp:inline xmlns:wp="http://schemas.openxmlformats.org/drawingml/2006/wordprocessingDrawing" distT="0" distB="0" distL="0" distR="0">
            <wp:extent cx="5760000" cy="2700000"/>
            <wp:effectExtent l="0" t="0" r="0" b="0"/>
            <wp:docPr id="1010" name="Gráfico 10" descr="Márgenes (% de ingres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0"/>
              </a:graphicData>
            </a:graphic>
          </wp:inline>
        </w:drawing>
      </w:r>
    </w:p>
    <w:p>
      <w:pPr>
        <w:spacing w:after="100"/>
      </w:pPr>
      <w:r>
        <w:t xml:space="preserve">Los ingresos crecieron un 5,5 % anual en 2016-2025, con un 2020 de caída (−7,5 %) por automoción. El margen EBITDA pasó del 14,1 % al 15,9 % por el mayor peso de redes [1][2][3].</w:t>
      </w:r>
    </w:p>
    <w:p>
      <w:pPr>
        <w:pStyle w:val="Heading2"/>
      </w:pPr>
      <w:r>
        <w:t xml:space="preserve">Ajustes y partidas no recurrentes</w:t>
      </w:r>
    </w:p>
    <w:p>
      <w:pPr>
        <w:spacing w:after="100"/>
      </w:pPr>
      <w:r>
        <w:t xml:space="preserve">Las cifras son las reportadas. Los no recurrentes (reestructuración en 2020 y 2023) fueron inferiores al 3 % del EBIT [1][3].</w:t>
      </w:r>
    </w:p>
    <w:p>
      <w:pPr>
        <w:pStyle w:val="Heading1"/>
      </w:pPr>
      <w:r>
        <w:t xml:space="preserve">6. Resultados recientes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220"/>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0,29</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0,30</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0,31</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0,33</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0,34</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0,35</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0,36</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0,37</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En línea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1" name="Gráfico 11" descr="Crecimiento interanual por trimestr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1"/>
              </a:graphicData>
            </a:graphic>
          </wp:inline>
        </w:drawing>
      </w:r>
    </w:p>
    <w:p>
      <w:pPr>
        <w:pStyle w:val="Heading2"/>
      </w:pPr>
      <w:r>
        <w:t xml:space="preserve">Lo que dijo la dirección en las últimas presentaciones</w:t>
      </w:r>
    </w:p>
    <w:p>
      <w:pPr>
        <w:spacing w:after="100"/>
      </w:pPr>
      <w:r>
        <w:t xml:space="preserve">La dirección elevó la guía de margen al 16 % y anunció un plan de capacidad en transformadores. Los analistas preguntaron cuatro veces por los precios asiáticos; la respuesta fue genérica [5][6]. Frente a la conferencia anterior, el discurso sobre automoción pasó de «estabilización» a «revisión de la capacidad» [7].</w:t>
      </w:r>
    </w:p>
    <w:p>
      <w:pPr>
        <w:pStyle w:val="Heading1"/>
      </w:pPr>
      <w:r>
        <w:t xml:space="preserve">7. Balance y capital circulante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2.412</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2.374</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1.247</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2.487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473</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1.335</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2.757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2.888</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549</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1.591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3.119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604</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1.692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1,9x</w:t>
            </w:r>
          </w:p>
        </w:tc>
      </w:tr>
    </w:tbl>
    <w:p>
      <w:pPr>
        <w:spacing w:after="160" w:before="0"/>
      </w:pPr>
    </w:p>
    <w:p>
      <w:pPr>
        <w:pStyle w:val="Nota"/>
        <w:spacing w:after="100"/>
      </w:pPr>
      <w:r>
        <w:t xml:space="preserve">Días de inventario y de pago calculados sobre el coste de ventas.</w:t>
      </w:r>
    </w:p>
    <w:p>
      <w:pPr>
        <w:pStyle w:val="Nota"/>
        <w:spacing w:after="100"/>
      </w:pPr>
      <w:r>
        <w:t xml:space="preserve">Cambio de perímetro (2022: compra de Aparamenta Boreal (ficticia), consolidada desde octubre: tres meses en la cuenta y el balance completo). Los ratios de balance de ese año (días, circulante, deuda neta / EBITDA, ROIC) y los indicadores de calidad contable no son comparables con los anteriores.</w:t>
      </w:r>
    </w:p>
    <w:p>
      <w:pPr>
        <w:keepNext w:val="false"/>
        <w:spacing w:after="160" w:before="120"/>
        <w:jc w:val="center"/>
      </w:pPr>
      <w:r>
        <w:drawing>
          <wp:inline xmlns:wp="http://schemas.openxmlformats.org/drawingml/2006/wordprocessingDrawing" distT="0" distB="0" distL="0" distR="0">
            <wp:extent cx="5760000" cy="2340000"/>
            <wp:effectExtent l="0" t="0" r="0" b="0"/>
            <wp:docPr id="1012" name="Gráfico 12" descr="Capital circulante en día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2"/>
              </a:graphicData>
            </a:graphic>
          </wp:inline>
        </w:drawing>
      </w:r>
    </w:p>
    <w:p>
      <w:pPr>
        <w:spacing w:after="100"/>
      </w:pPr>
      <w:r>
        <w:t xml:space="preserve">La deuda neta baja de 2,0x a 1,3x EBITDA desde 2022. El ciclo de caja se ha mantenido estable en torno a 90 días [1].</w:t>
      </w:r>
    </w:p>
    <w:p>
      <w:pPr>
        <w:pStyle w:val="Heading1"/>
      </w:pPr>
      <w:r>
        <w:t xml:space="preserve">8. Flujos de caja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0,76</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0,54</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0,59</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0,97</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75 %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3" name="Gráfico 13" descr="Flujo de caja libre frente a beneficio ne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3"/>
              </a:graphicData>
            </a:graphic>
          </wp:inline>
        </w:drawing>
      </w:r>
    </w:p>
    <w:p>
      <w:pPr>
        <w:spacing w:after="100"/>
      </w:pPr>
      <w:r>
        <w:t xml:space="preserve">Acumulado 2019-2025: FCF </w:t>
      </w:r>
      <w:r>
        <w:rPr>
          <w:b/>
          <w:bCs/>
        </w:rPr>
        <w:t xml:space="preserve">829</w:t>
      </w:r>
      <w:r>
        <w:t xml:space="preserve">, conversión </w:t>
      </w:r>
      <w:r>
        <w:rPr>
          <w:b/>
          <w:bCs/>
        </w:rPr>
        <w:t xml:space="preserve">67 %</w:t>
      </w:r>
      <w:r>
        <w:t xml:space="preserve"> del beneficio neto; adquisiciones 220, dividendos 541, recompras 120.</w:t>
      </w:r>
    </w:p>
    <w:p>
      <w:pPr>
        <w:spacing w:after="100"/>
      </w:pPr>
      <w:r>
        <w:t xml:space="preserve">La conversión de beneficio en caja es alta salvo en 2022, por la acumulación de inventario de cobre. La empresa estima el capex de mantenimiento en el 3 % de las ventas [1][8].</w:t>
      </w:r>
    </w:p>
    <w:p>
      <w:pPr>
        <w:pStyle w:val="Heading1"/>
      </w:pPr>
      <w:r>
        <w:t xml:space="preserve">9. Calidad contable</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Auditora Ejemplo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Favorable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2025</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Altman Z</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4,33</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Zona segura (&gt; 2,99 seguro; &lt; 1,81 riesgo). No aplica a bancos ni aseguradoras, y subestima la solvencia de empresas con grandes anticipos de clientes o prefinanciación pública (contratistas, construcción), que inflan el pasivo.</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Piotroski F</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 / 9</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Fortaleza financiera alta (7-9).</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Beneish M</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−1,78: sin señal de manipulación.</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Flujo operativo / beneficio neto (acumulado)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1,12x</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beneficio se cobra.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Beneficio neto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ROA mejora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&gt; beneficio neto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Baja el endeudamiento (deuda /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la liquidez corriente</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No emite acciones</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el margen bruto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Mejora la rotación del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pStyle w:val="Heading2"/>
      </w:pPr>
      <w:r>
        <w:t xml:space="preserve">Ajustes, criterios contables y remuneración en acciones</w:t>
      </w:r>
    </w:p>
    <w:p>
      <w:pPr>
        <w:spacing w:after="100"/>
      </w:pPr>
      <w:r>
        <w:t xml:space="preserve">Sin cambios de criterio en cinco años. Capitaliza el 30 % del gasto en desarrollo, en línea con el sector [1]. Los tres indicadores del motor no muestran señales de alarma.</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Factoring sin recurso</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120 M fuera del balance que mejoran el circulante [1].</w:t>
            </w:r>
          </w:p>
        </w:tc>
      </w:tr>
    </w:tbl>
    <w:p>
      <w:pPr>
        <w:spacing w:after="160" w:before="0"/>
      </w:pPr>
    </w:p>
    <w:p>
      <w:pPr>
        <w:pStyle w:val="Heading1"/>
      </w:pPr>
      <w:r>
        <w:t xml:space="preserve">10. Rentabilidad sobre el capital</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0,93x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1.788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1.907</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2.069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1,93x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0,96x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2.161</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2.205</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4" name="Gráfico 14" descr="ROIC y ROE frente al coste del capital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4"/>
              </a:graphicData>
            </a:graphic>
          </wp:inline>
        </w:drawing>
      </w:r>
    </w:p>
    <w:p>
      <w:pPr>
        <w:spacing w:after="100"/>
      </w:pPr>
      <w:r>
        <w:rPr>
          <w:b/>
          <w:bCs/>
        </w:rPr>
        <w:t xml:space="preserve">ROIC incremental</w:t>
      </w:r>
      <w:r>
        <w:t xml:space="preserve"> (variación del NOPAT sobre variación del capital invertido en el periodo): 19,3 % · </w:t>
      </w:r>
      <w:r>
        <w:rPr>
          <w:b/>
          <w:bCs/>
        </w:rPr>
        <w:t xml:space="preserve">WACC</w:t>
      </w:r>
      <w:r>
        <w:t xml:space="preserve">: 8,5 %.</w:t>
      </w:r>
    </w:p>
    <w:p>
      <w:pPr>
        <w:spacing w:after="100"/>
      </w:pPr>
      <w:r>
        <w:t xml:space="preserve">El ROIC supera al WACC todos los años desde 2016 y el diferencial se amplía con el peso de redes. El ROIC incremental confirma que el crecimiento reciente crea valor [1].</w:t>
      </w:r>
    </w:p>
    <w:p>
      <w:pPr>
        <w:pStyle w:val="Heading1"/>
      </w:pPr>
      <w:r>
        <w:t xml:space="preserve">11. Deuda y solvencia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 30 jun 2026</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550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45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595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Caja de 210 M y líneas comprometidas no dispuestas de 500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BBB (agencia ficticia), perspectiva estable [14]</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5" name="Gráfico 15" descr="Deuda neta / EBITDA al cierre de cada ejercicio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5"/>
              </a:graphicData>
            </a:graphic>
          </wp:inline>
        </w:drawing>
      </w:r>
    </w:p>
    <w:p>
      <w:pPr>
        <w:keepNext w:val="false"/>
        <w:spacing w:after="160" w:before="120"/>
        <w:jc w:val="center"/>
      </w:pPr>
      <w:r>
        <w:drawing>
          <wp:inline xmlns:wp="http://schemas.openxmlformats.org/drawingml/2006/wordprocessingDrawing" distT="0" distB="0" distL="0" distR="0">
            <wp:extent cx="5760000" cy="2160000"/>
            <wp:effectExtent l="0" t="0" r="0" b="0"/>
            <wp:docPr id="1016" name="Gráfico 16" descr="Vencimientos de la deuda brut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6"/>
              </a:graphicData>
            </a:graphic>
          </wp:inline>
        </w:drawing>
      </w:r>
    </w:p>
    <w:p>
      <w:pPr>
        <w:pStyle w:val="Heading2"/>
      </w:pPr>
      <w:r>
        <w:t xml:space="preserve">Covenants, pasivos fuera de la deuda y contingencias</w:t>
      </w:r>
    </w:p>
    <w:p>
      <w:pPr>
        <w:spacing w:after="100"/>
      </w:pPr>
      <w:r>
        <w:t xml:space="preserve">Covenant de DN/EBITDA &lt; 3,5x, con holgura amplia. Factoring sin recurso de 120 M, que conviene sumar a la deuda en una lectura prudente. Reclamación fiscal de 18 M en Brasil, provisionada al 50 % [1].</w:t>
      </w:r>
    </w:p>
    <w:p>
      <w:pPr>
        <w:pStyle w:val="Heading1"/>
      </w:pPr>
      <w:r>
        <w:t xml:space="preserve">12. Asignación de capital</w:t>
      </w:r>
    </w:p>
    <w:p>
      <w:pPr>
        <w:pStyle w:val="Confianza"/>
        <w:spacing w:after="100"/>
      </w:pPr>
      <w:r>
        <w:t xml:space="preserve">Confianza: Alta</w:t>
      </w:r>
    </w:p>
    <w:p>
      <w:pPr>
        <w:spacing w:after="100"/>
      </w:pPr>
      <w:r>
        <w:t xml:space="preserve">Reparte el 40-50 % del beneficio y tiene un programa de recompra de hasta 100 M. Prioridad declarada: crecimiento orgánico en redes y compras pequeñas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160,0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7" name="Gráfico 17" descr="Usos de la caj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7"/>
              </a:graphicData>
            </a:graphic>
          </wp:inline>
        </w:drawing>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
        <w:gridCol w:w="2141"/>
        <w:gridCol w:w="95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Cables especiales (Polonia)</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8,0x</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Deuda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Cumple el plan; sin deterioros [1].</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2021</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Software de red</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Caja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Integrada en redes [2].</w:t>
            </w:r>
          </w:p>
        </w:tc>
      </w:tr>
    </w:tbl>
    <w:p>
      <w:pPr>
        <w:spacing w:after="160" w:before="0"/>
      </w:pPr>
    </w:p>
    <w:p>
      <w:pPr>
        <w:spacing w:after="100"/>
      </w:pPr>
      <w:r>
        <w:t xml:space="preserve">Disciplina razonable: compras pequeñas a múltiplos moderados y recompras con el ROIC por encima del WACC [1][8].</w:t>
      </w:r>
    </w:p>
    <w:p>
      <w:r>
        <w:br w:type="page"/>
      </w:r>
    </w:p>
    <w:p>
      <w:pPr>
        <w:pStyle w:val="Parte"/>
      </w:pPr>
      <w:r>
        <w:t xml:space="preserve">Parte III — Equipo y gobierno</w:t>
      </w:r>
    </w:p>
    <w:p>
      <w:pPr>
        <w:pStyle w:val="Heading1"/>
      </w:pPr>
      <w:r>
        <w:t xml:space="preserve">13. Equipo directivo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Directora General (ficticia)</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0,15 %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Antes dirigió redes; con ella el margen EBITDA ha subido 160 pb [1].</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Director Financiero (ficticio)</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Director financiero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2021</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0,02 %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Viene de un grupo industrial cotizado [9].</w:t>
            </w:r>
          </w:p>
        </w:tc>
      </w:tr>
    </w:tbl>
    <w:p>
      <w:pPr>
        <w:spacing w:after="160" w:before="0"/>
      </w:pP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2023</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Crecer 5-7 %; margen ≥ 14,5 %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+6,2 %; 14,9 %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2024</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Crecer 5-7 %; margen ≥ 15 %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+4,8 %; 15,4 %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Parcial</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Crecer ~5 %; margen ≥ 15,5 %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+5,1 %; 15,9 %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spacing w:after="100"/>
      </w:pPr>
      <w:r>
        <w:t xml:space="preserve">Cumple o casi cumple sus guías desde 2023. Sucesión sin plan público [9].</w:t>
      </w:r>
    </w:p>
    <w:p>
      <w:pPr>
        <w:pStyle w:val="Heading1"/>
      </w:pPr>
      <w:r>
        <w:t xml:space="preserve">14. Gobierno corporativo</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57 %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8,6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 de 13</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8" name="Gráfico 18" descr="Composición del consejo (número de consejer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Nombramientos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Directora General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 familiar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2012</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Estrategia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Consejera independiente A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Coordinadora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2017</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 (presidenta)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 independiente B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Retribuciones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Consejera independiente C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2021</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Consejero independiente D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2023</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Nombramientos</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Consejeros independientes ≥ 50 % (≥ 33 % si hay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57 %</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Presidencia sin vínculo familiar ni profesional con el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Sin control</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no ejecutivo, o consejero coordinador independiente</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ejecutivo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Comisión de auditoría con mayoría de independientes y presidida por uno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Ningún consejero «otro externo» con más de 12 años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Ninguno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Estabilidad de la cúpula: como mucho un cambio de presidente o primer ejecutivo en 24 meses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 cambios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Peor voto en contra sobre remuneración (3 juntas) ≤ 20 %</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9,6 % en contra</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Variable a largo plazo ligado a rentabilidad (ROIC, TSR, FCF)</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Una acción, un voto, sin blindajes ni límites de voto estatutarios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Sin operaciones vinculadas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hay</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Auditor con 10 años o menos en el cargo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7 años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Opinión de auditoría sin salvedades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Favorable</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 compradores netos en 12 meses (o sin ventas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Compras 0,64 / ventas 0,00 M</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Cumple</w:t>
            </w:r>
          </w:p>
        </w:tc>
      </w:tr>
    </w:tbl>
    <w:p>
      <w:pPr>
        <w:spacing w:after="160" w:before="0"/>
      </w:pP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Familia fundadora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Familiar</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Estable</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Fondo de pensiones nórdico</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Sube desde el 3,0 % en 2025 [11]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Gestora estadounidense</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[11]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Autocartera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Autocartera</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recompras</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9" name="Gráfico 19" descr="Accionistas significativos (% del capi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9"/>
              </a:graphicData>
            </a:graphic>
          </wp:inline>
        </w:drawing>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12 mar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0,55</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5 ago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Consejero independiente B</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0,09</w:t>
            </w:r>
          </w:p>
        </w:tc>
      </w:tr>
    </w:tbl>
    <w:p>
      <w:pPr>
        <w:spacing w:after="160" w:before="0"/>
      </w:pP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Remuneración total del primer ejecutivo (2025)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0,90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0,80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0,70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88,2 %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El variable a largo plazo depende al 50 % del ROIC y al 50 % del rendimiento total frente al IBEX; tiene cláusula de recuperación [10].</w:t>
      </w:r>
    </w:p>
    <w:p>
      <w:pPr>
        <w:pStyle w:val="Heading2"/>
      </w:pPr>
      <w:r>
        <w:t xml:space="preserve">Operaciones vinculadas, estructura de control y defensas</w:t>
      </w:r>
    </w:p>
    <w:p>
      <w:pPr>
        <w:spacing w:after="100"/>
      </w:pPr>
      <w:r>
        <w:t xml:space="preserve">La familia fundadora tiene el 28 % sin pacto con otros accionistas. No hay operaciones vinculadas relevantes ni límites de voto [9].</w:t>
      </w:r>
    </w:p>
    <w:p>
      <w:pPr>
        <w:pStyle w:val="Heading2"/>
      </w:pPr>
      <w:r>
        <w:t xml:space="preserve">Señales de alerta</w:t>
      </w:r>
    </w:p>
    <w:p>
      <w:pPr>
        <w:pStyle w:val="ListParagraph"/>
        <w:numPr>
          <w:ilvl w:val="0"/>
          <w:numId w:val="2"/>
        </w:numPr>
        <w:spacing w:after="60"/>
      </w:pPr>
      <w:r>
        <w:t xml:space="preserve">Ninguna relevante detectada tras revisar IAGC, IARC y hechos relevantes [12][13].</w:t>
      </w:r>
    </w:p>
    <w:p>
      <w:r>
        <w:br w:type="page"/>
      </w:r>
    </w:p>
    <w:p>
      <w:pPr>
        <w:pStyle w:val="Parte"/>
      </w:pPr>
      <w:r>
        <w:t xml:space="preserve">Parte IV — Mercado y valoración</w:t>
      </w:r>
    </w:p>
    <w:p>
      <w:pPr>
        <w:pStyle w:val="Heading1"/>
      </w:pPr>
      <w:r>
        <w:t xml:space="preserve">15. Previsiones de la compañía y consenso</w:t>
      </w:r>
    </w:p>
    <w:p>
      <w:pPr>
        <w:pStyle w:val="Confianza"/>
        <w:spacing w:after="100"/>
      </w:pPr>
      <w:r>
        <w:t xml:space="preserve">Confianza: Media</w:t>
      </w:r>
    </w:p>
    <w:p>
      <w:pPr>
        <w:spacing w:after="100"/>
      </w:pPr>
      <w:r>
        <w:t xml:space="preserve">Para 2026: crecimiento del 6-8 % y margen EBITDA ≥ 16 %, elevado en julio de 2026 [4]. Plan 2028: margen del 17 %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0,72</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Consenso, 11 analistas [16]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0,78</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Consenso, 11 analistas [16]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0,85</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9 analistas [17]</w:t>
            </w:r>
          </w:p>
        </w:tc>
      </w:tr>
    </w:tbl>
    <w:p>
      <w:pPr>
        <w:spacing w:after="160" w:before="0"/>
      </w:pP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 / 4 / 1</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34,20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27,00 – 40,00</w:t>
            </w:r>
          </w:p>
        </w:tc>
      </w:tr>
    </w:tbl>
    <w:p>
      <w:pPr>
        <w:spacing w:after="160" w:before="0"/>
      </w:pPr>
    </w:p>
    <w:p>
      <w:pPr>
        <w:pStyle w:val="Heading2"/>
      </w:pPr>
      <w:r>
        <w:t xml:space="preserve">Revisiones de estimaciones</w:t>
      </w:r>
    </w:p>
    <w:p>
      <w:pPr>
        <w:spacing w:after="100"/>
      </w:pPr>
      <w:r>
        <w:t xml:space="preserve">El BPA de 2026 sube un 3 % en tres meses y un 7 % en doce, tras subir la guía de margen [16][17].</w:t>
      </w:r>
    </w:p>
    <w:p>
      <w:pPr>
        <w:pStyle w:val="Heading1"/>
      </w:pPr>
      <w:r>
        <w:t xml:space="preserve">16. Comportamiento en bolsa</w:t>
      </w:r>
    </w:p>
    <w:p>
      <w:pPr>
        <w:pStyle w:val="Confianza"/>
        <w:spacing w:after="100"/>
      </w:pPr>
      <w:r>
        <w:t xml:space="preserve">Confianza: Media</w:t>
      </w:r>
    </w:p>
    <w:p>
      <w:pPr>
        <w:pStyle w:val="Nota"/>
        <w:spacing w:after="100"/>
      </w:pPr>
      <w:r>
        <w:t xml:space="preserve">Rentabilidad total (con dividendos).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En el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+22,0 %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+24,5 %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5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10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+9,1 %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0" name="Gráfico 20" descr="Rentabilidad total por año: acción frente a su índic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0"/>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1,08</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-38,0 %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0,6 %</w:t>
            </w:r>
          </w:p>
        </w:tc>
      </w:tr>
    </w:tbl>
    <w:p>
      <w:pPr>
        <w:spacing w:after="160" w:before="0"/>
      </w:pPr>
    </w:p>
    <w:p>
      <w:pPr>
        <w:spacing w:after="100"/>
      </w:pPr>
      <w:r>
        <w:t xml:space="preserve">Supera al índice en el último año por la mejora de márgenes, pero se queda por detrás del sector, que se ha beneficiado más del ciclo de redes [15].</w:t>
      </w:r>
    </w:p>
    <w:p>
      <w:pPr>
        <w:pStyle w:val="Heading1"/>
      </w:pPr>
      <w:r>
        <w:t xml:space="preserve">17. Múltiplos frente a su historia</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21" name="Gráfico 21" descr="EV/EBITDA últimos 12 meses (cierre de cada año): historia y mediana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1"/>
              </a:graphicData>
            </a:graphic>
          </wp:inline>
        </w:drawing>
      </w:r>
    </w:p>
    <w:p>
      <w:pPr>
        <w:spacing w:after="100"/>
      </w:pPr>
      <w:r>
        <w:t xml:space="preserve">Cotiza por encima de su media de diez años; la prima se explica por el mayor peso de redes, más estable [18].</w:t>
      </w:r>
    </w:p>
    <w:p>
      <w:pPr>
        <w:pStyle w:val="Heading1"/>
      </w:pPr>
      <w:r>
        <w:t xml:space="preserve">18. Comparables cotizados</w:t>
      </w:r>
    </w:p>
    <w:p>
      <w:pPr>
        <w:pStyle w:val="Confianza"/>
        <w:spacing w:after="100"/>
      </w:pPr>
      <w:r>
        <w:t xml:space="preserve">Confianza: Media</w:t>
      </w:r>
    </w:p>
    <w:p>
      <w:pPr>
        <w:spacing w:after="100"/>
      </w:pPr>
      <w:r>
        <w:t xml:space="preserve">Fabricantes europeos cotizados de equipos de distribución eléctrica con más de 1.000 M de ingresos. Se excluyen los conglomerados con menos del 40 % del negocio en distribución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Compañía Ejemplo</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5.024</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Grupo Alfa</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 Energy</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Gamma Systems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CH</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Delta Cables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IT</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Epsilon Grid</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Zeta Power</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NL</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5,3 %</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Mediana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Percentil 25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Percentil 75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13,7x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18,2 %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14,6 %</w:t>
            </w:r>
          </w:p>
        </w:tc>
      </w:tr>
    </w:tbl>
    <w:p>
      <w:pPr>
        <w:spacing w:after="160" w:before="0"/>
      </w:pP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 / 10,9x / 12,5x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33,03</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38,26</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 / 11,9x / 13,7x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38,02</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 / 19,8x / 22,1x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38,77</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EV/Ventas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3.050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1,3x / 1,8x / 2,3x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20,84</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29,42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39,43</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-6,3 %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22" name="Gráfico 22" descr="EV/EBITDA de los próximos 12 meses: empresa y comparables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2"/>
              </a:graphicData>
            </a:graphic>
          </wp:inline>
        </w:drawing>
      </w:r>
    </w:p>
    <w:p>
      <w:pPr>
        <w:keepNext w:val="false"/>
        <w:spacing w:after="160" w:before="120"/>
        <w:jc w:val="center"/>
      </w:pPr>
      <w:r>
        <w:drawing>
          <wp:inline xmlns:wp="http://schemas.openxmlformats.org/drawingml/2006/wordprocessingDrawing" distT="0" distB="0" distL="0" distR="0">
            <wp:extent cx="5760000" cy="3060000"/>
            <wp:effectExtent l="0" t="0" r="0" b="0"/>
            <wp:docPr id="1023" name="Gráfico 23" descr="Crecimiento esperado frente a múltiplo"/>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3"/>
              </a:graphicData>
            </a:graphic>
          </wp:inline>
        </w:drawing>
      </w:r>
    </w:p>
    <w:p>
      <w:pPr>
        <w:spacing w:after="100"/>
      </w:pPr>
      <w:r>
        <w:rPr>
          <w:b/>
        </w:rPr>
        <w:t xml:space="preserve">Regresión EV/EBITDA NTM sobre crecimiento</w:t>
      </w:r>
      <w:r>
        <w:t xml:space="preserve"> (6 comparables): múltiplo = 4,4 + 1,05 × crecimiento; R² = 0,97. Para el crecimiento esperado de la empresa (6,6 %), el múltiplo ajustado es 11,4x y el valor por acción, 34,55.</w:t>
      </w:r>
    </w:p>
    <w:p>
      <w:pPr>
        <w:spacing w:after="100"/>
      </w:pPr>
      <w:r>
        <w:t xml:space="preserve">Ejemplo cotiza en la mitad baja del rango, coherente con un crecimiento y un ROIC por debajo de los líderes. La regresión sobre el crecimiento explica bien el múltiplo [15].</w:t>
      </w:r>
    </w:p>
    <w:p>
      <w:pPr>
        <w:pStyle w:val="Heading1"/>
      </w:pPr>
      <w:r>
        <w:t xml:space="preserve">19. Transacciones precedentes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2025-11</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Fabricante nórdico de aparamenta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Grupo Alfa</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1.450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estratégica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2025-03</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Delta Transformers</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Fondo de capital privado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OPA con exclusión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2024-06</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Cables industriales (Portugal)</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Beta Energy</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a un fondo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2023-09</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Especialista en sensores de red</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Gamma Systems</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Tecnología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2022-05</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Cables especiales (Polonia)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Compra propia [1].</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10,5x (9,2x – 12,8x)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por acción implícito (mediana de EV/EBITDA)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28,22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24,24 – 35,26</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4" name="Gráfico 24" descr="EV/EBITDA pagado en transacciones del sector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4"/>
              </a:graphicData>
            </a:graphic>
          </wp:inline>
        </w:drawing>
      </w:r>
    </w:p>
    <w:p>
      <w:pPr>
        <w:spacing w:after="100"/>
      </w:pPr>
      <w:r>
        <w:t xml:space="preserve">Las compras de equipos de red se pagan a 9-13x EBITDA. Con la familia en el 28 %, una OPA hostil no es probable [9][23].</w:t>
      </w:r>
    </w:p>
    <w:p>
      <w:pPr>
        <w:pStyle w:val="Heading1"/>
      </w:pPr>
      <w:r>
        <w:t xml:space="preserve">20. Descuento de flujos de caja (DCF)</w:t>
      </w:r>
    </w:p>
    <w:p>
      <w:pPr>
        <w:pStyle w:val="Confianza"/>
        <w:spacing w:after="100"/>
      </w:pPr>
      <w:r>
        <w:t xml:space="preserve">Confianza: Media</w:t>
      </w:r>
    </w:p>
    <w:p>
      <w:pPr>
        <w:pStyle w:val="Heading2"/>
      </w:pPr>
      <w:r>
        <w:t xml:space="preserve">Supuestos y su justificación</w:t>
      </w:r>
    </w:p>
    <w:p>
      <w:pPr>
        <w:keepNext/>
        <w:spacing w:after="100"/>
      </w:pPr>
      <w:r>
        <w:rPr>
          <w:b/>
          <w:bCs/>
        </w:rPr>
        <w:t xml:space="preserve">Crecimiento de ingresos.</w:t>
      </w:r>
    </w:p>
    <w:p>
      <w:pPr>
        <w:spacing w:after="100"/>
      </w:pPr>
      <w:r>
        <w:t xml:space="preserve">Seguimos el consenso en 2026-2028 (6-7 %) y convergemos al 3 % en 2032, por debajo del crecimiento previsto del mercado (7,3 %) [16][19].</w:t>
      </w:r>
    </w:p>
    <w:p>
      <w:pPr>
        <w:keepNext/>
        <w:spacing w:after="100"/>
      </w:pPr>
      <w:r>
        <w:rPr>
          <w:b/>
          <w:bCs/>
        </w:rPr>
        <w:t xml:space="preserve">Márgenes.</w:t>
      </w:r>
    </w:p>
    <w:p>
      <w:pPr>
        <w:spacing w:after="100"/>
      </w:pPr>
      <w:r>
        <w:t xml:space="preserve">El margen sube hasta el 16,8 %, por debajo del objetivo del plan (17 %) [8], por la presión en transformadores [26].</w:t>
      </w:r>
    </w:p>
    <w:p>
      <w:pPr>
        <w:keepNext/>
        <w:spacing w:after="100"/>
      </w:pPr>
      <w:r>
        <w:rPr>
          <w:b/>
          <w:bCs/>
        </w:rPr>
        <w:t xml:space="preserve">Inversión y circulante.</w:t>
      </w:r>
    </w:p>
    <w:p>
      <w:pPr>
        <w:spacing w:after="100"/>
      </w:pPr>
      <w:r>
        <w:t xml:space="preserve">Capex del 5 % por el plan de capacidad hasta 2028 y del 4,5 % después, por encima de la amortización (4,3 %) [8].</w:t>
      </w:r>
    </w:p>
    <w:p>
      <w:pPr>
        <w:keepNext/>
        <w:spacing w:after="100"/>
      </w:pPr>
      <w:r>
        <w:rPr>
          <w:b/>
          <w:bCs/>
        </w:rPr>
        <w:t xml:space="preserve">Coste del capital.</w:t>
      </w:r>
    </w:p>
    <w:p>
      <w:pPr>
        <w:spacing w:after="100"/>
      </w:pPr>
      <w:r>
        <w:t xml:space="preserve">Bono español a 10 años del 3,2 % [15], beta ajustada de 1,05 y prima de mercado del 5,5 %, más 0,5 puntos por tamaño [15].</w:t>
      </w:r>
    </w:p>
    <w:p>
      <w:pPr>
        <w:keepNext/>
        <w:spacing w:after="100"/>
      </w:pPr>
      <w:r>
        <w:rPr>
          <w:b/>
          <w:bCs/>
        </w:rPr>
        <w:t xml:space="preserve">Valor terminal.</w:t>
      </w:r>
    </w:p>
    <w:p>
      <w:pPr>
        <w:spacing w:after="100"/>
      </w:pPr>
      <w:r>
        <w:t xml:space="preserve">Crecimiento a perpetuidad del 2 %, en línea con la inflación a largo plazo; el múltiplo implícito se compara con los comparables [15].</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Tasa libre de riesgo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de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adicional (país, tamaño, específica)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los fondos propios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9,48 %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antes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 impositivo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después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 la deuda (D / (D + E))</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WACC</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8,46 %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implícita del mercado (regla relativa)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WACC con la prima implícita del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7,39 %</w:t>
            </w:r>
          </w:p>
        </w:tc>
      </w:tr>
    </w:tbl>
    <w:p>
      <w:pPr>
        <w:spacing w:after="160" w:before="0"/>
      </w:pP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0,24</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2028e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3.547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2029e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254</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2030e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3.880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2031e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243</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2032e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4.137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695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233</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drawing>
          <wp:inline xmlns:wp="http://schemas.openxmlformats.org/drawingml/2006/wordprocessingDrawing" distT="0" distB="0" distL="0" distR="0">
            <wp:extent cx="5760000" cy="2160000"/>
            <wp:effectExtent l="0" t="0" r="0" b="0"/>
            <wp:docPr id="1025" name="Gráfico 25" descr="Flujo de caja libre para la empresa proyectad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5"/>
              </a:graphicData>
            </a:graphic>
          </wp:inline>
        </w:drawing>
      </w:r>
    </w:p>
    <w:p>
      <w:pPr>
        <w:pStyle w:val="Heading2"/>
      </w:pPr>
      <w:r>
        <w:t xml:space="preserve">Etapa de transición (DCF en tres etapas)</w:t>
      </w:r>
    </w:p>
    <w:p>
      <w:pPr>
        <w:spacing w:after="100"/>
      </w:pPr>
      <w:r>
        <w:t xml:space="preserve">Con la etapa de transición de 5 años el DCF da 28,08 por acción; sin ella (crecimiento terminal desde 2032e), 27,61.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1"/>
        <w:gridCol w:w="1376"/>
        <w:gridCol w:w="1101"/>
        <w:gridCol w:w="1239"/>
        <w:gridCol w:w="1239"/>
        <w:gridCol w:w="1239"/>
        <w:gridCol w:w="1101"/>
        <w:gridCol w:w="1242"/>
      </w:tblGrid>
      <w:tr>
        <w:trPr>
          <w:cantSplit/>
          <w:tblHeader/>
        </w:trPr>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13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Factor</w:t>
            </w:r>
          </w:p>
        </w:tc>
        <w:tc>
          <w:tcPr>
            <w:tcW w:type="dxa" w:w="12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2033e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4.252</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0,579</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215</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2034e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4.363</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195</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384</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0,534</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2035e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4.468</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199</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395</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0,492</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2036e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4.566</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406</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0,454</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2037e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4.657</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206</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416</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0,418</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174</w:t>
            </w:r>
          </w:p>
        </w:tc>
      </w:tr>
    </w:tbl>
    <w:p>
      <w:pPr>
        <w:spacing w:after="160" w:before="0"/>
      </w:pPr>
    </w:p>
    <w:p>
      <w:pPr>
        <w:pStyle w:val="Nota"/>
        <w:spacing w:after="100"/>
      </w:pPr>
      <w:r>
        <w:t xml:space="preserve">Entre la proyección explícita y el valor terminal, el crecimiento baja en línea recta hasta el terminal; el margen y los ratios son los del último año explícito, y la inversión neta (capex − amortización) se reduce en proporción al crecimiento.</w:t>
      </w:r>
    </w:p>
    <w:p>
      <w:pPr>
        <w:keepNext/>
        <w:spacing w:after="100"/>
      </w:pPr>
      <w:r>
        <w:rPr>
          <w:b/>
          <w:bCs/>
        </w:rPr>
        <w:t xml:space="preserve">Por qué el crecimiento dura más allá de la proyección.</w:t>
      </w:r>
    </w:p>
    <w:p>
      <w:pPr>
        <w:spacing w:after="100"/>
      </w:pPr>
      <w:r>
        <w:t xml:space="preserve">Las redes de distribución tienen inversión regulada comprometida hasta 2037 y la empresa solo cubre el 9 % del mercado europeo: el crecimiento de esa división dura más que la proyección explícita, aunque a un ritmo que converge con el de la inflación [19].</w:t>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Método principal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Crecimiento a perpetuidad</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 perpetuidad</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EV/EBITDA de salida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6.575</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7.824</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de salida implícito en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implícito en el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2,98 %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en el 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52 %</w:t>
            </w:r>
          </w:p>
        </w:tc>
      </w:tr>
    </w:tbl>
    <w:p>
      <w:pPr>
        <w:spacing w:after="160" w:before="0"/>
      </w:pP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los flujos proyectados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la etapa de transición (5 años)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del valor terminal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2.640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5.122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Deuda financiera neta (con arrendamientos)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Minoritarios, pensiones y otros; + asociadas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de los fondos propios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4.492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Acciones diluidas (millones)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por acción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28,08</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6" name="Gráfico 26" descr="De dónde sale el valor empresa del DCF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6"/>
              </a:graphicData>
            </a:graphic>
          </wp:inline>
        </w:drawing>
      </w:r>
    </w:p>
    <w:p>
      <w:pPr>
        <w:pStyle w:val="Heading2"/>
      </w:pPr>
      <w:r>
        <w:t xml:space="preserve">Sensibilidad: WACC × Crecimiento a perpetuidad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1,5 %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2,5 %</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3,0 %</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7,5 %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34,03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36,34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39,17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29,25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32,63</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34,84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29,56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31,30</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9,0 %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24,70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28,37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9,5 %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22,86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23,74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24,73</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25,88</w:t>
            </w:r>
          </w:p>
        </w:tc>
      </w:tr>
    </w:tbl>
    <w:p>
      <w:pPr>
        <w:spacing w:after="160" w:before="0"/>
      </w:pP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0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21,83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23,66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27,07</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0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29,98</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31,97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26,66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28,79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32,89</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35,07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29,07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31,36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33,55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35,80</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38,17</w:t>
            </w:r>
          </w:p>
        </w:tc>
      </w:tr>
    </w:tbl>
    <w:p>
      <w:pPr>
        <w:spacing w:after="160" w:before="0"/>
      </w:pP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implícito en el precio (2027e-2032e)</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6,3 % (base: 4,6 %)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18,0 % (base: 16,8 %)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7,9 % (WACC: 8,5 %)</w:t>
            </w:r>
          </w:p>
        </w:tc>
      </w:tr>
    </w:tbl>
    <w:p>
      <w:pPr>
        <w:spacing w:after="160" w:before="0"/>
      </w:pPr>
    </w:p>
    <w:p>
      <w:pPr>
        <w:spacing w:after="100"/>
      </w:pPr>
      <w:r>
        <w:t xml:space="preserve">El DCF base da un valor cercano al precio actual; el valor terminal pesa en torno al 70 %. El DCF inverso dice que el mercado descuenta un crecimiento similar al de nuestra proyección: no hay margen de seguridad sin una mejora adicional del margen [16].</w:t>
      </w:r>
    </w:p>
    <w:p>
      <w:pPr>
        <w:pStyle w:val="Heading1"/>
      </w:pPr>
      <w:r>
        <w:t xml:space="preserve">21. Escenarios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16,57</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-47,2 %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Automoción sigue cayendo y la competencia asiática recorta el margen de transformadores, como le pasó a Delta Cables en 2023 [26].</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Base</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Redes crece según la cartera y automoción se estabiliza en 2027 [4].</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Alcista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8,2 %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36,55</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+16,4 %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Contratos en Norteamérica y margen de redes al 19 % [8].</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7" name="Gráfico 27" descr="Valor por acción por escenari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7"/>
              </a:graphicData>
            </a:graphic>
          </wp:inline>
        </w:drawing>
      </w:r>
    </w:p>
    <w:p>
      <w:pPr>
        <w:spacing w:after="100"/>
      </w:pPr>
      <w:r>
        <w:rPr>
          <w:b/>
          <w:bCs/>
        </w:rPr>
        <w:t xml:space="preserve">Valor ponderado por probabilidad:</w:t>
      </w:r>
      <w:r>
        <w:t xml:space="preserve"> 26,90 EUR (-14,3 %).</w:t>
      </w:r>
    </w:p>
    <w:p>
      <w:pPr>
        <w:spacing w:after="100"/>
      </w:pPr>
      <w:r>
        <w:t xml:space="preserve">La asimetría es desfavorable: el bajista pierde más de lo que gana el alcista [16].</w:t>
      </w:r>
    </w:p>
    <w:p>
      <w:pPr>
        <w:pStyle w:val="Heading1"/>
      </w:pPr>
      <w:r>
        <w:t xml:space="preserve">22. Suma de partes</w:t>
      </w:r>
    </w:p>
    <w:p>
      <w:pPr>
        <w:pStyle w:val="Confianza"/>
        <w:spacing w:after="100"/>
      </w:pPr>
      <w:r>
        <w:t xml:space="preserve">Confianza: Media</w:t>
      </w:r>
    </w:p>
    <w:p>
      <w:pPr>
        <w:spacing w:after="100"/>
      </w:pPr>
      <w:r>
        <w:t xml:space="preserve">Tres negocios con perfiles muy distintos: la suma de partes muestra cuánto vale redes por separado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640"/>
        <w:gridCol w:w="1025"/>
        <w:gridCol w:w="820"/>
        <w:gridCol w:w="1025"/>
        <w:gridCol w:w="3078"/>
      </w:tblGrid>
      <w:tr>
        <w:trPr>
          <w:cantSplit/>
          <w:tblHeader/>
        </w:trPr>
        <w:tc>
          <w:tcPr>
            <w:tcW w:type="dxa" w:w="20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Negocio</w:t>
            </w:r>
          </w:p>
        </w:tc>
        <w:tc>
          <w:tcPr>
            <w:tcW w:type="dxa" w:w="16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Métrica</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de la métrica</w:t>
            </w:r>
          </w:p>
        </w:tc>
        <w:tc>
          <w:tcPr>
            <w:tcW w:type="dxa" w:w="8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empresa</w:t>
            </w:r>
          </w:p>
        </w:tc>
        <w:tc>
          <w:tcPr>
            <w:tcW w:type="dxa" w:w="30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 del múltiplo</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4.125</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Mediana de comparables puros de redes [15].</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255</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2.423</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Fabricantes industriales diversificados [15].</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92</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552</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Proveedores de automoción europeos [15].</w:t>
            </w:r>
          </w:p>
        </w:tc>
      </w:tr>
    </w:tbl>
    <w:p>
      <w:pPr>
        <w:spacing w:after="160" w:before="0"/>
      </w:pPr>
    </w:p>
    <w:p>
      <w:pPr>
        <w:spacing w:after="100"/>
      </w:pPr>
      <w:r>
        <w:rPr>
          <w:b/>
          <w:bCs/>
        </w:rPr>
        <w:t xml:space="preserve">Valor por acción por suma de partes:</w:t>
      </w:r>
      <w:r>
        <w:t xml:space="preserve"> 40,44 (+28,8 %); con ±1x en los múltiplos, 33,78 – 47,09.</w:t>
      </w:r>
    </w:p>
    <w:p>
      <w:pPr>
        <w:pStyle w:val="Heading1"/>
      </w:pPr>
      <w:r>
        <w:t xml:space="preserve">23. Síntesis de valoración</w:t>
      </w:r>
    </w:p>
    <w:p>
      <w:pPr>
        <w:pStyle w:val="Confianza"/>
        <w:spacing w:after="100"/>
      </w:pPr>
      <w:r>
        <w:t xml:space="preserve">Confianza: Media</w:t>
      </w:r>
    </w:p>
    <w:p>
      <w:pPr>
        <w:keepNext w:val="false"/>
        <w:spacing w:after="160" w:before="120"/>
        <w:jc w:val="center"/>
      </w:pPr>
      <w:r>
        <w:drawing>
          <wp:inline xmlns:wp="http://schemas.openxmlformats.org/drawingml/2006/wordprocessingDrawing" distT="0" distB="0" distL="0" distR="0">
            <wp:extent cx="5760000" cy="2880000"/>
            <wp:effectExtent l="0" t="0" r="0" b="0"/>
            <wp:docPr id="1028" name="Gráfico 28" descr="Valor por acción según cada métod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Cotización 52 semanas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33,90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objetivo de los analistas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34,20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EV/EBITDA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33,03</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PER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38,77</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 (EV/EBITDA)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35,26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(WACC y g ± 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24,70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32,63</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Escenarios (bajista – alcista)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36,55</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33,78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47,09</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con la prima del mercado</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34,53</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38,53</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actual</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31,56</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26,90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r>
    </w:tbl>
    <w:p>
      <w:pPr>
        <w:spacing w:after="160" w:before="0"/>
      </w:pPr>
    </w:p>
    <w:p>
      <w:pPr>
        <w:spacing w:after="100"/>
      </w:pPr>
      <w:r>
        <w:rPr>
          <w:b/>
          <w:bCs/>
        </w:rPr>
        <w:t xml:space="preserve">Valor objetivo ponderado:</w:t>
      </w:r>
      <w:r>
        <w:t xml:space="preserve"> 31,05 EUR (-1,1 % sobre 31,40).</w:t>
      </w:r>
    </w:p>
    <w:p>
      <w:pPr>
        <w:spacing w:after="100"/>
      </w:pPr>
      <w:r>
        <w:t xml:space="preserve">El DCF pesa la mitad porque el negocio es predecible y regulado en redes. Las transacciones pesan poco: con la familia en el 28 %, una operación de control no es probable [9].</w:t>
      </w:r>
    </w:p>
    <w:p>
      <w:r>
        <w:br w:type="page"/>
      </w:r>
    </w:p>
    <w:p>
      <w:pPr>
        <w:pStyle w:val="Parte"/>
      </w:pPr>
      <w:r>
        <w:t xml:space="preserve">Parte V — Tesis, riesgos y seguimiento</w:t>
      </w:r>
    </w:p>
    <w:p>
      <w:pPr>
        <w:pStyle w:val="Heading1"/>
      </w:pPr>
      <w:r>
        <w:t xml:space="preserve">24. Catalizadores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29 oct 2026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del tercer trimestre</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Confirmar la cartera de redes y la guía</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1S 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Día del inversor</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para automoción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Revisión regulatoria de redes</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Inversión de las distribuidoras</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Vencimiento del bono de 300 M</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Coste de la refinanciación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r>
    </w:tbl>
    <w:p>
      <w:pPr>
        <w:spacing w:after="160" w:before="0"/>
      </w:pPr>
    </w:p>
    <w:p>
      <w:pPr>
        <w:pStyle w:val="Heading1"/>
      </w:pPr>
      <w:r>
        <w:t xml:space="preserve">25. Riesgos y pre-mortem</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Competencia asiática en transformadores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Competencia</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−12 %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y servicio local</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Concursos ganados &lt; 45 %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Caída prolongada de automoción</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Negocio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−8 %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Peso decreciente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Pedidos &lt; −10 %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del cobre</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Materias primas</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Cláusulas en el 45 % de redes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Cobre &gt; 11.000 USD/t</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Retrasos en la inversión de redes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Regulatorio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Marco regulado hasta 2030</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Revisión de la tasa de retribución</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Ejecución del plan de capacidad</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Ejecución</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Inversión por fases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Retrasos o sobrecostes &gt; 10 %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Sucesión de la consejera delegada</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Equipo directivo estable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Salidas en la alta dirección</w:t>
            </w:r>
          </w:p>
        </w:tc>
      </w:tr>
    </w:tbl>
    <w:p>
      <w:pPr>
        <w:spacing w:after="160" w:before="0"/>
      </w:pPr>
    </w:p>
    <w:p>
      <w:pPr>
        <w:pStyle w:val="Heading2"/>
      </w:pPr>
      <w:r>
        <w:t xml:space="preserve">Pre-mortem</w:t>
      </w:r>
    </w:p>
    <w:p>
      <w:pPr>
        <w:spacing w:after="100"/>
      </w:pPr>
      <w:r>
        <w:t xml:space="preserve">Es 2029 y la acción ha caído un 40 %. Los fabricantes asiáticos ganaron tres concursos grandes en 2027 y el margen de transformadores cayó 4 puntos. Al mismo tiempo, automoción perdió otro 15 % de volumen y la empresa tardó en cerrar capacidad. El mercado dejó de pagar la prima de redes. La señal estaba en la tasa de concursos ganados, que ya bajaba en 2026 [6][26].</w:t>
      </w:r>
    </w:p>
    <w:p>
      <w:pPr>
        <w:pStyle w:val="Heading1"/>
      </w:pPr>
      <w:r>
        <w:t xml:space="preserve">26. ESG y controversias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Proveedor ESG A</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2026-03</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Proveedor ESG B</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 bajo (17,2)</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2026-05</w:t>
            </w:r>
          </w:p>
        </w:tc>
      </w:tr>
    </w:tbl>
    <w:p>
      <w:pPr>
        <w:spacing w:after="160" w:before="0"/>
      </w:pPr>
    </w:p>
    <w:p>
      <w:pPr>
        <w:pStyle w:val="Heading2"/>
      </w:pPr>
      <w:r>
        <w:t xml:space="preserve">Asuntos materiales</w:t>
      </w:r>
    </w:p>
    <w:p>
      <w:pPr>
        <w:spacing w:after="100"/>
      </w:pPr>
      <w:r>
        <w:t xml:space="preserve">El 38 % de los ingresos es elegible en la taxonomía europea por su papel en la electrificación [1]. El consumo energético de las fundiciones expone a la empresa al precio del CO₂ [24].</w:t>
      </w:r>
    </w:p>
    <w:p>
      <w:pPr>
        <w:pStyle w:val="Heading2"/>
      </w:pPr>
      <w:r>
        <w:t xml:space="preserve">Controversias</w:t>
      </w:r>
    </w:p>
    <w:p>
      <w:pPr>
        <w:spacing w:after="100"/>
      </w:pPr>
      <w:r>
        <w:t xml:space="preserve">Sin controversias relevantes en los últimos tres años [24].</w:t>
      </w:r>
    </w:p>
    <w:p>
      <w:pPr>
        <w:pStyle w:val="Heading1"/>
      </w:pPr>
      <w:r>
        <w:t xml:space="preserve">27. Preguntas abiertas para la dirección y la due diligence</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Automoción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capacidad se cerrará y con qué coste?</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Decide si el segmento deja de destruir valor [6].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Transformadores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¿Cuál es el diferencial de precio frente a los fabricantes asiáticos en los últimos concursos?</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 el riesgo principal del margen [26].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Capital</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ROIC se exige al plan de capacidad?</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Son 450 M de capex hasta 2028 [8].</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Factoring</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 mantendrá el factoring sin recurso?</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Son 120 M fuera de la deuda [1].</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Sucesión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¿Hay un plan de sucesión para la consejera delegada?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es público [9].</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Norteamérica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¿Qué cartera tiene en Norteamérica y con qué margen?</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 la palanca del escenario alcista [25].</w:t>
            </w:r>
          </w:p>
        </w:tc>
      </w:tr>
    </w:tbl>
    <w:p>
      <w:pPr>
        <w:spacing w:after="160" w:before="0"/>
      </w:pPr>
    </w:p>
    <w:p>
      <w:r>
        <w:br w:type="page"/>
      </w:r>
    </w:p>
    <w:p>
      <w:pPr>
        <w:pStyle w:val="Parte"/>
      </w:pPr>
      <w:r>
        <w:t xml:space="preserve">Anexos</w:t>
      </w:r>
    </w:p>
    <w:p>
      <w:pPr>
        <w:pStyle w:val="Heading1"/>
      </w:pPr>
      <w:r>
        <w:t xml:space="preserve">A. Controles de calidad del análisis</w:t>
      </w:r>
    </w:p>
    <w:p>
      <w:pPr>
        <w:spacing w:after="100"/>
      </w:pPr>
      <w:r>
        <w:t xml:space="preserve">14 de 15 controles correctos y 1 explicados. Fuentes: 26 (15 primarias); citas distintas en el texto: 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Geografías suman 100 %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inverso calculable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Circulante del primer año de proyección ≈ último real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Supuesto 20,4 % frente a 20,4 % real: genera una variación de circulante de 40 M en el primer año. Converge de forma gradual.</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 80 % del valor empresa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52 %.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Etapa de transición justificada (ROIC ≥ WACC + 5 puntos)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Explicado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ROIC 11,8 % frente a WACC 8,5 %: crecer apenas crea valor; la etapa de transición infla el DCF sin base. Explicación: El ROIC del grupo (11,8 %) se queda corto, pero el de redes, que es lo que sigue creciendo, supera el 20 % con retribución regulada; la etapa solo añade un 2 % al DCF.</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a perpetuidad ≤ 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Probabilidades de los escenarios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5 comparables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comparables.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Pesos de la síntesis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coherente con la regla de decisión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Capitalización calculada ≈ publicada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25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fuentes (15 primarias).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10 fuentes primarias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Toda cita [n] existe en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Fuentes sin citar ≤ 15 %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Primaria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Datos de mercado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Sectorial</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Analistas</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Prensa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w:t>
            </w:r>
          </w:p>
        </w:tc>
      </w:tr>
    </w:tbl>
    <w:p>
      <w:pPr>
        <w:spacing w:after="160" w:before="0"/>
      </w:pP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 de la remuneración del primer ejecutivo sobre el salario medio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Informe de remuneraciones 2025: no lo publica; 2) informe de sostenibilidad (EINF): da el salario medio pero no el ratio; 3) búsqueda en prensa económica: sin resultados. Calculado a partir de 1) y 2).</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bl>
    <w:p>
      <w:pPr>
        <w:spacing w:after="160" w:before="0"/>
      </w:pP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Informe anual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Informe anual 2024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27 feb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2023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feb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Resultados 1S 2026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Presentación de resultados 1S 2026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Conferencia con analistas 1S 2026, transcripción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Conferencia con analistas 1T 2026, transcripción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estratégico 2025-2028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mar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gobierno corporativo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remuneraciones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Participaciones significativas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Operaciones de directivos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Posiciones cortas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de rating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Agencia de rating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Cotización e históricos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de mercado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de mercado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Múltiplos históricos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Estudio del mercado europeo de distribución eléctrica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Asociación 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Previsión de inversión en redes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Organismo europeo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 nov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de Grupo Alfa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Grupo Alfa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de Beta Energy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Beta Energy</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Base de operaciones corporativas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Calificaciones ESG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ESG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inicio de cobertura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Banco de inversión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Analistas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Artículo sobre la entrada de fabricantes asiáticos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 económica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18 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97,2 %</w:t>
      </w:r>
      <w:r>
        <w:t xml:space="preserve"> · Secciones con menos del 60 % de campos cubiertos: </w:t>
      </w:r>
      <w:r>
        <w:rPr>
          <w:b/>
          <w:bCs/>
        </w:rPr>
        <w:t xml:space="preserve">ninguna</w:t>
      </w:r>
      <w:r>
        <w:t xml:space="preserve"> · Generado el 7 oct 2026.</w:t>
      </w:r>
    </w:p>
    <w:p>
      <w:pPr>
        <w:pStyle w:val="Nota"/>
        <w:spacing w:after="100"/>
      </w:pPr>
      <w:r>
        <w:t xml:space="preserve">EJEMPLO FICTICIO para probar la plantilla y el motor: la empresa, las personas y todas las cifras son inventadas.</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6 oct 2026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Compañía Ejemplo, S.A. (EJM)</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e3tjYWxjLnNpbnRlc2lzLmZvcm1hdG9fZWplfX0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 Id="rIdGrafico1" Type="http://schemas.openxmlformats.org/officeDocument/2006/relationships/chart" Target="charts/chart1.xml"/><Relationship Id="rIdGrafico2" Type="http://schemas.openxmlformats.org/officeDocument/2006/relationships/chart" Target="charts/chart2.xml"/><Relationship Id="rIdGrafico3" Type="http://schemas.openxmlformats.org/officeDocument/2006/relationships/chart" Target="charts/chart3.xml"/><Relationship Id="rIdGrafico4" Type="http://schemas.openxmlformats.org/officeDocument/2006/relationships/chart" Target="charts/chart4.xml"/><Relationship Id="rIdGrafico5" Type="http://schemas.openxmlformats.org/officeDocument/2006/relationships/chart" Target="charts/chart5.xml"/><Relationship Id="rIdGrafico6" Type="http://schemas.openxmlformats.org/officeDocument/2006/relationships/chart" Target="charts/chart6.xml"/><Relationship Id="rIdGrafico7" Type="http://schemas.openxmlformats.org/officeDocument/2006/relationships/chart" Target="charts/chart7.xml"/><Relationship Id="rIdGrafico8" Type="http://schemas.openxmlformats.org/officeDocument/2006/relationships/chart" Target="charts/chart8.xml"/><Relationship Id="rIdGrafico9" Type="http://schemas.openxmlformats.org/officeDocument/2006/relationships/chart" Target="charts/chart9.xml"/><Relationship Id="rIdGrafico10" Type="http://schemas.openxmlformats.org/officeDocument/2006/relationships/chart" Target="charts/chart10.xml"/><Relationship Id="rIdGrafico11" Type="http://schemas.openxmlformats.org/officeDocument/2006/relationships/chart" Target="charts/chart11.xml"/><Relationship Id="rIdGrafico12" Type="http://schemas.openxmlformats.org/officeDocument/2006/relationships/chart" Target="charts/chart12.xml"/><Relationship Id="rIdGrafico13" Type="http://schemas.openxmlformats.org/officeDocument/2006/relationships/chart" Target="charts/chart13.xml"/><Relationship Id="rIdGrafico14" Type="http://schemas.openxmlformats.org/officeDocument/2006/relationships/chart" Target="charts/chart14.xml"/><Relationship Id="rIdGrafico15" Type="http://schemas.openxmlformats.org/officeDocument/2006/relationships/chart" Target="charts/chart15.xml"/><Relationship Id="rIdGrafico16" Type="http://schemas.openxmlformats.org/officeDocument/2006/relationships/chart" Target="charts/chart16.xml"/><Relationship Id="rIdGrafico17" Type="http://schemas.openxmlformats.org/officeDocument/2006/relationships/chart" Target="charts/chart17.xml"/><Relationship Id="rIdGrafico18" Type="http://schemas.openxmlformats.org/officeDocument/2006/relationships/chart" Target="charts/chart18.xml"/><Relationship Id="rIdGrafico19" Type="http://schemas.openxmlformats.org/officeDocument/2006/relationships/chart" Target="charts/chart19.xml"/><Relationship Id="rIdGrafico20" Type="http://schemas.openxmlformats.org/officeDocument/2006/relationships/chart" Target="charts/chart20.xml"/><Relationship Id="rIdGrafico21" Type="http://schemas.openxmlformats.org/officeDocument/2006/relationships/chart" Target="charts/chart21.xml"/><Relationship Id="rIdGrafico22" Type="http://schemas.openxmlformats.org/officeDocument/2006/relationships/chart" Target="charts/chart22.xml"/><Relationship Id="rIdGrafico23" Type="http://schemas.openxmlformats.org/officeDocument/2006/relationships/chart" Target="charts/chart23.xml"/><Relationship Id="rIdGrafico24" Type="http://schemas.openxmlformats.org/officeDocument/2006/relationships/chart" Target="charts/chart24.xml"/><Relationship Id="rIdGrafico25" Type="http://schemas.openxmlformats.org/officeDocument/2006/relationships/chart" Target="charts/chart25.xml"/><Relationship Id="rIdGrafico26" Type="http://schemas.openxmlformats.org/officeDocument/2006/relationships/chart" Target="charts/chart26.xml"/><Relationship Id="rIdGrafico27" Type="http://schemas.openxmlformats.org/officeDocument/2006/relationships/chart" Target="charts/chart27.xml"/><Relationship Id="rIdGrafico28" Type="http://schemas.openxmlformats.org/officeDocument/2006/relationships/chart" Target="charts/chart28.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charts/_rels/chart1.xml.rels><?xml version="1.0" encoding="UTF-8" standalone="yes"?><Relationships xmlns="http://schemas.openxmlformats.org/package/2006/relationships"><Relationship Id="rId1" Type="http://schemas.openxmlformats.org/officeDocument/2006/relationships/package" Target="../embeddings/Hoja_grafico1.xlsx"/></Relationships>
</file>

<file path=word/charts/_rels/chart2.xml.rels><?xml version="1.0" encoding="UTF-8" standalone="yes"?><Relationships xmlns="http://schemas.openxmlformats.org/package/2006/relationships"><Relationship Id="rId1" Type="http://schemas.openxmlformats.org/officeDocument/2006/relationships/package" Target="../embeddings/Hoja_grafico2.xlsx"/></Relationships>
</file>

<file path=word/charts/_rels/chart3.xml.rels><?xml version="1.0" encoding="UTF-8" standalone="yes"?><Relationships xmlns="http://schemas.openxmlformats.org/package/2006/relationships"><Relationship Id="rId1" Type="http://schemas.openxmlformats.org/officeDocument/2006/relationships/package" Target="../embeddings/Hoja_grafico3.xlsx"/></Relationships>
</file>

<file path=word/charts/_rels/chart4.xml.rels><?xml version="1.0" encoding="UTF-8" standalone="yes"?><Relationships xmlns="http://schemas.openxmlformats.org/package/2006/relationships"><Relationship Id="rId1" Type="http://schemas.openxmlformats.org/officeDocument/2006/relationships/package" Target="../embeddings/Hoja_grafico4.xlsx"/></Relationships>
</file>

<file path=word/charts/_rels/chart5.xml.rels><?xml version="1.0" encoding="UTF-8" standalone="yes"?><Relationships xmlns="http://schemas.openxmlformats.org/package/2006/relationships"><Relationship Id="rId1" Type="http://schemas.openxmlformats.org/officeDocument/2006/relationships/package" Target="../embeddings/Hoja_grafico5.xlsx"/></Relationships>
</file>

<file path=word/charts/_rels/chart6.xml.rels><?xml version="1.0" encoding="UTF-8" standalone="yes"?><Relationships xmlns="http://schemas.openxmlformats.org/package/2006/relationships"><Relationship Id="rId1" Type="http://schemas.openxmlformats.org/officeDocument/2006/relationships/package" Target="../embeddings/Hoja_grafico6.xlsx"/></Relationships>
</file>

<file path=word/charts/_rels/chart7.xml.rels><?xml version="1.0" encoding="UTF-8" standalone="yes"?><Relationships xmlns="http://schemas.openxmlformats.org/package/2006/relationships"><Relationship Id="rId1" Type="http://schemas.openxmlformats.org/officeDocument/2006/relationships/package" Target="../embeddings/Hoja_grafico7.xlsx"/></Relationships>
</file>

<file path=word/charts/_rels/chart8.xml.rels><?xml version="1.0" encoding="UTF-8" standalone="yes"?><Relationships xmlns="http://schemas.openxmlformats.org/package/2006/relationships"><Relationship Id="rId1" Type="http://schemas.openxmlformats.org/officeDocument/2006/relationships/package" Target="../embeddings/Hoja_grafico8.xlsx"/></Relationships>
</file>

<file path=word/charts/_rels/chart9.xml.rels><?xml version="1.0" encoding="UTF-8" standalone="yes"?><Relationships xmlns="http://schemas.openxmlformats.org/package/2006/relationships"><Relationship Id="rId1" Type="http://schemas.openxmlformats.org/officeDocument/2006/relationships/package" Target="../embeddings/Hoja_grafico9.xlsx"/></Relationships>
</file>

<file path=word/charts/_rels/chart10.xml.rels><?xml version="1.0" encoding="UTF-8" standalone="yes"?><Relationships xmlns="http://schemas.openxmlformats.org/package/2006/relationships"><Relationship Id="rId1" Type="http://schemas.openxmlformats.org/officeDocument/2006/relationships/package" Target="../embeddings/Hoja_grafico10.xlsx"/></Relationships>
</file>

<file path=word/charts/_rels/chart11.xml.rels><?xml version="1.0" encoding="UTF-8" standalone="yes"?><Relationships xmlns="http://schemas.openxmlformats.org/package/2006/relationships"><Relationship Id="rId1" Type="http://schemas.openxmlformats.org/officeDocument/2006/relationships/package" Target="../embeddings/Hoja_grafico11.xlsx"/></Relationships>
</file>

<file path=word/charts/_rels/chart12.xml.rels><?xml version="1.0" encoding="UTF-8" standalone="yes"?><Relationships xmlns="http://schemas.openxmlformats.org/package/2006/relationships"><Relationship Id="rId1" Type="http://schemas.openxmlformats.org/officeDocument/2006/relationships/package" Target="../embeddings/Hoja_grafico12.xlsx"/></Relationships>
</file>

<file path=word/charts/_rels/chart13.xml.rels><?xml version="1.0" encoding="UTF-8" standalone="yes"?><Relationships xmlns="http://schemas.openxmlformats.org/package/2006/relationships"><Relationship Id="rId1" Type="http://schemas.openxmlformats.org/officeDocument/2006/relationships/package" Target="../embeddings/Hoja_grafico13.xlsx"/></Relationships>
</file>

<file path=word/charts/_rels/chart14.xml.rels><?xml version="1.0" encoding="UTF-8" standalone="yes"?><Relationships xmlns="http://schemas.openxmlformats.org/package/2006/relationships"><Relationship Id="rId1" Type="http://schemas.openxmlformats.org/officeDocument/2006/relationships/package" Target="../embeddings/Hoja_grafico14.xlsx"/></Relationships>
</file>

<file path=word/charts/_rels/chart15.xml.rels><?xml version="1.0" encoding="UTF-8" standalone="yes"?><Relationships xmlns="http://schemas.openxmlformats.org/package/2006/relationships"><Relationship Id="rId1" Type="http://schemas.openxmlformats.org/officeDocument/2006/relationships/package" Target="../embeddings/Hoja_grafico15.xlsx"/></Relationships>
</file>

<file path=word/charts/_rels/chart16.xml.rels><?xml version="1.0" encoding="UTF-8" standalone="yes"?><Relationships xmlns="http://schemas.openxmlformats.org/package/2006/relationships"><Relationship Id="rId1" Type="http://schemas.openxmlformats.org/officeDocument/2006/relationships/package" Target="../embeddings/Hoja_grafico16.xlsx"/></Relationships>
</file>

<file path=word/charts/_rels/chart17.xml.rels><?xml version="1.0" encoding="UTF-8" standalone="yes"?><Relationships xmlns="http://schemas.openxmlformats.org/package/2006/relationships"><Relationship Id="rId1" Type="http://schemas.openxmlformats.org/officeDocument/2006/relationships/package" Target="../embeddings/Hoja_grafico17.xlsx"/></Relationships>
</file>

<file path=word/charts/_rels/chart18.xml.rels><?xml version="1.0" encoding="UTF-8" standalone="yes"?><Relationships xmlns="http://schemas.openxmlformats.org/package/2006/relationships"><Relationship Id="rId1" Type="http://schemas.openxmlformats.org/officeDocument/2006/relationships/package" Target="../embeddings/Hoja_grafico18.xlsx"/></Relationships>
</file>

<file path=word/charts/_rels/chart19.xml.rels><?xml version="1.0" encoding="UTF-8" standalone="yes"?><Relationships xmlns="http://schemas.openxmlformats.org/package/2006/relationships"><Relationship Id="rId1" Type="http://schemas.openxmlformats.org/officeDocument/2006/relationships/package" Target="../embeddings/Hoja_grafico19.xlsx"/></Relationships>
</file>

<file path=word/charts/_rels/chart20.xml.rels><?xml version="1.0" encoding="UTF-8" standalone="yes"?><Relationships xmlns="http://schemas.openxmlformats.org/package/2006/relationships"><Relationship Id="rId1" Type="http://schemas.openxmlformats.org/officeDocument/2006/relationships/package" Target="../embeddings/Hoja_grafico20.xlsx"/></Relationships>
</file>

<file path=word/charts/_rels/chart21.xml.rels><?xml version="1.0" encoding="UTF-8" standalone="yes"?><Relationships xmlns="http://schemas.openxmlformats.org/package/2006/relationships"><Relationship Id="rId1" Type="http://schemas.openxmlformats.org/officeDocument/2006/relationships/package" Target="../embeddings/Hoja_grafico21.xlsx"/></Relationships>
</file>

<file path=word/charts/_rels/chart22.xml.rels><?xml version="1.0" encoding="UTF-8" standalone="yes"?><Relationships xmlns="http://schemas.openxmlformats.org/package/2006/relationships"><Relationship Id="rId1" Type="http://schemas.openxmlformats.org/officeDocument/2006/relationships/package" Target="../embeddings/Hoja_grafico22.xlsx"/></Relationships>
</file>

<file path=word/charts/_rels/chart23.xml.rels><?xml version="1.0" encoding="UTF-8" standalone="yes"?><Relationships xmlns="http://schemas.openxmlformats.org/package/2006/relationships"><Relationship Id="rId1" Type="http://schemas.openxmlformats.org/officeDocument/2006/relationships/package" Target="../embeddings/Hoja_grafico23.xlsx"/></Relationships>
</file>

<file path=word/charts/_rels/chart24.xml.rels><?xml version="1.0" encoding="UTF-8" standalone="yes"?><Relationships xmlns="http://schemas.openxmlformats.org/package/2006/relationships"><Relationship Id="rId1" Type="http://schemas.openxmlformats.org/officeDocument/2006/relationships/package" Target="../embeddings/Hoja_grafico24.xlsx"/></Relationships>
</file>

<file path=word/charts/_rels/chart25.xml.rels><?xml version="1.0" encoding="UTF-8" standalone="yes"?><Relationships xmlns="http://schemas.openxmlformats.org/package/2006/relationships"><Relationship Id="rId1" Type="http://schemas.openxmlformats.org/officeDocument/2006/relationships/package" Target="../embeddings/Hoja_grafico25.xlsx"/></Relationships>
</file>

<file path=word/charts/_rels/chart26.xml.rels><?xml version="1.0" encoding="UTF-8" standalone="yes"?><Relationships xmlns="http://schemas.openxmlformats.org/package/2006/relationships"><Relationship Id="rId1" Type="http://schemas.openxmlformats.org/officeDocument/2006/relationships/package" Target="../embeddings/Hoja_grafico26.xlsx"/></Relationships>
</file>

<file path=word/charts/_rels/chart27.xml.rels><?xml version="1.0" encoding="UTF-8" standalone="yes"?><Relationships xmlns="http://schemas.openxmlformats.org/package/2006/relationships"><Relationship Id="rId1" Type="http://schemas.openxmlformats.org/officeDocument/2006/relationships/package" Target="../embeddings/Hoja_grafico27.xlsx"/></Relationships>
</file>

<file path=word/charts/_rels/chart28.xml.rels><?xml version="1.0" encoding="UTF-8" standalone="yes"?><Relationships xmlns="http://schemas.openxmlformats.org/package/2006/relationships"><Relationship Id="rId1" Type="http://schemas.openxmlformats.org/officeDocument/2006/relationships/package" Target="../embeddings/Hoja_grafico2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31,40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Hoja1!$B$2:$B$11</c:f>
              <c:numCache>
                <c:formatCode>#,##0.0</c:formatCode>
                <c:ptCount val="10"/>
                <c:pt idx="0">
                  <c:v>24.1</c:v>
                </c:pt>
                <c:pt idx="1">
                  <c:v>27</c:v>
                </c:pt>
                <c:pt idx="2">
                  <c:v>29.06</c:v>
                </c:pt>
                <c:pt idx="3">
                  <c:v>29.92</c:v>
                </c:pt>
                <c:pt idx="4">
                  <c:v>24.24</c:v>
                </c:pt>
                <c:pt idx="5">
                  <c:v>24.7</c:v>
                </c:pt>
                <c:pt idx="6">
                  <c:v>16.57</c:v>
                </c:pt>
                <c:pt idx="7">
                  <c:v>33.78</c:v>
                </c:pt>
                <c:pt idx="8">
                  <c:v>31.22</c:v>
                </c:pt>
                <c:pt idx="9">
                  <c:v>31.24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9"/>
            <c:invertIfNegative val="0"/>
            <c:bubble3D val="0"/>
            <c:spPr>
              <a:solidFill>
                <a:srgbClr val="C9C8C2"/>
              </a:solidFill>
            </c:spPr>
          </c:dPt>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Hoja1!$C$2:$C$11</c:f>
              <c:numCache>
                <c:formatCode>#,##0.0</c:formatCode>
                <c:ptCount val="10"/>
                <c:pt idx="0">
                  <c:v>9.799999999999997</c:v>
                </c:pt>
                <c:pt idx="1">
                  <c:v>13</c:v>
                </c:pt>
                <c:pt idx="2">
                  <c:v>9.2</c:v>
                </c:pt>
                <c:pt idx="3">
                  <c:v>8.850000000000001</c:v>
                </c:pt>
                <c:pt idx="4">
                  <c:v>11.02</c:v>
                </c:pt>
                <c:pt idx="5">
                  <c:v>7.930000000000003</c:v>
                </c:pt>
                <c:pt idx="6">
                  <c:v>19.979999999999997</c:v>
                </c:pt>
                <c:pt idx="7">
                  <c:v>13.310000000000002</c:v>
                </c:pt>
                <c:pt idx="8">
                  <c:v>7.310000000000002</c:v>
                </c:pt>
                <c:pt idx="9">
                  <c:v>0.3200000000000003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segmento (EUR, millones)</a:t>
            </a:r>
          </a:p>
        </c:rich>
      </c:tx>
      <c:overlay val="0"/>
    </c:title>
    <c:autoTitleDeleted val="0"/>
    <c:plotArea>
      <c:layout/>
      <c:barChart>
        <c:barDir val="col"/>
        <c:grouping val="stacked"/>
        <c:varyColors val="0"/>
        <c:ser>
          <c:idx val="0"/>
          <c:order val="0"/>
          <c:tx>
            <c:strRef>
              <c:f>Hoja1!$B$1</c:f>
              <c:strCache>
                <c:ptCount val="1"/>
                <c:pt idx="0">
                  <c:v>Redes eléctricas</c:v>
                </c:pt>
              </c:strCache>
            </c:strRef>
          </c:tx>
          <c:spPr>
            <a:solidFill>
              <a:srgbClr val="2A78D6"/>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Hoja1!$B$2:$B$6</c:f>
              <c:numCache>
                <c:formatCode>#,##0</c:formatCode>
                <c:ptCount val="5"/>
                <c:pt idx="0">
                  <c:v>719</c:v>
                </c:pt>
                <c:pt idx="1">
                  <c:v>835</c:v>
                </c:pt>
                <c:pt idx="2">
                  <c:v>941</c:v>
                </c:pt>
                <c:pt idx="3">
                  <c:v>1042</c:v>
                </c:pt>
                <c:pt idx="4">
                  <c:v>1155</c:v>
                </c:pt>
              </c:numCache>
            </c:numRef>
          </c:val>
        </c:ser>
        <c:ser>
          <c:idx val="1"/>
          <c:order val="1"/>
          <c:tx>
            <c:strRef>
              <c:f>Hoja1!$C$1</c:f>
              <c:strCache>
                <c:ptCount val="1"/>
                <c:pt idx="0">
                  <c:v>Industria</c:v>
                </c:pt>
              </c:strCache>
            </c:strRef>
          </c:tx>
          <c:spPr>
            <a:solidFill>
              <a:srgbClr val="EB6834"/>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Hoja1!$C$2:$C$6</c:f>
              <c:numCache>
                <c:formatCode>#,##0</c:formatCode>
                <c:ptCount val="5"/>
                <c:pt idx="0">
                  <c:v>1021</c:v>
                </c:pt>
                <c:pt idx="1">
                  <c:v>1089</c:v>
                </c:pt>
                <c:pt idx="2">
                  <c:v>1129</c:v>
                </c:pt>
                <c:pt idx="3">
                  <c:v>1155</c:v>
                </c:pt>
                <c:pt idx="4">
                  <c:v>1184</c:v>
                </c:pt>
              </c:numCache>
            </c:numRef>
          </c:val>
        </c:ser>
        <c:ser>
          <c:idx val="2"/>
          <c:order val="2"/>
          <c:tx>
            <c:strRef>
              <c:f>Hoja1!$D$1</c:f>
              <c:strCache>
                <c:ptCount val="1"/>
                <c:pt idx="0">
                  <c:v>Automoción</c:v>
                </c:pt>
              </c:strCache>
            </c:strRef>
          </c:tx>
          <c:spPr>
            <a:solidFill>
              <a:srgbClr val="1BAF7A"/>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Hoja1!$D$2:$D$6</c:f>
              <c:numCache>
                <c:formatCode>#,##0</c:formatCode>
                <c:ptCount val="5"/>
                <c:pt idx="0">
                  <c:v>580</c:v>
                </c:pt>
                <c:pt idx="1">
                  <c:v>607</c:v>
                </c:pt>
                <c:pt idx="2">
                  <c:v>618</c:v>
                </c:pt>
                <c:pt idx="3">
                  <c:v>620</c:v>
                </c:pt>
                <c:pt idx="4">
                  <c:v>622</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Peso de cada segmento en los ingresos (2025)</a:t>
            </a:r>
          </a:p>
        </c:rich>
      </c:tx>
      <c:overlay val="0"/>
    </c:title>
    <c:autoTitleDeleted val="0"/>
    <c:plotArea>
      <c:layout/>
      <c:doughnutChart>
        <c:varyColors val="1"/>
        <c:ser>
          <c:idx val="0"/>
          <c:order val="0"/>
          <c:tx>
            <c:strRef>
              <c:f>Hoja1!$B$1</c:f>
              <c:strCache>
                <c:ptCount val="1"/>
                <c:pt idx="0">
                  <c:v>% de ingresos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0&quot;%&quot;"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Redes eléctricas</c:v>
                </c:pt>
                <c:pt idx="1">
                  <c:v>Industria</c:v>
                </c:pt>
                <c:pt idx="2">
                  <c:v>Automoción</c:v>
                </c:pt>
              </c:strCache>
            </c:strRef>
          </c:cat>
          <c:val>
            <c:numRef>
              <c:f>Hoja1!$B$2:$B$4</c:f>
              <c:numCache>
                <c:formatCode>General</c:formatCode>
                <c:ptCount val="3"/>
                <c:pt idx="0">
                  <c:v>39</c:v>
                </c:pt>
                <c:pt idx="1">
                  <c:v>40</c:v>
                </c:pt>
                <c:pt idx="2">
                  <c:v>21</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geografía, según destino (% del total)</a:t>
            </a:r>
          </a:p>
        </c:rich>
      </c:tx>
      <c:overlay val="0"/>
    </c:title>
    <c:autoTitleDeleted val="0"/>
    <c:plotArea>
      <c:layout/>
      <c:barChart>
        <c:barDir val="bar"/>
        <c:grouping val="clustered"/>
        <c:varyColors val="0"/>
        <c:ser>
          <c:idx val="0"/>
          <c:order val="0"/>
          <c:tx>
            <c:strRef>
              <c:f>Hoja1!$B$1</c:f>
              <c:strCache>
                <c:ptCount val="1"/>
                <c:pt idx="0">
                  <c:v>% de ingresos</c:v>
                </c:pt>
              </c:strCache>
            </c:strRef>
          </c:tx>
          <c:spPr>
            <a:solidFill>
              <a:srgbClr val="2A78D6"/>
            </a:solidFill>
            <a:ln w="9525">
              <a:noFill/>
            </a:ln>
          </c:spPr>
          <c:invertIfNegative val="0"/>
          <c:dLbls>
            <c:numFmt formatCode="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España</c:v>
                </c:pt>
                <c:pt idx="1">
                  <c:v>Resto de Europa</c:v>
                </c:pt>
                <c:pt idx="2">
                  <c:v>Norteamérica</c:v>
                </c:pt>
                <c:pt idx="3">
                  <c:v>Latinoamérica</c:v>
                </c:pt>
                <c:pt idx="4">
                  <c:v>Resto</c:v>
                </c:pt>
              </c:strCache>
            </c:strRef>
          </c:cat>
          <c:val>
            <c:numRef>
              <c:f>Hoja1!$B$2:$B$6</c:f>
              <c:numCache>
                <c:formatCode>0"%"</c:formatCode>
                <c:ptCount val="5"/>
                <c:pt idx="0">
                  <c:v>34</c:v>
                </c:pt>
                <c:pt idx="1">
                  <c:v>38</c:v>
                </c:pt>
                <c:pt idx="2">
                  <c:v>17</c:v>
                </c:pt>
                <c:pt idx="3">
                  <c:v>8</c:v>
                </c:pt>
                <c:pt idx="4">
                  <c:v>3</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Tamaño del mercado (miles de millones de EUR) · «e» = previsión</a:t>
            </a:r>
          </a:p>
        </c:rich>
      </c:tx>
      <c:overlay val="0"/>
    </c:title>
    <c:autoTitleDeleted val="0"/>
    <c:plotArea>
      <c:layout/>
      <c:barChart>
        <c:barDir val="col"/>
        <c:grouping val="clustered"/>
        <c:varyColors val="0"/>
        <c:ser>
          <c:idx val="0"/>
          <c:order val="0"/>
          <c:tx>
            <c:strRef>
              <c:f>Hoja1!$B$1</c:f>
              <c:strCache>
                <c:ptCount val="1"/>
                <c:pt idx="0">
                  <c:v>Tamaño del mercado</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2021</c:v>
                </c:pt>
                <c:pt idx="1">
                  <c:v>2022</c:v>
                </c:pt>
                <c:pt idx="2">
                  <c:v>2023</c:v>
                </c:pt>
                <c:pt idx="3">
                  <c:v>2024</c:v>
                </c:pt>
                <c:pt idx="4">
                  <c:v>2025</c:v>
                </c:pt>
                <c:pt idx="5">
                  <c:v>2027e</c:v>
                </c:pt>
                <c:pt idx="6">
                  <c:v>2030e</c:v>
                </c:pt>
              </c:strCache>
            </c:strRef>
          </c:cat>
          <c:val>
            <c:numRef>
              <c:f>Hoja1!$B$2:$B$8</c:f>
              <c:numCache>
                <c:formatCode>#,##0</c:formatCode>
                <c:ptCount val="7"/>
                <c:pt idx="0">
                  <c:v>33.1</c:v>
                </c:pt>
                <c:pt idx="1">
                  <c:v>35.4</c:v>
                </c:pt>
                <c:pt idx="2">
                  <c:v>38.2</c:v>
                </c:pt>
                <c:pt idx="3">
                  <c:v>40</c:v>
                </c:pt>
                <c:pt idx="4">
                  <c:v>42</c:v>
                </c:pt>
                <c:pt idx="5">
                  <c:v>48.3</c:v>
                </c:pt>
                <c:pt idx="6">
                  <c:v>59.6</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Cinco fuerzas: intensidad (1 = favorable, 5 = desfavorable)</a:t>
            </a:r>
          </a:p>
        </c:rich>
      </c:tx>
      <c:overlay val="0"/>
    </c:title>
    <c:autoTitleDeleted val="0"/>
    <c:plotArea>
      <c:layout/>
      <c:radarChart>
        <c:radarStyle val="marker"/>
        <c:varyColors val="0"/>
        <c:ser>
          <c:idx val="0"/>
          <c:order val="0"/>
          <c:tx>
            <c:strRef>
              <c:f>Hoja1!$B$1</c:f>
              <c:strCache>
                <c:ptCount val="1"/>
                <c:pt idx="0">
                  <c:v>Intensidad</c:v>
                </c:pt>
              </c:strCache>
            </c:strRef>
          </c:tx>
          <c:spPr>
            <a:ln w="25400">
              <a:solidFill>
                <a:srgbClr val="2A78D6"/>
              </a:solidFill>
            </a:ln>
          </c:spPr>
          <c:marker>
            <c:symbol val="circle"/>
            <c:size val="6"/>
            <c:spPr>
              <a:solidFill>
                <a:srgbClr val="2A78D6"/>
              </a:solidFill>
            </c:spPr>
          </c:marker>
          <c:cat>
            <c:strRef>
              <c:f>Hoja1!$A$2:$A$6</c:f>
              <c:strCache>
                <c:ptCount val="5"/>
                <c:pt idx="0">
                  <c:v>Rivalidad</c:v>
                </c:pt>
                <c:pt idx="1">
                  <c:v>Poder de los clientes</c:v>
                </c:pt>
                <c:pt idx="2">
                  <c:v>Poder de los proveedores</c:v>
                </c:pt>
                <c:pt idx="3">
                  <c:v>Amenaza de entrada</c:v>
                </c:pt>
                <c:pt idx="4">
                  <c:v>Amenaza de sustitutos</c:v>
                </c:pt>
              </c:strCache>
            </c:strRef>
          </c:cat>
          <c:val>
            <c:numRef>
              <c:f>Hoja1!$B$2:$B$6</c:f>
              <c:numCache>
                <c:formatCode>General</c:formatCode>
                <c:ptCount val="5"/>
                <c:pt idx="0">
                  <c:v>3</c:v>
                </c:pt>
                <c:pt idx="1">
                  <c:v>4</c:v>
                </c:pt>
                <c:pt idx="2">
                  <c:v>3</c:v>
                </c:pt>
                <c:pt idx="3">
                  <c:v>2</c:v>
                </c:pt>
                <c:pt idx="4">
                  <c:v>1</c:v>
                </c:pt>
              </c:numCache>
            </c:numRef>
          </c:val>
        </c:ser>
        <c:axId val="10"/>
        <c:axId val="20"/>
      </c:radarChart>
      <c:catAx>
        <c:axId val="10"/>
        <c:scaling>
          <c:orientation val="minMax"/>
        </c:scaling>
        <c:delete val="0"/>
        <c:axPos val="b"/>
        <c:majorGridlines>
          <c:spPr>
            <a:ln w="6350">
              <a:solidFill>
                <a:srgbClr val="E4E3DF"/>
              </a:solidFill>
            </a:ln>
          </c:spPr>
        </c:majorGridlines>
        <c:numFmt formatCode="General" sourceLinked="0"/>
        <c:majorTickMark val="none"/>
        <c:minorTickMark val="none"/>
        <c:tickLblPos val="nextTo"/>
        <c:spPr>
          <a:ln w="6350">
            <a:solidFill>
              <a:srgbClr val="E4E3DF"/>
            </a:solidFill>
          </a:ln>
        </c:spPr>
        <c:txPr>
          <a:bodyPr/>
          <a:lstStyle/>
          <a:p>
            <a:pPr>
              <a:defRPr sz="850">
                <a:solidFill>
                  <a:srgbClr val="1F2A3C"/>
                </a:solidFill>
              </a:defRPr>
            </a:pPr>
            <a:endParaRPr lang="es-ES"/>
          </a:p>
        </c:txPr>
        <c:crossAx val="20"/>
        <c:crosses val="autoZero"/>
        <c:auto val="1"/>
        <c:lblAlgn val="ctr"/>
        <c:lblOffset val="100"/>
        <c:noMultiLvlLbl val="0"/>
      </c:catAx>
      <c:valAx>
        <c:axId val="20"/>
        <c:scaling>
          <c:orientation val="minMax"/>
          <c:max val="5"/>
          <c:min val="0"/>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750">
                <a:solidFill>
                  <a:srgbClr val="52514E"/>
                </a:solidFill>
              </a:defRPr>
            </a:pPr>
            <a:endParaRPr lang="es-ES"/>
          </a:p>
        </c:txPr>
        <c:crossAx val="10"/>
        <c:crosses val="autoZero"/>
        <c:crossBetween val="between"/>
        <c:majorUnit val="1"/>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Margen EBIT: la empresa frente a sus competidores (%)</a:t>
            </a:r>
          </a:p>
        </c:rich>
      </c:tx>
      <c:overlay val="0"/>
    </c:title>
    <c:autoTitleDeleted val="0"/>
    <c:plotArea>
      <c:layout/>
      <c:barChart>
        <c:barDir val="bar"/>
        <c:grouping val="clustered"/>
        <c:varyColors val="0"/>
        <c:ser>
          <c:idx val="0"/>
          <c:order val="0"/>
          <c:tx>
            <c:strRef>
              <c:f>Hoja1!$B$1</c:f>
              <c:strCache>
                <c:ptCount val="1"/>
                <c:pt idx="0">
                  <c:v>Margen EBIT</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Compañía Ejemplo</c:v>
                </c:pt>
                <c:pt idx="1">
                  <c:v>Grupo Alfa</c:v>
                </c:pt>
                <c:pt idx="2">
                  <c:v>Beta Energy</c:v>
                </c:pt>
                <c:pt idx="3">
                  <c:v>Gamma Systems</c:v>
                </c:pt>
                <c:pt idx="4">
                  <c:v>Delta Cables</c:v>
                </c:pt>
              </c:strCache>
            </c:strRef>
          </c:cat>
          <c:val>
            <c:numRef>
              <c:f>Hoja1!$B$2:$B$6</c:f>
              <c:numCache>
                <c:formatCode>0.0"%"</c:formatCode>
                <c:ptCount val="5"/>
                <c:pt idx="0">
                  <c:v>11.6</c:v>
                </c:pt>
                <c:pt idx="1">
                  <c:v>15.2</c:v>
                </c:pt>
                <c:pt idx="2">
                  <c:v>10.8</c:v>
                </c:pt>
                <c:pt idx="3">
                  <c:v>17.4</c:v>
                </c:pt>
                <c:pt idx="4">
                  <c:v>8.1</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Fuentes de ventaja competitiva (0 = inexistente, 5 = muy fuerte)</a:t>
            </a:r>
          </a:p>
        </c:rich>
      </c:tx>
      <c:overlay val="0"/>
    </c:title>
    <c:autoTitleDeleted val="0"/>
    <c:plotArea>
      <c:layout/>
      <c:barChart>
        <c:barDir val="bar"/>
        <c:grouping val="clustered"/>
        <c:varyColors val="0"/>
        <c:ser>
          <c:idx val="0"/>
          <c:order val="0"/>
          <c:tx>
            <c:strRef>
              <c:f>Hoja1!$B$1</c:f>
              <c:strCache>
                <c:ptCount val="1"/>
                <c:pt idx="0">
                  <c:v>Puntuación</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Efectos de red</c:v>
                </c:pt>
                <c:pt idx="1">
                  <c:v>Costes de cambio</c:v>
                </c:pt>
                <c:pt idx="2">
                  <c:v>Intangibles (marca, patentes, licencias)</c:v>
                </c:pt>
                <c:pt idx="3">
                  <c:v>Ventaja en costes</c:v>
                </c:pt>
                <c:pt idx="4">
                  <c:v>Escala eficiente</c:v>
                </c:pt>
              </c:strCache>
            </c:strRef>
          </c:cat>
          <c:val>
            <c:numRef>
              <c:f>Hoja1!$B$2:$B$6</c:f>
              <c:numCache>
                <c:formatCode>0</c:formatCode>
                <c:ptCount val="5"/>
                <c:pt idx="0">
                  <c:v>0</c:v>
                </c:pt>
                <c:pt idx="1">
                  <c:v>3</c:v>
                </c:pt>
                <c:pt idx="2">
                  <c:v>2</c:v>
                </c:pt>
                <c:pt idx="3">
                  <c:v>1</c:v>
                </c:pt>
                <c:pt idx="4">
                  <c:v>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ax val="5"/>
          <c:min val="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y EBITDA (EUR, millones) · «e» = proyección propia del DCF</a:t>
            </a:r>
          </a:p>
        </c:rich>
      </c:tx>
      <c:overlay val="0"/>
    </c:title>
    <c:autoTitleDeleted val="0"/>
    <c:plotArea>
      <c:layout/>
      <c:barChart>
        <c:barDir val="col"/>
        <c:grouping val="clustered"/>
        <c:varyColors val="0"/>
        <c:ser>
          <c:idx val="0"/>
          <c:order val="0"/>
          <c:tx>
            <c:strRef>
              <c:f>Hoja1!$B$1</c:f>
              <c:strCache>
                <c:ptCount val="1"/>
                <c:pt idx="0">
                  <c:v>Ingresos</c:v>
                </c:pt>
              </c:strCache>
            </c:strRef>
          </c:tx>
          <c:spPr>
            <a:solidFill>
              <a:srgbClr val="2A78D6"/>
            </a:solidFill>
            <a:ln w="9525">
              <a:noFill/>
            </a:ln>
          </c:spPr>
          <c:invertIfNegative val="0"/>
          <c:cat>
            <c:strRef>
              <c:f>Hoja1!$A$2:$A$18</c:f>
              <c:strCache>
                <c:ptCount val="17"/>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strCache>
            </c:strRef>
          </c:cat>
          <c:val>
            <c:numRef>
              <c:f>Hoja1!$B$2:$B$18</c:f>
              <c:numCache>
                <c:formatCode>#,##0</c:formatCode>
                <c:ptCount val="17"/>
                <c:pt idx="0">
                  <c:v>1900</c:v>
                </c:pt>
                <c:pt idx="1">
                  <c:v>2010</c:v>
                </c:pt>
                <c:pt idx="2">
                  <c:v>2139</c:v>
                </c:pt>
                <c:pt idx="3">
                  <c:v>2244</c:v>
                </c:pt>
                <c:pt idx="4">
                  <c:v>2075</c:v>
                </c:pt>
                <c:pt idx="5">
                  <c:v>2320</c:v>
                </c:pt>
                <c:pt idx="6">
                  <c:v>2531</c:v>
                </c:pt>
                <c:pt idx="7">
                  <c:v>2688</c:v>
                </c:pt>
                <c:pt idx="8">
                  <c:v>2817</c:v>
                </c:pt>
                <c:pt idx="9">
                  <c:v>2961</c:v>
                </c:pt>
                <c:pt idx="10">
                  <c:v>3156</c:v>
                </c:pt>
                <c:pt idx="11">
                  <c:v>3352</c:v>
                </c:pt>
                <c:pt idx="12">
                  <c:v>3547</c:v>
                </c:pt>
                <c:pt idx="13">
                  <c:v>3724</c:v>
                </c:pt>
                <c:pt idx="14">
                  <c:v>3880</c:v>
                </c:pt>
                <c:pt idx="15">
                  <c:v>4016</c:v>
                </c:pt>
                <c:pt idx="16">
                  <c:v>4137</c:v>
                </c:pt>
              </c:numCache>
            </c:numRef>
          </c:val>
        </c:ser>
        <c:ser>
          <c:idx val="1"/>
          <c:order val="1"/>
          <c:tx>
            <c:strRef>
              <c:f>Hoja1!$C$1</c:f>
              <c:strCache>
                <c:ptCount val="1"/>
                <c:pt idx="0">
                  <c:v>EBITDA</c:v>
                </c:pt>
              </c:strCache>
            </c:strRef>
          </c:tx>
          <c:spPr>
            <a:solidFill>
              <a:srgbClr val="EB6834"/>
            </a:solidFill>
            <a:ln w="9525">
              <a:noFill/>
            </a:ln>
          </c:spPr>
          <c:invertIfNegative val="0"/>
          <c:cat>
            <c:strRef>
              <c:f>Hoja1!$A$2:$A$18</c:f>
              <c:strCache>
                <c:ptCount val="17"/>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strCache>
            </c:strRef>
          </c:cat>
          <c:val>
            <c:numRef>
              <c:f>Hoja1!$C$2:$C$18</c:f>
              <c:numCache>
                <c:formatCode>#,##0</c:formatCode>
                <c:ptCount val="17"/>
                <c:pt idx="0">
                  <c:v>268</c:v>
                </c:pt>
                <c:pt idx="1">
                  <c:v>289</c:v>
                </c:pt>
                <c:pt idx="2">
                  <c:v>304</c:v>
                </c:pt>
                <c:pt idx="3">
                  <c:v>328</c:v>
                </c:pt>
                <c:pt idx="4">
                  <c:v>268</c:v>
                </c:pt>
                <c:pt idx="5">
                  <c:v>332</c:v>
                </c:pt>
                <c:pt idx="6">
                  <c:v>344</c:v>
                </c:pt>
                <c:pt idx="7">
                  <c:v>401</c:v>
                </c:pt>
                <c:pt idx="8">
                  <c:v>434</c:v>
                </c:pt>
                <c:pt idx="9">
                  <c:v>471</c:v>
                </c:pt>
                <c:pt idx="10">
                  <c:v>508</c:v>
                </c:pt>
                <c:pt idx="11">
                  <c:v>550</c:v>
                </c:pt>
                <c:pt idx="12">
                  <c:v>589</c:v>
                </c:pt>
                <c:pt idx="13">
                  <c:v>622</c:v>
                </c:pt>
                <c:pt idx="14">
                  <c:v>652</c:v>
                </c:pt>
                <c:pt idx="15">
                  <c:v>675</c:v>
                </c:pt>
                <c:pt idx="16">
                  <c:v>695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Márgenes (% de ingresos)</a:t>
            </a:r>
          </a:p>
        </c:rich>
      </c:tx>
      <c:overlay val="0"/>
    </c:title>
    <c:autoTitleDeleted val="0"/>
    <c:plotArea>
      <c:layout/>
      <c:lineChart>
        <c:grouping val="standard"/>
        <c:varyColors val="0"/>
        <c:ser>
          <c:idx val="0"/>
          <c:order val="0"/>
          <c:tx>
            <c:strRef>
              <c:f>Hoja1!$B$1</c:f>
              <c:strCache>
                <c:ptCount val="1"/>
                <c:pt idx="0">
                  <c:v>Bruto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31.1</c:v>
                </c:pt>
                <c:pt idx="1">
                  <c:v>31.2</c:v>
                </c:pt>
                <c:pt idx="2">
                  <c:v>31.1</c:v>
                </c:pt>
                <c:pt idx="3">
                  <c:v>31.3</c:v>
                </c:pt>
                <c:pt idx="4">
                  <c:v>30.5</c:v>
                </c:pt>
                <c:pt idx="5">
                  <c:v>31.2</c:v>
                </c:pt>
                <c:pt idx="6">
                  <c:v>30.8</c:v>
                </c:pt>
                <c:pt idx="7">
                  <c:v>31.4</c:v>
                </c:pt>
                <c:pt idx="8">
                  <c:v>31.7</c:v>
                </c:pt>
                <c:pt idx="9">
                  <c:v>31.9</c:v>
                </c:pt>
              </c:numCache>
            </c:numRef>
          </c:val>
          <c:smooth val="0"/>
        </c:ser>
        <c:ser>
          <c:idx val="1"/>
          <c:order val="1"/>
          <c:tx>
            <c:strRef>
              <c:f>Hoja1!$C$1</c:f>
              <c:strCache>
                <c:ptCount val="1"/>
                <c:pt idx="0">
                  <c:v>EBITDA</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14.1</c:v>
                </c:pt>
                <c:pt idx="1">
                  <c:v>14.4</c:v>
                </c:pt>
                <c:pt idx="2">
                  <c:v>14.2</c:v>
                </c:pt>
                <c:pt idx="3">
                  <c:v>14.6</c:v>
                </c:pt>
                <c:pt idx="4">
                  <c:v>12.9</c:v>
                </c:pt>
                <c:pt idx="5">
                  <c:v>14.3</c:v>
                </c:pt>
                <c:pt idx="6">
                  <c:v>13.6</c:v>
                </c:pt>
                <c:pt idx="7">
                  <c:v>14.9</c:v>
                </c:pt>
                <c:pt idx="8">
                  <c:v>15.4</c:v>
                </c:pt>
                <c:pt idx="9">
                  <c:v>15.9</c:v>
                </c:pt>
              </c:numCache>
            </c:numRef>
          </c:val>
          <c:smooth val="0"/>
        </c:ser>
        <c:ser>
          <c:idx val="2"/>
          <c:order val="2"/>
          <c:tx>
            <c:strRef>
              <c:f>Hoja1!$D$1</c:f>
              <c:strCache>
                <c:ptCount val="1"/>
                <c:pt idx="0">
                  <c:v>EBIT</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0">
                  <c:v>9.8</c:v>
                </c:pt>
                <c:pt idx="1">
                  <c:v>10.1</c:v>
                </c:pt>
                <c:pt idx="2">
                  <c:v>9.9</c:v>
                </c:pt>
                <c:pt idx="3">
                  <c:v>10.3</c:v>
                </c:pt>
                <c:pt idx="4">
                  <c:v>8.6</c:v>
                </c:pt>
                <c:pt idx="5">
                  <c:v>10</c:v>
                </c:pt>
                <c:pt idx="6">
                  <c:v>9.3</c:v>
                </c:pt>
                <c:pt idx="7">
                  <c:v>10.6</c:v>
                </c:pt>
                <c:pt idx="8">
                  <c:v>11.1</c:v>
                </c:pt>
                <c:pt idx="9">
                  <c:v>11.6</c:v>
                </c:pt>
              </c:numCache>
            </c:numRef>
          </c:val>
          <c:smooth val="0"/>
        </c:ser>
        <c:ser>
          <c:idx val="3"/>
          <c:order val="3"/>
          <c:tx>
            <c:strRef>
              <c:f>Hoja1!$E$1</c:f>
              <c:strCache>
                <c:ptCount val="1"/>
                <c:pt idx="0">
                  <c:v>Neto</c:v>
                </c:pt>
              </c:strCache>
            </c:strRef>
          </c:tx>
          <c:spPr>
            <a:ln w="25400" cap="rnd">
              <a:solidFill>
                <a:srgbClr val="EDA100"/>
              </a:solidFill>
              <a:round/>
            </a:ln>
          </c:spPr>
          <c:marker>
            <c:symbol val="circle"/>
            <c:size val="6"/>
            <c:spPr>
              <a:solidFill>
                <a:srgbClr val="EDA100"/>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Hoja1!$E$2:$E$11</c:f>
              <c:numCache>
                <c:formatCode>0"%"</c:formatCode>
                <c:ptCount val="10"/>
                <c:pt idx="0">
                  <c:v>6.6</c:v>
                </c:pt>
                <c:pt idx="1">
                  <c:v>6.9</c:v>
                </c:pt>
                <c:pt idx="2">
                  <c:v>6.7</c:v>
                </c:pt>
                <c:pt idx="3">
                  <c:v>7</c:v>
                </c:pt>
                <c:pt idx="4">
                  <c:v>5.7</c:v>
                </c:pt>
                <c:pt idx="5">
                  <c:v>6.7</c:v>
                </c:pt>
                <c:pt idx="6">
                  <c:v>6.2</c:v>
                </c:pt>
                <c:pt idx="7">
                  <c:v>7.2</c:v>
                </c:pt>
                <c:pt idx="8">
                  <c:v>7.6</c:v>
                </c:pt>
                <c:pt idx="9">
                  <c:v>7.9</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interanual por trimestre (%)</a:t>
            </a:r>
          </a:p>
        </c:rich>
      </c:tx>
      <c:overlay val="0"/>
    </c:title>
    <c:autoTitleDeleted val="0"/>
    <c:plotArea>
      <c:layout/>
      <c:barChart>
        <c:barDir val="col"/>
        <c:grouping val="clustered"/>
        <c:varyColors val="0"/>
        <c:ser>
          <c:idx val="0"/>
          <c:order val="0"/>
          <c:tx>
            <c:strRef>
              <c:f>Hoja1!$B$1</c:f>
              <c:strCache>
                <c:ptCount val="1"/>
                <c:pt idx="0">
                  <c:v>Reportado</c:v>
                </c:pt>
              </c:strCache>
            </c:strRef>
          </c:tx>
          <c:spPr>
            <a:solidFill>
              <a:srgbClr val="2A78D6"/>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Hoja1!$B$2:$B$9</c:f>
              <c:numCache>
                <c:formatCode>0.0"%"</c:formatCode>
                <c:ptCount val="8"/>
                <c:pt idx="0">
                  <c:v>6.2</c:v>
                </c:pt>
                <c:pt idx="1">
                  <c:v>4.4</c:v>
                </c:pt>
                <c:pt idx="2">
                  <c:v>4.9</c:v>
                </c:pt>
                <c:pt idx="3">
                  <c:v>5.6</c:v>
                </c:pt>
                <c:pt idx="4">
                  <c:v>4.8</c:v>
                </c:pt>
                <c:pt idx="5">
                  <c:v>5.2</c:v>
                </c:pt>
                <c:pt idx="6">
                  <c:v>6.6</c:v>
                </c:pt>
                <c:pt idx="7">
                  <c:v>7.1</c:v>
                </c:pt>
              </c:numCache>
            </c:numRef>
          </c:val>
        </c:ser>
        <c:ser>
          <c:idx val="1"/>
          <c:order val="1"/>
          <c:tx>
            <c:strRef>
              <c:f>Hoja1!$C$1</c:f>
              <c:strCache>
                <c:ptCount val="1"/>
                <c:pt idx="0">
                  <c:v>Orgánico</c:v>
                </c:pt>
              </c:strCache>
            </c:strRef>
          </c:tx>
          <c:spPr>
            <a:solidFill>
              <a:srgbClr val="EB6834"/>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Hoja1!$C$2:$C$9</c:f>
              <c:numCache>
                <c:formatCode>0.0"%"</c:formatCode>
                <c:ptCount val="8"/>
                <c:pt idx="0">
                  <c:v>4.1</c:v>
                </c:pt>
                <c:pt idx="1">
                  <c:v>3</c:v>
                </c:pt>
                <c:pt idx="2">
                  <c:v>4.2</c:v>
                </c:pt>
                <c:pt idx="3">
                  <c:v>5</c:v>
                </c:pt>
                <c:pt idx="4">
                  <c:v>4.6</c:v>
                </c:pt>
                <c:pt idx="5">
                  <c:v>5.1</c:v>
                </c:pt>
                <c:pt idx="6">
                  <c:v>6</c:v>
                </c:pt>
                <c:pt idx="7">
                  <c:v>6.8</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Capital circulante en días</a:t>
            </a:r>
          </a:p>
        </c:rich>
      </c:tx>
      <c:overlay val="0"/>
    </c:title>
    <c:autoTitleDeleted val="0"/>
    <c:plotArea>
      <c:layout/>
      <c:lineChart>
        <c:grouping val="standard"/>
        <c:varyColors val="0"/>
        <c:ser>
          <c:idx val="0"/>
          <c:order val="0"/>
          <c:tx>
            <c:strRef>
              <c:f>Hoja1!$B$1</c:f>
              <c:strCache>
                <c:ptCount val="1"/>
                <c:pt idx="0">
                  <c:v>Días de cobro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62</c:v>
                </c:pt>
                <c:pt idx="1">
                  <c:v>62</c:v>
                </c:pt>
                <c:pt idx="2">
                  <c:v>62</c:v>
                </c:pt>
                <c:pt idx="3">
                  <c:v>62</c:v>
                </c:pt>
                <c:pt idx="4">
                  <c:v>62</c:v>
                </c:pt>
                <c:pt idx="5">
                  <c:v>62</c:v>
                </c:pt>
                <c:pt idx="6">
                  <c:v>62</c:v>
                </c:pt>
              </c:numCache>
            </c:numRef>
          </c:val>
          <c:smooth val="0"/>
        </c:ser>
        <c:ser>
          <c:idx val="1"/>
          <c:order val="1"/>
          <c:tx>
            <c:strRef>
              <c:f>Hoja1!$C$1</c:f>
              <c:strCache>
                <c:ptCount val="1"/>
                <c:pt idx="0">
                  <c:v>Días de inventario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77</c:v>
                </c:pt>
                <c:pt idx="1">
                  <c:v>77</c:v>
                </c:pt>
                <c:pt idx="2">
                  <c:v>77</c:v>
                </c:pt>
                <c:pt idx="3">
                  <c:v>77</c:v>
                </c:pt>
                <c:pt idx="4">
                  <c:v>77</c:v>
                </c:pt>
                <c:pt idx="5">
                  <c:v>77</c:v>
                </c:pt>
                <c:pt idx="6">
                  <c:v>77</c:v>
                </c:pt>
              </c:numCache>
            </c:numRef>
          </c:val>
          <c:smooth val="0"/>
        </c:ser>
        <c:ser>
          <c:idx val="2"/>
          <c:order val="2"/>
          <c:tx>
            <c:strRef>
              <c:f>Hoja1!$D$1</c:f>
              <c:strCache>
                <c:ptCount val="1"/>
                <c:pt idx="0">
                  <c:v>Días de pago</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58</c:v>
                </c:pt>
                <c:pt idx="1">
                  <c:v>58</c:v>
                </c:pt>
                <c:pt idx="2">
                  <c:v>59</c:v>
                </c:pt>
                <c:pt idx="3">
                  <c:v>58</c:v>
                </c:pt>
                <c:pt idx="4">
                  <c:v>58</c:v>
                </c:pt>
                <c:pt idx="5">
                  <c:v>58</c:v>
                </c:pt>
                <c:pt idx="6">
                  <c:v>58</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frente a beneficio neto (EUR, millones)</a:t>
            </a:r>
          </a:p>
        </c:rich>
      </c:tx>
      <c:overlay val="0"/>
    </c:title>
    <c:autoTitleDeleted val="0"/>
    <c:plotArea>
      <c:layout/>
      <c:barChart>
        <c:barDir val="col"/>
        <c:grouping val="clustered"/>
        <c:varyColors val="0"/>
        <c:ser>
          <c:idx val="0"/>
          <c:order val="0"/>
          <c:tx>
            <c:strRef>
              <c:f>Hoja1!$B$1</c:f>
              <c:strCache>
                <c:ptCount val="1"/>
                <c:pt idx="0">
                  <c:v>Flujo de caja libre</c:v>
                </c:pt>
              </c:strCache>
            </c:strRef>
          </c:tx>
          <c:spPr>
            <a:solidFill>
              <a:srgbClr val="2A78D6"/>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127</c:v>
                </c:pt>
                <c:pt idx="1">
                  <c:v>90</c:v>
                </c:pt>
                <c:pt idx="2">
                  <c:v>98</c:v>
                </c:pt>
                <c:pt idx="3">
                  <c:v>42</c:v>
                </c:pt>
                <c:pt idx="4">
                  <c:v>139</c:v>
                </c:pt>
                <c:pt idx="5">
                  <c:v>157</c:v>
                </c:pt>
                <c:pt idx="6">
                  <c:v>176</c:v>
                </c:pt>
              </c:numCache>
            </c:numRef>
          </c:val>
        </c:ser>
        <c:ser>
          <c:idx val="1"/>
          <c:order val="1"/>
          <c:tx>
            <c:strRef>
              <c:f>Hoja1!$C$1</c:f>
              <c:strCache>
                <c:ptCount val="1"/>
                <c:pt idx="0">
                  <c:v>Beneficio neto</c:v>
                </c:pt>
              </c:strCache>
            </c:strRef>
          </c:tx>
          <c:spPr>
            <a:solidFill>
              <a:srgbClr val="EB6834"/>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157</c:v>
                </c:pt>
                <c:pt idx="1">
                  <c:v>119</c:v>
                </c:pt>
                <c:pt idx="2">
                  <c:v>156</c:v>
                </c:pt>
                <c:pt idx="3">
                  <c:v>157</c:v>
                </c:pt>
                <c:pt idx="4">
                  <c:v>194</c:v>
                </c:pt>
                <c:pt idx="5">
                  <c:v>214</c:v>
                </c:pt>
                <c:pt idx="6">
                  <c:v>235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ROIC y ROE frente al coste del capital (%)</a:t>
            </a:r>
          </a:p>
        </c:rich>
      </c:tx>
      <c:overlay val="0"/>
    </c:title>
    <c:autoTitleDeleted val="0"/>
    <c:plotArea>
      <c:layout/>
      <c:lineChart>
        <c:grouping val="standard"/>
        <c:varyColors val="0"/>
        <c:ser>
          <c:idx val="0"/>
          <c:order val="0"/>
          <c:tx>
            <c:strRef>
              <c:f>Hoja1!$B$1</c:f>
              <c:strCache>
                <c:ptCount val="1"/>
                <c:pt idx="0">
                  <c:v>ROIC</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3">
                  <c:v>9.9</c:v>
                </c:pt>
                <c:pt idx="4">
                  <c:v>7.6</c:v>
                </c:pt>
                <c:pt idx="5">
                  <c:v>9.2</c:v>
                </c:pt>
                <c:pt idx="6">
                  <c:v>8.6</c:v>
                </c:pt>
                <c:pt idx="7">
                  <c:v>10.1</c:v>
                </c:pt>
                <c:pt idx="8">
                  <c:v>10.9</c:v>
                </c:pt>
                <c:pt idx="9">
                  <c:v>11.8</c:v>
                </c:pt>
              </c:numCache>
            </c:numRef>
          </c:val>
          <c:smooth val="0"/>
        </c:ser>
        <c:ser>
          <c:idx val="1"/>
          <c:order val="1"/>
          <c:tx>
            <c:strRef>
              <c:f>Hoja1!$C$1</c:f>
              <c:strCache>
                <c:ptCount val="1"/>
                <c:pt idx="0">
                  <c:v>WACC actual</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8.5</c:v>
                </c:pt>
                <c:pt idx="1">
                  <c:v>8.5</c:v>
                </c:pt>
                <c:pt idx="2">
                  <c:v>8.5</c:v>
                </c:pt>
                <c:pt idx="3">
                  <c:v>8.5</c:v>
                </c:pt>
                <c:pt idx="4">
                  <c:v>8.5</c:v>
                </c:pt>
                <c:pt idx="5">
                  <c:v>8.5</c:v>
                </c:pt>
                <c:pt idx="6">
                  <c:v>8.5</c:v>
                </c:pt>
                <c:pt idx="7">
                  <c:v>8.5</c:v>
                </c:pt>
                <c:pt idx="8">
                  <c:v>8.5</c:v>
                </c:pt>
                <c:pt idx="9">
                  <c:v>8.5</c:v>
                </c:pt>
              </c:numCache>
            </c:numRef>
          </c:val>
          <c:smooth val="0"/>
        </c:ser>
        <c:ser>
          <c:idx val="2"/>
          <c:order val="2"/>
          <c:tx>
            <c:strRef>
              <c:f>Hoja1!$D$1</c:f>
              <c:strCache>
                <c:ptCount val="1"/>
                <c:pt idx="0">
                  <c:v>ROE</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3">
                  <c:v>13.3</c:v>
                </c:pt>
                <c:pt idx="4">
                  <c:v>9.8</c:v>
                </c:pt>
                <c:pt idx="5">
                  <c:v>12.1</c:v>
                </c:pt>
                <c:pt idx="6">
                  <c:v>11.4</c:v>
                </c:pt>
                <c:pt idx="7">
                  <c:v>13.3</c:v>
                </c:pt>
                <c:pt idx="8">
                  <c:v>13.8</c:v>
                </c:pt>
                <c:pt idx="9">
                  <c:v>14.3</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Deuda neta / EBITDA al cierre de cada ejercicio (veces)</a:t>
            </a:r>
          </a:p>
        </c:rich>
      </c:tx>
      <c:overlay val="0"/>
    </c:title>
    <c:autoTitleDeleted val="0"/>
    <c:plotArea>
      <c:layout/>
      <c:barChart>
        <c:barDir val="col"/>
        <c:grouping val="clustered"/>
        <c:varyColors val="0"/>
        <c:ser>
          <c:idx val="0"/>
          <c:order val="0"/>
          <c:tx>
            <c:strRef>
              <c:f>Hoja1!$B$1</c:f>
              <c:strCache>
                <c:ptCount val="1"/>
                <c:pt idx="0">
                  <c:v>Deuda neta / 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2019</c:v>
                </c:pt>
                <c:pt idx="1">
                  <c:v>2020</c:v>
                </c:pt>
                <c:pt idx="2">
                  <c:v>2021</c:v>
                </c:pt>
                <c:pt idx="3">
                  <c:v>2022</c:v>
                </c:pt>
                <c:pt idx="4">
                  <c:v>2023</c:v>
                </c:pt>
                <c:pt idx="5">
                  <c:v>2024</c:v>
                </c:pt>
                <c:pt idx="6">
                  <c:v>2025</c:v>
                </c:pt>
              </c:strCache>
            </c:strRef>
          </c:cat>
          <c:val>
            <c:numRef>
              <c:f>Hoja1!$B$2:$B$8</c:f>
              <c:numCache>
                <c:formatCode>0.0"x"</c:formatCode>
                <c:ptCount val="7"/>
                <c:pt idx="0">
                  <c:v>1.7</c:v>
                </c:pt>
                <c:pt idx="1">
                  <c:v>1.96</c:v>
                </c:pt>
                <c:pt idx="2">
                  <c:v>1.92</c:v>
                </c:pt>
                <c:pt idx="3">
                  <c:v>1.94</c:v>
                </c:pt>
                <c:pt idx="4">
                  <c:v>1.5</c:v>
                </c:pt>
                <c:pt idx="5">
                  <c:v>1.24</c:v>
                </c:pt>
                <c:pt idx="6">
                  <c:v>1.05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Vencimientos de la deuda bruta (EUR, millones)</a:t>
            </a:r>
          </a:p>
        </c:rich>
      </c:tx>
      <c:overlay val="0"/>
    </c:title>
    <c:autoTitleDeleted val="0"/>
    <c:plotArea>
      <c:layout/>
      <c:barChart>
        <c:barDir val="col"/>
        <c:grouping val="clustered"/>
        <c:varyColors val="0"/>
        <c:ser>
          <c:idx val="0"/>
          <c:order val="0"/>
          <c:tx>
            <c:strRef>
              <c:f>Hoja1!$B$1</c:f>
              <c:strCache>
                <c:ptCount val="1"/>
                <c:pt idx="0">
                  <c:v>Vencimientos</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2026</c:v>
                </c:pt>
                <c:pt idx="1">
                  <c:v>2027</c:v>
                </c:pt>
                <c:pt idx="2">
                  <c:v>2028</c:v>
                </c:pt>
                <c:pt idx="3">
                  <c:v>2029</c:v>
                </c:pt>
                <c:pt idx="4">
                  <c:v>2030+</c:v>
                </c:pt>
              </c:strCache>
            </c:strRef>
          </c:cat>
          <c:val>
            <c:numRef>
              <c:f>Hoja1!$B$2:$B$6</c:f>
              <c:numCache>
                <c:formatCode>#,##0</c:formatCode>
                <c:ptCount val="5"/>
                <c:pt idx="0">
                  <c:v>40</c:v>
                </c:pt>
                <c:pt idx="1">
                  <c:v>65</c:v>
                </c:pt>
                <c:pt idx="2">
                  <c:v>300</c:v>
                </c:pt>
                <c:pt idx="3">
                  <c:v>120</c:v>
                </c:pt>
                <c:pt idx="4">
                  <c:v>75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Usos de la caja (EUR, millones)</a:t>
            </a:r>
          </a:p>
        </c:rich>
      </c:tx>
      <c:overlay val="0"/>
    </c:title>
    <c:autoTitleDeleted val="0"/>
    <c:plotArea>
      <c:layout/>
      <c:barChart>
        <c:barDir val="col"/>
        <c:grouping val="stacked"/>
        <c:varyColors val="0"/>
        <c:ser>
          <c:idx val="0"/>
          <c:order val="0"/>
          <c:tx>
            <c:strRef>
              <c:f>Hoja1!$B$1</c:f>
              <c:strCache>
                <c:ptCount val="1"/>
                <c:pt idx="0">
                  <c:v>Adquisiciones</c:v>
                </c:pt>
              </c:strCache>
            </c:strRef>
          </c:tx>
          <c:spPr>
            <a:solidFill>
              <a:srgbClr val="2A78D6"/>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35</c:v>
                </c:pt>
                <c:pt idx="1">
                  <c:v>0</c:v>
                </c:pt>
                <c:pt idx="2">
                  <c:v>40</c:v>
                </c:pt>
                <c:pt idx="3">
                  <c:v>120</c:v>
                </c:pt>
                <c:pt idx="4">
                  <c:v>0</c:v>
                </c:pt>
                <c:pt idx="5">
                  <c:v>25</c:v>
                </c:pt>
                <c:pt idx="6">
                  <c:v>0</c:v>
                </c:pt>
              </c:numCache>
            </c:numRef>
          </c:val>
        </c:ser>
        <c:ser>
          <c:idx val="1"/>
          <c:order val="1"/>
          <c:tx>
            <c:strRef>
              <c:f>Hoja1!$C$1</c:f>
              <c:strCache>
                <c:ptCount val="1"/>
                <c:pt idx="0">
                  <c:v>Dividendos</c:v>
                </c:pt>
              </c:strCache>
            </c:strRef>
          </c:tx>
          <c:spPr>
            <a:solidFill>
              <a:srgbClr val="EB6834"/>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68</c:v>
                </c:pt>
                <c:pt idx="1">
                  <c:v>52</c:v>
                </c:pt>
                <c:pt idx="2">
                  <c:v>68</c:v>
                </c:pt>
                <c:pt idx="3">
                  <c:v>70</c:v>
                </c:pt>
                <c:pt idx="4">
                  <c:v>85</c:v>
                </c:pt>
                <c:pt idx="5">
                  <c:v>94</c:v>
                </c:pt>
                <c:pt idx="6">
                  <c:v>104</c:v>
                </c:pt>
              </c:numCache>
            </c:numRef>
          </c:val>
        </c:ser>
        <c:ser>
          <c:idx val="2"/>
          <c:order val="2"/>
          <c:tx>
            <c:strRef>
              <c:f>Hoja1!$D$1</c:f>
              <c:strCache>
                <c:ptCount val="1"/>
                <c:pt idx="0">
                  <c:v>Recompras</c:v>
                </c:pt>
              </c:strCache>
            </c:strRef>
          </c:tx>
          <c:spPr>
            <a:solidFill>
              <a:srgbClr val="1BAF7A"/>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0</c:v>
                </c:pt>
                <c:pt idx="1">
                  <c:v>0</c:v>
                </c:pt>
                <c:pt idx="2">
                  <c:v>0</c:v>
                </c:pt>
                <c:pt idx="3">
                  <c:v>0</c:v>
                </c:pt>
                <c:pt idx="4">
                  <c:v>30</c:v>
                </c:pt>
                <c:pt idx="5">
                  <c:v>40</c:v>
                </c:pt>
                <c:pt idx="6">
                  <c:v>50</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Composición del consejo (número de consejeros)</a:t>
            </a:r>
          </a:p>
        </c:rich>
      </c:tx>
      <c:overlay val="0"/>
    </c:title>
    <c:autoTitleDeleted val="0"/>
    <c:plotArea>
      <c:layout/>
      <c:doughnutChart>
        <c:varyColors val="1"/>
        <c:ser>
          <c:idx val="0"/>
          <c:order val="0"/>
          <c:tx>
            <c:strRef>
              <c:f>Hoja1!$B$1</c:f>
              <c:strCache>
                <c:ptCount val="1"/>
                <c:pt idx="0">
                  <c:v>Consejeros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Dominical</c:v>
                </c:pt>
                <c:pt idx="1">
                  <c:v>Ejecutivo</c:v>
                </c:pt>
                <c:pt idx="2">
                  <c:v>Independiente</c:v>
                </c:pt>
              </c:strCache>
            </c:strRef>
          </c:cat>
          <c:val>
            <c:numRef>
              <c:f>Hoja1!$B$2:$B$4</c:f>
              <c:numCache>
                <c:formatCode>0</c:formatCode>
                <c:ptCount val="3"/>
                <c:pt idx="0">
                  <c:v>2</c:v>
                </c:pt>
                <c:pt idx="1">
                  <c:v>1</c:v>
                </c:pt>
                <c:pt idx="2">
                  <c:v>4</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Accionistas significativos (% del capital)</a:t>
            </a:r>
          </a:p>
        </c:rich>
      </c:tx>
      <c:overlay val="0"/>
    </c:title>
    <c:autoTitleDeleted val="0"/>
    <c:plotArea>
      <c:layout/>
      <c:barChart>
        <c:barDir val="bar"/>
        <c:grouping val="clustered"/>
        <c:varyColors val="0"/>
        <c:ser>
          <c:idx val="0"/>
          <c:order val="0"/>
          <c:tx>
            <c:strRef>
              <c:f>Hoja1!$B$1</c:f>
              <c:strCache>
                <c:ptCount val="1"/>
                <c:pt idx="0">
                  <c:v>% del capital</c:v>
                </c:pt>
              </c:strCache>
            </c:strRef>
          </c:tx>
          <c:spPr>
            <a:solidFill>
              <a:srgbClr val="2A78D6"/>
            </a:solidFill>
            <a:ln w="9525">
              <a:noFill/>
            </a:ln>
          </c:spPr>
          <c:invertIfNegative val="0"/>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Hoja1!$A$2:$A$5</c:f>
              <c:strCache>
                <c:ptCount val="4"/>
                <c:pt idx="0">
                  <c:v>Familia fundadora</c:v>
                </c:pt>
                <c:pt idx="1">
                  <c:v>Fondo de pensiones nórdico</c:v>
                </c:pt>
                <c:pt idx="2">
                  <c:v>Gestora estadounidense</c:v>
                </c:pt>
                <c:pt idx="3">
                  <c:v>Autocartera</c:v>
                </c:pt>
              </c:strCache>
            </c:strRef>
          </c:cat>
          <c:val>
            <c:numRef>
              <c:f>Hoja1!$B$2:$B$5</c:f>
              <c:numCache>
                <c:formatCode>0.0"%"</c:formatCode>
                <c:ptCount val="4"/>
                <c:pt idx="0">
                  <c:v>28</c:v>
                </c:pt>
                <c:pt idx="1">
                  <c:v>5.1</c:v>
                </c:pt>
                <c:pt idx="2">
                  <c:v>3.2</c:v>
                </c:pt>
                <c:pt idx="3">
                  <c:v>1.2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Rentabilidad total por año: acción frente a su índice (%)</a:t>
            </a:r>
          </a:p>
        </c:rich>
      </c:tx>
      <c:overlay val="0"/>
    </c:title>
    <c:autoTitleDeleted val="0"/>
    <c:plotArea>
      <c:layout/>
      <c:barChart>
        <c:barDir val="col"/>
        <c:grouping val="clustered"/>
        <c:varyColors val="0"/>
        <c:ser>
          <c:idx val="0"/>
          <c:order val="0"/>
          <c:tx>
            <c:strRef>
              <c:f>Hoja1!$B$1</c:f>
              <c:strCache>
                <c:ptCount val="1"/>
                <c:pt idx="0">
                  <c:v>Acción</c:v>
                </c:pt>
              </c:strCache>
            </c:strRef>
          </c:tx>
          <c:spPr>
            <a:solidFill>
              <a:srgbClr val="2A78D6"/>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18</c:v>
                </c:pt>
                <c:pt idx="1">
                  <c:v>-14</c:v>
                </c:pt>
                <c:pt idx="2">
                  <c:v>24</c:v>
                </c:pt>
                <c:pt idx="3">
                  <c:v>-9</c:v>
                </c:pt>
                <c:pt idx="4">
                  <c:v>21</c:v>
                </c:pt>
                <c:pt idx="5">
                  <c:v>13</c:v>
                </c:pt>
                <c:pt idx="6">
                  <c:v>17</c:v>
                </c:pt>
              </c:numCache>
            </c:numRef>
          </c:val>
        </c:ser>
        <c:ser>
          <c:idx val="1"/>
          <c:order val="1"/>
          <c:tx>
            <c:strRef>
              <c:f>Hoja1!$C$1</c:f>
              <c:strCache>
                <c:ptCount val="1"/>
                <c:pt idx="0">
                  <c:v>Índice</c:v>
                </c:pt>
              </c:strCache>
            </c:strRef>
          </c:tx>
          <c:spPr>
            <a:solidFill>
              <a:srgbClr val="EB6834"/>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16.5</c:v>
                </c:pt>
                <c:pt idx="1">
                  <c:v>-12.7</c:v>
                </c:pt>
                <c:pt idx="2">
                  <c:v>10.2</c:v>
                </c:pt>
                <c:pt idx="3">
                  <c:v>-2</c:v>
                </c:pt>
                <c:pt idx="4">
                  <c:v>27</c:v>
                </c:pt>
                <c:pt idx="5">
                  <c:v>18</c:v>
                </c:pt>
                <c:pt idx="6">
                  <c:v>14.5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últimos 12 meses (cierre de cada año): historia y mediana (veces)</a:t>
            </a:r>
          </a:p>
        </c:rich>
      </c:tx>
      <c:overlay val="0"/>
    </c:title>
    <c:autoTitleDeleted val="0"/>
    <c:plotArea>
      <c:layout/>
      <c:lineChart>
        <c:grouping val="standard"/>
        <c:varyColors val="0"/>
        <c:ser>
          <c:idx val="0"/>
          <c:order val="0"/>
          <c:tx>
            <c:strRef>
              <c:f>Hoja1!$B$1</c:f>
              <c:strCache>
                <c:ptCount val="1"/>
                <c:pt idx="0">
                  <c:v>Múltiplo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0.0"x"</c:formatCode>
                <c:ptCount val="10"/>
                <c:pt idx="3">
                  <c:v>13.4</c:v>
                </c:pt>
                <c:pt idx="4">
                  <c:v>14.3</c:v>
                </c:pt>
                <c:pt idx="5">
                  <c:v>14.2</c:v>
                </c:pt>
                <c:pt idx="6">
                  <c:v>12.7</c:v>
                </c:pt>
                <c:pt idx="7">
                  <c:v>12.5</c:v>
                </c:pt>
                <c:pt idx="8">
                  <c:v>12.6</c:v>
                </c:pt>
                <c:pt idx="9">
                  <c:v>11</c:v>
                </c:pt>
              </c:numCache>
            </c:numRef>
          </c:val>
          <c:smooth val="0"/>
        </c:ser>
        <c:ser>
          <c:idx val="1"/>
          <c:order val="1"/>
          <c:tx>
            <c:strRef>
              <c:f>Hoja1!$C$1</c:f>
              <c:strCache>
                <c:ptCount val="1"/>
                <c:pt idx="0">
                  <c:v>Mediana del periodo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0.0"x"</c:formatCode>
                <c:ptCount val="10"/>
                <c:pt idx="0">
                  <c:v>12.7</c:v>
                </c:pt>
                <c:pt idx="1">
                  <c:v>12.7</c:v>
                </c:pt>
                <c:pt idx="2">
                  <c:v>12.7</c:v>
                </c:pt>
                <c:pt idx="3">
                  <c:v>12.7</c:v>
                </c:pt>
                <c:pt idx="4">
                  <c:v>12.7</c:v>
                </c:pt>
                <c:pt idx="5">
                  <c:v>12.7</c:v>
                </c:pt>
                <c:pt idx="6">
                  <c:v>12.7</c:v>
                </c:pt>
                <c:pt idx="7">
                  <c:v>12.7</c:v>
                </c:pt>
                <c:pt idx="8">
                  <c:v>12.7</c:v>
                </c:pt>
                <c:pt idx="9">
                  <c:v>12.7</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de los próximos 12 meses: empresa y comparables (veces)</a:t>
            </a:r>
          </a:p>
        </c:rich>
      </c:tx>
      <c:overlay val="0"/>
    </c:title>
    <c:autoTitleDeleted val="0"/>
    <c:plotArea>
      <c:layout/>
      <c:barChart>
        <c:barDir val="bar"/>
        <c:grouping val="clustered"/>
        <c:varyColors val="0"/>
        <c:ser>
          <c:idx val="0"/>
          <c:order val="0"/>
          <c:tx>
            <c:strRef>
              <c:f>Hoja1!$B$1</c:f>
              <c:strCache>
                <c:ptCount val="1"/>
                <c:pt idx="0">
                  <c:v>EV/EBITDA NTM</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Compañía Ejemplo</c:v>
                </c:pt>
                <c:pt idx="1">
                  <c:v>Grupo Alfa</c:v>
                </c:pt>
                <c:pt idx="2">
                  <c:v>Beta Energy</c:v>
                </c:pt>
                <c:pt idx="3">
                  <c:v>Gamma Systems</c:v>
                </c:pt>
                <c:pt idx="4">
                  <c:v>Delta Cables</c:v>
                </c:pt>
                <c:pt idx="5">
                  <c:v>Epsilon Grid</c:v>
                </c:pt>
                <c:pt idx="6">
                  <c:v>Zeta Power</c:v>
                </c:pt>
              </c:strCache>
            </c:strRef>
          </c:cat>
          <c:val>
            <c:numRef>
              <c:f>Hoja1!$B$2:$B$8</c:f>
              <c:numCache>
                <c:formatCode>0.0"x"</c:formatCode>
                <c:ptCount val="7"/>
                <c:pt idx="0">
                  <c:v>10.5</c:v>
                </c:pt>
                <c:pt idx="1">
                  <c:v>12.9</c:v>
                </c:pt>
                <c:pt idx="2">
                  <c:v>10.6</c:v>
                </c:pt>
                <c:pt idx="3">
                  <c:v>14.8</c:v>
                </c:pt>
                <c:pt idx="4">
                  <c:v>8.9</c:v>
                </c:pt>
                <c:pt idx="5">
                  <c:v>11.3</c:v>
                </c:pt>
                <c:pt idx="6">
                  <c:v>9.5</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esperado frente a múltiplo</a:t>
            </a:r>
          </a:p>
        </c:rich>
      </c:tx>
      <c:overlay val="0"/>
    </c:title>
    <c:autoTitleDeleted val="0"/>
    <c:plotArea>
      <c:layout/>
      <c:scatterChart>
        <c:scatterStyle val="lineMarker"/>
        <c:varyColors val="0"/>
        <c:ser>
          <c:idx val="0"/>
          <c:order val="0"/>
          <c:tx>
            <c:strRef>
              <c:f>Hoja1!$A$2</c:f>
              <c:strCache>
                <c:ptCount val="1"/>
                <c:pt idx="0">
                  <c:v>Compañía Ejemplo</c:v>
                </c:pt>
              </c:strCache>
            </c:strRef>
          </c:tx>
          <c:spPr>
            <a:ln w="19050">
              <a:noFill/>
            </a:ln>
          </c:spPr>
          <c:marker>
            <c:symbol val="circle"/>
            <c:size val="10"/>
            <c:spPr>
              <a:solidFill>
                <a:srgbClr val="2A78D6"/>
              </a:solidFill>
              <a:ln w="9525">
                <a:solidFill>
                  <a:srgbClr val="FFFFFF"/>
                </a:solidFill>
              </a:ln>
            </c:spPr>
          </c:marker>
          <c:dLbls>
            <c:spPr>
              <a:noFill/>
              <a:ln>
                <a:noFill/>
              </a:ln>
            </c:spPr>
            <c:txPr>
              <a:bodyPr/>
              <a:lstStyle/>
              <a:p>
                <a:pPr>
                  <a:defRPr sz="800">
                    <a:solidFill>
                      <a:srgbClr val="1F2A3C"/>
                    </a:solidFill>
                  </a:defRPr>
                </a:pPr>
                <a:endParaRPr lang="es-ES"/>
              </a:p>
            </c:txPr>
            <c:dLblPos val="r"/>
            <c:showLegendKey val="0"/>
            <c:showVal val="0"/>
            <c:showCatName val="0"/>
            <c:showSerName val="1"/>
            <c:showPercent val="0"/>
            <c:showBubbleSize val="0"/>
          </c:dLbls>
          <c:xVal>
            <c:numRef>
              <c:f>Hoja1!$B$2</c:f>
              <c:numCache>
                <c:formatCode>0"%"</c:formatCode>
                <c:ptCount val="1"/>
                <c:pt idx="0">
                  <c:v>6.6</c:v>
                </c:pt>
              </c:numCache>
            </c:numRef>
          </c:xVal>
          <c:yVal>
            <c:numRef>
              <c:f>Hoja1!$C$2</c:f>
              <c:numCache>
                <c:formatCode>0.0"x"</c:formatCode>
                <c:ptCount val="1"/>
                <c:pt idx="0">
                  <c:v>10.5</c:v>
                </c:pt>
              </c:numCache>
            </c:numRef>
          </c:yVal>
          <c:smooth val="0"/>
        </c:ser>
        <c:ser>
          <c:idx val="1"/>
          <c:order val="1"/>
          <c:tx>
            <c:strRef>
              <c:f>Hoja1!$A$3</c:f>
              <c:strCache>
                <c:ptCount val="1"/>
                <c:pt idx="0">
                  <c:v>Grupo Alfa</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Hoja1!$B$3</c:f>
              <c:numCache>
                <c:formatCode>0"%"</c:formatCode>
                <c:ptCount val="1"/>
                <c:pt idx="0">
                  <c:v>8.2</c:v>
                </c:pt>
              </c:numCache>
            </c:numRef>
          </c:xVal>
          <c:yVal>
            <c:numRef>
              <c:f>Hoja1!$C$3</c:f>
              <c:numCache>
                <c:formatCode>0.0"x"</c:formatCode>
                <c:ptCount val="1"/>
                <c:pt idx="0">
                  <c:v>12.9</c:v>
                </c:pt>
              </c:numCache>
            </c:numRef>
          </c:yVal>
          <c:smooth val="0"/>
        </c:ser>
        <c:ser>
          <c:idx val="2"/>
          <c:order val="2"/>
          <c:tx>
            <c:strRef>
              <c:f>Hoja1!$A$4</c:f>
              <c:strCache>
                <c:ptCount val="1"/>
                <c:pt idx="0">
                  <c:v>Beta Energy</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Hoja1!$B$4</c:f>
              <c:numCache>
                <c:formatCode>0"%"</c:formatCode>
                <c:ptCount val="1"/>
                <c:pt idx="0">
                  <c:v>6.1</c:v>
                </c:pt>
              </c:numCache>
            </c:numRef>
          </c:xVal>
          <c:yVal>
            <c:numRef>
              <c:f>Hoja1!$C$4</c:f>
              <c:numCache>
                <c:formatCode>0.0"x"</c:formatCode>
                <c:ptCount val="1"/>
                <c:pt idx="0">
                  <c:v>10.6</c:v>
                </c:pt>
              </c:numCache>
            </c:numRef>
          </c:yVal>
          <c:smooth val="0"/>
        </c:ser>
        <c:ser>
          <c:idx val="3"/>
          <c:order val="3"/>
          <c:tx>
            <c:strRef>
              <c:f>Hoja1!$A$5</c:f>
              <c:strCache>
                <c:ptCount val="1"/>
                <c:pt idx="0">
                  <c:v>Gamma Systems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Hoja1!$B$5</c:f>
              <c:numCache>
                <c:formatCode>0"%"</c:formatCode>
                <c:ptCount val="1"/>
                <c:pt idx="0">
                  <c:v>9.4</c:v>
                </c:pt>
              </c:numCache>
            </c:numRef>
          </c:xVal>
          <c:yVal>
            <c:numRef>
              <c:f>Hoja1!$C$5</c:f>
              <c:numCache>
                <c:formatCode>0.0"x"</c:formatCode>
                <c:ptCount val="1"/>
                <c:pt idx="0">
                  <c:v>14.8</c:v>
                </c:pt>
              </c:numCache>
            </c:numRef>
          </c:yVal>
          <c:smooth val="0"/>
        </c:ser>
        <c:ser>
          <c:idx val="4"/>
          <c:order val="4"/>
          <c:tx>
            <c:strRef>
              <c:f>Hoja1!$A$6</c:f>
              <c:strCache>
                <c:ptCount val="1"/>
                <c:pt idx="0">
                  <c:v>Delta Cables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Hoja1!$B$6</c:f>
              <c:numCache>
                <c:formatCode>0"%"</c:formatCode>
                <c:ptCount val="1"/>
                <c:pt idx="0">
                  <c:v>3.8</c:v>
                </c:pt>
              </c:numCache>
            </c:numRef>
          </c:xVal>
          <c:yVal>
            <c:numRef>
              <c:f>Hoja1!$C$6</c:f>
              <c:numCache>
                <c:formatCode>0.0"x"</c:formatCode>
                <c:ptCount val="1"/>
                <c:pt idx="0">
                  <c:v>8.9</c:v>
                </c:pt>
              </c:numCache>
            </c:numRef>
          </c:yVal>
          <c:smooth val="0"/>
        </c:ser>
        <c:ser>
          <c:idx val="5"/>
          <c:order val="5"/>
          <c:tx>
            <c:strRef>
              <c:f>Hoja1!$A$7</c:f>
              <c:strCache>
                <c:ptCount val="1"/>
                <c:pt idx="0">
                  <c:v>Epsilon Grid</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Hoja1!$B$7</c:f>
              <c:numCache>
                <c:formatCode>0"%"</c:formatCode>
                <c:ptCount val="1"/>
                <c:pt idx="0">
                  <c:v>7</c:v>
                </c:pt>
              </c:numCache>
            </c:numRef>
          </c:xVal>
          <c:yVal>
            <c:numRef>
              <c:f>Hoja1!$C$7</c:f>
              <c:numCache>
                <c:formatCode>0.0"x"</c:formatCode>
                <c:ptCount val="1"/>
                <c:pt idx="0">
                  <c:v>11.3</c:v>
                </c:pt>
              </c:numCache>
            </c:numRef>
          </c:yVal>
          <c:smooth val="0"/>
        </c:ser>
        <c:ser>
          <c:idx val="6"/>
          <c:order val="6"/>
          <c:tx>
            <c:strRef>
              <c:f>Hoja1!$A$8</c:f>
              <c:strCache>
                <c:ptCount val="1"/>
                <c:pt idx="0">
                  <c:v>Zeta Power</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Hoja1!$B$8</c:f>
              <c:numCache>
                <c:formatCode>0"%"</c:formatCode>
                <c:ptCount val="1"/>
                <c:pt idx="0">
                  <c:v>5</c:v>
                </c:pt>
              </c:numCache>
            </c:numRef>
          </c:xVal>
          <c:yVal>
            <c:numRef>
              <c:f>Hoja1!$C$8</c:f>
              <c:numCache>
                <c:formatCode>0.0"x"</c:formatCode>
                <c:ptCount val="1"/>
                <c:pt idx="0">
                  <c:v>9.5</c:v>
                </c:pt>
              </c:numCache>
            </c:numRef>
          </c:yVal>
          <c:smooth val="0"/>
        </c:ser>
        <c:axId val="10"/>
        <c:axId val="20"/>
      </c:scatterChart>
      <c:valAx>
        <c:axId val="10"/>
        <c:scaling>
          <c:orientation val="minMax"/>
          <c:max val="11"/>
          <c:min val="2"/>
        </c:scaling>
        <c:delete val="0"/>
        <c:axPos val="b"/>
        <c:title>
          <c:tx>
            <c:rich>
              <a:bodyPr/>
              <a:lstStyle/>
              <a:p>
                <a:pPr>
                  <a:defRPr sz="850" b="0">
                    <a:solidFill>
                      <a:srgbClr val="52514E"/>
                    </a:solidFill>
                  </a:defRPr>
                </a:pPr>
                <a:r>
                  <a:rPr lang="es-ES" sz="850" b="0">
                    <a:solidFill>
                      <a:srgbClr val="52514E"/>
                    </a:solidFill>
                  </a:rPr>
                  <a:t>Crecimiento de ingresos próximos 12 meses (%)</a:t>
                </a:r>
              </a:p>
            </c:rich>
          </c:tx>
          <c:overlay val="0"/>
        </c:title>
        <c:numFmt formatCode="0&quot;%&quot;"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crossBetween val="midCat"/>
      </c:valAx>
      <c:valAx>
        <c:axId val="20"/>
        <c:scaling>
          <c:orientation val="minMax"/>
          <c:min val="7"/>
        </c:scaling>
        <c:delete val="0"/>
        <c:axPos val="l"/>
        <c:majorGridlines>
          <c:spPr>
            <a:ln w="6350">
              <a:solidFill>
                <a:srgbClr val="E4E3DF"/>
              </a:solidFill>
            </a:ln>
          </c:spPr>
        </c:majorGridlines>
        <c:title>
          <c:tx>
            <c:rich>
              <a:bodyPr rot="-5400000" vert="horz"/>
              <a:lstStyle/>
              <a:p>
                <a:pPr>
                  <a:defRPr sz="850" b="0">
                    <a:solidFill>
                      <a:srgbClr val="52514E"/>
                    </a:solidFill>
                  </a:defRPr>
                </a:pPr>
                <a:r>
                  <a:rPr lang="es-ES" sz="850" b="0">
                    <a:solidFill>
                      <a:srgbClr val="52514E"/>
                    </a:solidFill>
                  </a:rPr>
                  <a:t>EV/EBITDA NTM (x)</a:t>
                </a:r>
              </a:p>
            </c:rich>
          </c:tx>
          <c:overlay val="0"/>
        </c:title>
        <c:numFmt formatCode="0.0&quot;x&quot;" sourceLinked="0"/>
        <c:majorTickMark val="none"/>
        <c:minorTickMark val="none"/>
        <c:tickLblPos val="low"/>
        <c:spPr>
          <a:ln>
            <a:noFill/>
          </a:ln>
        </c:spPr>
        <c:txPr>
          <a:bodyPr/>
          <a:lstStyle/>
          <a:p>
            <a:pPr>
              <a:defRPr sz="850">
                <a:solidFill>
                  <a:srgbClr val="52514E"/>
                </a:solidFill>
              </a:defRPr>
            </a:pPr>
            <a:endParaRPr lang="es-ES"/>
          </a:p>
        </c:txPr>
        <c:crossAx val="10"/>
        <c:crosses val="autoZero"/>
        <c:crossBetween val="midCat"/>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pagado en transacciones del sector (veces)</a:t>
            </a:r>
          </a:p>
        </c:rich>
      </c:tx>
      <c:overlay val="0"/>
    </c:title>
    <c:autoTitleDeleted val="0"/>
    <c:plotArea>
      <c:layout/>
      <c:barChart>
        <c:barDir val="bar"/>
        <c:grouping val="clustered"/>
        <c:varyColors val="0"/>
        <c:ser>
          <c:idx val="0"/>
          <c:order val="0"/>
          <c:tx>
            <c:strRef>
              <c:f>Hoja1!$B$1</c:f>
              <c:strCache>
                <c:ptCount val="1"/>
                <c:pt idx="0">
                  <c:v>EV/EBITDA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Fabricante nórdico de aparamenta</c:v>
                </c:pt>
                <c:pt idx="1">
                  <c:v>Delta Transformers</c:v>
                </c:pt>
                <c:pt idx="2">
                  <c:v>Cables industriales (Portugal)</c:v>
                </c:pt>
                <c:pt idx="3">
                  <c:v>Especialista en sensores de red</c:v>
                </c:pt>
                <c:pt idx="4">
                  <c:v>Cables especiales (Polonia)</c:v>
                </c:pt>
              </c:strCache>
            </c:strRef>
          </c:cat>
          <c:val>
            <c:numRef>
              <c:f>Hoja1!$B$2:$B$6</c:f>
              <c:numCache>
                <c:formatCode>0.0"x"</c:formatCode>
                <c:ptCount val="5"/>
                <c:pt idx="0">
                  <c:v>12.8</c:v>
                </c:pt>
                <c:pt idx="1">
                  <c:v>10.5</c:v>
                </c:pt>
                <c:pt idx="2">
                  <c:v>9.2</c:v>
                </c:pt>
                <c:pt idx="3">
                  <c:v>18.5</c:v>
                </c:pt>
                <c:pt idx="4">
                  <c:v>8</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para la empresa proyectado (EUR, millones)</a:t>
            </a:r>
          </a:p>
        </c:rich>
      </c:tx>
      <c:overlay val="0"/>
    </c:title>
    <c:autoTitleDeleted val="0"/>
    <c:plotArea>
      <c:layout/>
      <c:barChart>
        <c:barDir val="col"/>
        <c:grouping val="clustered"/>
        <c:varyColors val="0"/>
        <c:ser>
          <c:idx val="0"/>
          <c:order val="0"/>
          <c:tx>
            <c:strRef>
              <c:f>Hoja1!$B$1</c:f>
              <c:strCache>
                <c:ptCount val="1"/>
                <c:pt idx="0">
                  <c:v>FCFF</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2026e</c:v>
                </c:pt>
                <c:pt idx="1">
                  <c:v>2027e</c:v>
                </c:pt>
                <c:pt idx="2">
                  <c:v>2028e</c:v>
                </c:pt>
                <c:pt idx="3">
                  <c:v>2029e</c:v>
                </c:pt>
                <c:pt idx="4">
                  <c:v>2030e</c:v>
                </c:pt>
                <c:pt idx="5">
                  <c:v>2031e</c:v>
                </c:pt>
                <c:pt idx="6">
                  <c:v>2032e</c:v>
                </c:pt>
              </c:strCache>
            </c:strRef>
          </c:cat>
          <c:val>
            <c:numRef>
              <c:f>Hoja1!$B$2:$B$8</c:f>
              <c:numCache>
                <c:formatCode>#,##0</c:formatCode>
                <c:ptCount val="7"/>
                <c:pt idx="0">
                  <c:v>219</c:v>
                </c:pt>
                <c:pt idx="1">
                  <c:v>253</c:v>
                </c:pt>
                <c:pt idx="2">
                  <c:v>276</c:v>
                </c:pt>
                <c:pt idx="3">
                  <c:v>317</c:v>
                </c:pt>
                <c:pt idx="4">
                  <c:v>340</c:v>
                </c:pt>
                <c:pt idx="5">
                  <c:v>357</c:v>
                </c:pt>
                <c:pt idx="6">
                  <c:v>372</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 dónde sale el valor empresa del DCF (EUR, millones)</a:t>
            </a:r>
          </a:p>
        </c:rich>
      </c:tx>
      <c:overlay val="0"/>
    </c:title>
    <c:autoTitleDeleted val="0"/>
    <c:plotArea>
      <c:layout/>
      <c:doughnutChart>
        <c:varyColors val="1"/>
        <c:ser>
          <c:idx val="0"/>
          <c:order val="0"/>
          <c:tx>
            <c:strRef>
              <c:f>Hoja1!$B$1</c:f>
              <c:strCache>
                <c:ptCount val="1"/>
                <c:pt idx="0">
                  <c:v>Valor actual</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Flujos proyectados</c:v>
                </c:pt>
                <c:pt idx="1">
                  <c:v>Etapa de transición</c:v>
                </c:pt>
                <c:pt idx="2">
                  <c:v>Valor terminal</c:v>
                </c:pt>
              </c:strCache>
            </c:strRef>
          </c:cat>
          <c:val>
            <c:numRef>
              <c:f>Hoja1!$B$2:$B$4</c:f>
              <c:numCache>
                <c:formatCode>#,##0</c:formatCode>
                <c:ptCount val="3"/>
                <c:pt idx="0">
                  <c:v>1510</c:v>
                </c:pt>
                <c:pt idx="1">
                  <c:v>972</c:v>
                </c:pt>
                <c:pt idx="2">
                  <c:v>2640</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por escenario (EUR) · precio actual 31,40</a:t>
            </a:r>
          </a:p>
        </c:rich>
      </c:tx>
      <c:overlay val="0"/>
    </c:title>
    <c:autoTitleDeleted val="0"/>
    <c:plotArea>
      <c:layout/>
      <c:barChart>
        <c:barDir val="col"/>
        <c:grouping val="clustered"/>
        <c:varyColors val="0"/>
        <c:ser>
          <c:idx val="0"/>
          <c:order val="0"/>
          <c:tx>
            <c:strRef>
              <c:f>Hoja1!$B$1</c:f>
              <c:strCache>
                <c:ptCount val="1"/>
                <c:pt idx="0">
                  <c:v>Valor por acción</c:v>
                </c:pt>
              </c:strCache>
            </c:strRef>
          </c:tx>
          <c:spPr>
            <a:solidFill>
              <a:srgbClr val="2A78D6"/>
            </a:solidFill>
            <a:ln w="9525">
              <a:noFill/>
            </a:ln>
          </c:spPr>
          <c:invertIfNegative val="0"/>
          <c:dLbls>
            <c:numFmt formatCode="#,##0.0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Hoja1!$A$2:$A$4</c:f>
              <c:strCache>
                <c:ptCount val="3"/>
                <c:pt idx="0">
                  <c:v>Bajista</c:v>
                </c:pt>
                <c:pt idx="1">
                  <c:v>Base</c:v>
                </c:pt>
                <c:pt idx="2">
                  <c:v>Alcista</c:v>
                </c:pt>
              </c:strCache>
            </c:strRef>
          </c:cat>
          <c:val>
            <c:numRef>
              <c:f>Hoja1!$B$2:$B$4</c:f>
              <c:numCache>
                <c:formatCode>#,##0.00</c:formatCode>
                <c:ptCount val="3"/>
                <c:pt idx="0">
                  <c:v>16.57</c:v>
                </c:pt>
                <c:pt idx="1">
                  <c:v>28.08</c:v>
                </c:pt>
                <c:pt idx="2">
                  <c:v>36.55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31,40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Hoja1!$B$2:$B$11</c:f>
              <c:numCache>
                <c:formatCode>#,##0.0</c:formatCode>
                <c:ptCount val="10"/>
                <c:pt idx="0">
                  <c:v>24.1</c:v>
                </c:pt>
                <c:pt idx="1">
                  <c:v>27</c:v>
                </c:pt>
                <c:pt idx="2">
                  <c:v>29.06</c:v>
                </c:pt>
                <c:pt idx="3">
                  <c:v>29.92</c:v>
                </c:pt>
                <c:pt idx="4">
                  <c:v>24.24</c:v>
                </c:pt>
                <c:pt idx="5">
                  <c:v>24.7</c:v>
                </c:pt>
                <c:pt idx="6">
                  <c:v>16.57</c:v>
                </c:pt>
                <c:pt idx="7">
                  <c:v>33.78</c:v>
                </c:pt>
                <c:pt idx="8">
                  <c:v>31.22</c:v>
                </c:pt>
                <c:pt idx="9">
                  <c:v>31.24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9"/>
            <c:invertIfNegative val="0"/>
            <c:bubble3D val="0"/>
            <c:spPr>
              <a:solidFill>
                <a:srgbClr val="C9C8C2"/>
              </a:solidFill>
            </c:spPr>
          </c:dPt>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Hoja1!$C$2:$C$11</c:f>
              <c:numCache>
                <c:formatCode>#,##0.0</c:formatCode>
                <c:ptCount val="10"/>
                <c:pt idx="0">
                  <c:v>9.799999999999997</c:v>
                </c:pt>
                <c:pt idx="1">
                  <c:v>13</c:v>
                </c:pt>
                <c:pt idx="2">
                  <c:v>9.2</c:v>
                </c:pt>
                <c:pt idx="3">
                  <c:v>8.850000000000001</c:v>
                </c:pt>
                <c:pt idx="4">
                  <c:v>11.02</c:v>
                </c:pt>
                <c:pt idx="5">
                  <c:v>7.930000000000003</c:v>
                </c:pt>
                <c:pt idx="6">
                  <c:v>19.979999999999997</c:v>
                </c:pt>
                <c:pt idx="7">
                  <c:v>13.310000000000002</c:v>
                </c:pt>
                <c:pt idx="8">
                  <c:v>7.310000000000002</c:v>
                </c:pt>
                <c:pt idx="9">
                  <c:v>0.3200000000000003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2026-10-07T15:22:08.029Z</dcterms:created>
  <dcterms:modified xsi:type="dcterms:W3CDTF">2026-10-07T15:22:08.032Z</dcterms:modified>
</cp:coreProperties>
</file>

<file path=docProps/custom.xml><?xml version="1.0" encoding="utf-8"?>
<Properties xmlns="http://schemas.openxmlformats.org/officeDocument/2006/custom-properties" xmlns:vt="http://schemas.openxmlformats.org/officeDocument/2006/docPropsVTypes"/>
</file>