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Mantenimiento industrial externalizado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España · CNAE 33.1 y 33.2 · NACE C33 · GICS 20201050 (aprox.)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7.800 (2025)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4,8 %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5,5 %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17 %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9,0 %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8,8x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Media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</w:t>
      </w:r>
    </w:p>
    <w:p>
      <w:pPr>
        <w:spacing w:after="100"/>
      </w:pPr>
      <w:r>
        <w:t xml:space="preserve">Mercado de </w:t>
      </w:r>
      <w:r>
        <w:rPr>
          <w:b/>
        </w:rPr>
        <w:t xml:space="preserve">≈ 7.800 M EUR</w:t>
      </w:r>
      <w:r>
        <w:t xml:space="preserve"> en España que crece al 5,5 % anual porque la industria externaliza cada vez más el mantenimiento [1]. Está </w:t>
      </w:r>
      <w:r>
        <w:rPr>
          <w:b/>
        </w:rPr>
        <w:t xml:space="preserve">muy fragmentado</w:t>
      </w:r>
      <w:r>
        <w:t xml:space="preserve"> (los cinco primeros suman el 17 %), con miles de talleres locales: terreno natural para compras y consolidación.</w:t>
      </w:r>
    </w:p>
    <w:p>
      <w:pPr>
        <w:spacing w:after="100"/>
      </w:pPr>
      <w:r>
        <w:t xml:space="preserve">Los márgenes son modestos (EBITDA mediano del 9 %), pero estables y con poca necesidad de inversión, lo que da conversión de caja alta.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Fragmentación</w:t>
      </w:r>
      <w:r>
        <w:t xml:space="preserve">: más de 4.000 empresas; el líder tiene el 5 %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Recurrencia</w:t>
      </w:r>
      <w:r>
        <w:t xml:space="preserve">: el 60 % de los ingresos viene de contratos plurianuales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Predictivo</w:t>
      </w:r>
      <w:r>
        <w:t xml:space="preserve">: el segmento digital crece al 14 % y mejora el margen [3].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Mano de obra</w:t>
      </w:r>
      <w:r>
        <w:t xml:space="preserve">: escasez de técnicos cualificados; los salarios suben más que las tarifas.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Ciclo industrial</w:t>
      </w:r>
      <w:r>
        <w:t xml:space="preserve">: las paradas de planta se aplazan cuando cae la producción.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En el mantenimiento predictivo y en plataformas regionales con contratos marco, que pueden comprar talleres locales a 4-5x EBITDA y cotizar el conjunto a 8-9x.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Empresas que reparan, mantienen e instalan maquinaria y equipos industriales por cuenta de terceros: mantenimiento preventivo y correctivo, paradas programadas y servicios de ingeniería asociados.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CNAE 33.1 y 33.2 · NACE C33 · GICS 20201050 (aprox.)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España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mecánico y eléctrico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Paradas de planta y grandes revisiones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predictivo y monitorización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Instalación y montaje industrial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El mantenimiento de edificios (facility management) y el que hacen los propios fabricantes de equipos como servicio posventa.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Tamaño (2025)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7.800 millones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Ingresos de los proveedores externos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histórico (2020-2025)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4,8 %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previsto (2025-2030)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5,5 %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1" name="Gráfico 1" descr="Tamaño del mercado (EUR, millones) · años con «e» son previsione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Estadística oficial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7.800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–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CNAE 33.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Consultora A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8.900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5,5 %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Incluye instalación y montaje.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Asociación sectorial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7.200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5,0 %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socios.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Las fuentes difieren hasta un 14 % por el perímetro. Usamos la estadística oficial como base y el crecimiento de la consultora.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Mecánico y eléctrico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52,0 %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+3,8 %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Núcleo maduro; compite en precio.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Paradas de planta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21,0 %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Ligado a química y refino.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Instalación y montaje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Tirado por la inversión industrial.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Sensores y analítica; mejor margen.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2" name="Gráfico 2" descr="Peso de cada segmento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3" name="Gráfico 3" descr="Crecimiento anual previsto por segment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4" name="Gráfico 4" descr="Peso por geografía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Industria química y petroquímica (24 %), alimentación (19 %), automoción (14 %), energía (13 %) y metal (11 %). Los grandes clientes licitan contratos de 3-5 años.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Fabricantes de equipos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Venden la máquina y el mantenimiento en garantía.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Fabricantes globales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Integradores multitécnicos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Contratos globales de planta.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Grupos nacionales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Una técnica concreta (predictivo, soldadura, calderería).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especializadas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Talleres locales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Correctivo en un radio de 100 km.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Miles de micropymes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5" name="Gráfico 5" descr="Margen EBITDA típico de cada eslabón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spacing w:after="100"/>
      </w:pPr>
      <w:r>
        <w:t xml:space="preserve">El margen está en los extremos: el fabricante, por la tecnología, y el especialista, por la escasez de conocimiento. El integrador gana por volumen y por la relación con el cliente.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Externalización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cuota externalizada pasa del 38 % al 46 % en diez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Envejecimiento del parque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Edad media de los equipos de 17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+/-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Cíclico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Elasticidad de ≈ 0,6 con el índice de producción industrial.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Vacantes sin cubrir del 7 %.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digitalización convierte parte del correctivo en predictivo: menos horas de taller y más contratos con pago por disponibilidad.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Muy fragmentada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120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4.200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5,1 %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Francia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 (filial)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Grupo D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Familiar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6" name="Gráfico 6" descr="Cuotas de mercad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Bajas para el correctivo local; medias para paradas de planta (homologaciones, seguridad) y altas para el predictivo (datos y software).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Los integradores grandes ganan los contratos globales; los fondos montan plataformas comprando especialistas regionales.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7" name="Gráfico 7" descr="Intensidad de las cinco fuerzas (1 = favorable, 5 = desfavorable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Rivalidad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Muchos competidores y servicio poco diferenciado en el correctivo.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clientes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Grandes industriales licitan y comparan precio.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proveedores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proveedor clave es el técnico cualificado, escaso.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entrada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Fácil en local, difícil en contratos grandes.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sustitutos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alternativa es internalizar, y la tendencia va al revés.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Sector de rentabilidad media: la presión de clientes y la rivalidad limitan el margen, pero la sustitución juega a favor.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Los especialistas están arriba.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Capex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1,5 %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Negocio de personas, poco intensivo en capital.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 circulante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Cobro a 75-90 días a la industria.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Conversión de caja (FCF / EBITDA)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 por el bajo capex.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ROIC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22 %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Pocos activos.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El 60 % de los ingresos es recurrente (contratos de mantenimiento); el resto, proyectos y correctivo. Las revisiones de precio suelen ir ligadas al IPC con 6-12 meses de retraso.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Crecimiento del sector frente al PIB (% anual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Cuando cae, se aplazan paradas e instalaciones.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laborales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Son el 55-60 % de los costes.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Tipos de interés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Baja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Poca deuda en el sector; afecta a la inversión de los clientes.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En 2020 cayó la mitad que el PIB: el mantenimiento obligatorio se mantuvo y solo se aplazaron las paradas.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Baja</w:t>
      </w:r>
    </w:p>
    <w:p>
      <w:pPr>
        <w:spacing w:after="100"/>
      </w:pPr>
      <w:r>
        <w:t xml:space="preserve">Normativa de seguridad industrial y prevención de riesgos laborales; habilitaciones profesionales por especialidad.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Reforma de habilitaciones de técnicos (ficticia)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tramitación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2027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Encarece la formación; favorece a los grandes.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Directiva de eficiencia energética industrial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vigor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Más auditorías y mantenimiento de equipos energéticos.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Baja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Mantenimiento predictivo con sensores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Adopción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1-3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Gana quien tenga datos de muchas plantas; pierden los talleres de correctivo.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Gemelos digitales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Temprana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5+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Favorece a los fabricantes de equipos.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tecnología no elimina el trabajo de campo, pero sí desplaza margen hacia quien interpreta los datos.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9" name="Gráfico 9" descr="Número de operaciones corporativas por añ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2025-11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Especialista predictivo X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9,5x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Añade software propio.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2025-06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Fondo de capital privado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260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Segunda vuelta de capital privado.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2024-03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Taller regional Y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4,6x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Compra pequeña típica.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Pymes locales: 4-6x EBITDA. Plataformas con más de 15 M de EBITDA: 8-10x. Especialistas digitales: 9-12x.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Al menos seis fondos tienen plataformas en el sector en España, casi todas con estrategia de compra y agregación.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El número de empresas baja un 2 % al año; los cinco primeros han ganado 4 puntos de cuota desde 2020.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1.450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8,6x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15,1x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 (matriz)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6.200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16,4x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Servicios técnicos G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3.800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+7,8 %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10,4x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19,0x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Ingeniería H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IT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12,2x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10" name="Gráfico 10" descr="Cotizadas: crecimiento frente a múltipl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EV/EBITDA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10,5x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16,9x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EV/Ventas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0,7x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1,9x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11" name="Gráfico 11" descr="Múltiplos del sector: hoy, su media de 10 años y el mercad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1"/>
              </a:graphicData>
            </a:graphic>
          </wp:inline>
        </w:drawing>
      </w:r>
    </w:p>
    <w:p>
      <w:pPr>
        <w:spacing w:after="100"/>
      </w:pPr>
      <w:r>
        <w:t xml:space="preserve">Pocas cotizadas puras. El sector cotiza con descuento frente al mercado y algo por encima de su media histórica.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Baja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Siniestralidad laboral (trabajo en altura, espacios confinados) y dependencia de clientes de industrias intensivas en emisiones.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El mantenimiento alarga la vida de los equipos y mejora su eficiencia energética: encaja en la economía circular.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Las empresas grandes ya reportan con la directiva europea de información de sostenibilidad; los clientes piden datos de emisiones a sus proveedores.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Limita el crecimiento y presiona salarios.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Rotación &gt; 20 %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Recesión industrial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Aplaza paradas y proyectos.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Producción industrial &lt; -3 %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Sobreprecio en compras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competencia de fondos sube los múltiplos.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&gt; 7x EBITDA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de compra y agregación regional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Diferencial de múltiplo de 4x entre compra y salida.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 predictivo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 / capital riesgo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Crece al 14 % y los integradores pagan por la tecnología.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cotizado con descuento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Bolsa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 a 8,6x frente a 10,5x del mercado.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Índice de 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+1,2 % interanual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Afiliados en CNAE 33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112.400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Seguridad Social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Múltiplo medio de operaciones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→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Trimestral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Bases de datos de operaciones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Encuesta de servicios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jun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de mercado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Consultora A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mar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https://example.com/consultora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Anuario del sector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Asociación sectorial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 may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https://example.com/asociacion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7 oct 2026.</w:t>
      </w:r>
    </w:p>
    <w:p>
      <w:pPr>
        <w:pStyle w:val="Nota"/>
        <w:spacing w:after="100"/>
      </w:pPr>
      <w:r>
        <w:t xml:space="preserve">EJEMPLO FICTICIO para probar la plantilla: el sector existe, pero las empresas y todas las cifras son inventadas.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Mantenimiento industrial externalizado · España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Relationship Id="rIdGrafico11" Type="http://schemas.openxmlformats.org/officeDocument/2006/relationships/chart" Target="charts/chart1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Tamaño del mercado (EUR, millones) · años con «e» son previsiones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Tamaño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2020</c:v>
                </c:pt>
                <c:pt idx="1">
                  <c:v>2021</c:v>
                </c:pt>
                <c:pt idx="2">
                  <c:v>2022</c:v>
                </c:pt>
                <c:pt idx="3">
                  <c:v>2023</c:v>
                </c:pt>
                <c:pt idx="4">
                  <c:v>2024</c:v>
                </c:pt>
                <c:pt idx="5">
                  <c:v>2025</c:v>
                </c:pt>
                <c:pt idx="6">
                  <c:v>2027e</c:v>
                </c:pt>
                <c:pt idx="7">
                  <c:v>2030e</c:v>
                </c:pt>
              </c:strCache>
            </c:strRef>
          </c:cat>
          <c:val>
            <c:numRef>
              <c:f>Hoja1!$B$2:$B$9</c:f>
              <c:numCache>
                <c:formatCode>#,##0</c:formatCode>
                <c:ptCount val="8"/>
                <c:pt idx="0">
                  <c:v>6170</c:v>
                </c:pt>
                <c:pt idx="1">
                  <c:v>6620</c:v>
                </c:pt>
                <c:pt idx="2">
                  <c:v>7020</c:v>
                </c:pt>
                <c:pt idx="3">
                  <c:v>7310</c:v>
                </c:pt>
                <c:pt idx="4">
                  <c:v>7540</c:v>
                </c:pt>
                <c:pt idx="5">
                  <c:v>7800</c:v>
                </c:pt>
                <c:pt idx="6">
                  <c:v>8680</c:v>
                </c:pt>
                <c:pt idx="7">
                  <c:v>10190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de cada segmento (% del mercado)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General</c:formatCode>
                <c:ptCount val="4"/>
                <c:pt idx="0">
                  <c:v>52</c:v>
                </c:pt>
                <c:pt idx="1">
                  <c:v>21</c:v>
                </c:pt>
                <c:pt idx="2">
                  <c:v>18</c:v>
                </c:pt>
                <c:pt idx="3">
                  <c:v>9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anual previsto por segmento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Crecimiento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0.0"%"</c:formatCode>
                <c:ptCount val="4"/>
                <c:pt idx="0">
                  <c:v>3.8</c:v>
                </c:pt>
                <c:pt idx="1">
                  <c:v>4.5</c:v>
                </c:pt>
                <c:pt idx="2">
                  <c:v>6</c:v>
                </c:pt>
                <c:pt idx="3">
                  <c:v>14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por geografía (% del mercado)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Cataluña</c:v>
                </c:pt>
                <c:pt idx="1">
                  <c:v>País Vasco y Navarra</c:v>
                </c:pt>
                <c:pt idx="2">
                  <c:v>Madrid</c:v>
                </c:pt>
                <c:pt idx="3">
                  <c:v>Andalucía</c:v>
                </c:pt>
                <c:pt idx="4">
                  <c:v>Resto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24</c:v>
                </c:pt>
                <c:pt idx="1">
                  <c:v>17</c:v>
                </c:pt>
                <c:pt idx="2">
                  <c:v>13</c:v>
                </c:pt>
                <c:pt idx="3">
                  <c:v>12</c:v>
                </c:pt>
                <c:pt idx="4">
                  <c:v>34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Margen EBITDA típico de cada eslabón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Margen EBITDA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Fabricantes de equipos</c:v>
                </c:pt>
                <c:pt idx="1">
                  <c:v>Integradores multitécnicos</c:v>
                </c:pt>
                <c:pt idx="2">
                  <c:v>Especialistas</c:v>
                </c:pt>
                <c:pt idx="3">
                  <c:v>Talleres locales</c:v>
                </c:pt>
              </c:strCache>
            </c:strRef>
          </c:cat>
          <c:val>
            <c:numRef>
              <c:f>Hoja1!$B$2:$B$5</c:f>
              <c:numCache>
                <c:formatCode>0"%"</c:formatCode>
                <c:ptCount val="4"/>
                <c:pt idx="0">
                  <c:v>15</c:v>
                </c:pt>
                <c:pt idx="1">
                  <c:v>9</c:v>
                </c:pt>
                <c:pt idx="2">
                  <c:v>13</c:v>
                </c:pt>
                <c:pt idx="3">
                  <c:v>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Cuotas de mercado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Cuota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Integrador A</c:v>
                </c:pt>
                <c:pt idx="1">
                  <c:v>Integrador B</c:v>
                </c:pt>
                <c:pt idx="2">
                  <c:v>Plataforma C</c:v>
                </c:pt>
                <c:pt idx="3">
                  <c:v>Grupo D</c:v>
                </c:pt>
                <c:pt idx="4">
                  <c:v>Plataforma E</c:v>
                </c:pt>
              </c:strCache>
            </c:strRef>
          </c:cat>
          <c:val>
            <c:numRef>
              <c:f>Hoja1!$B$2:$B$6</c:f>
              <c:numCache>
                <c:formatCode>0.0"%"</c:formatCode>
                <c:ptCount val="5"/>
                <c:pt idx="0">
                  <c:v>5.1</c:v>
                </c:pt>
                <c:pt idx="1">
                  <c:v>3.9</c:v>
                </c:pt>
                <c:pt idx="2">
                  <c:v>3.2</c:v>
                </c:pt>
                <c:pt idx="3">
                  <c:v>2.6</c:v>
                </c:pt>
                <c:pt idx="4">
                  <c:v>2.2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Intensidad de las cinco fuerzas (1 = favorable, 5 = desfavorable)</a:t>
            </a:r>
          </a:p>
        </c:rich>
      </c:tx>
      <c:overlay val="0"/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Intensidad</c:v>
                </c:pt>
              </c:strCache>
            </c:strRef>
          </c:tx>
          <c:spPr>
            <a:ln w="2540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</c:spPr>
          </c:marker>
          <c:cat>
            <c:strRef>
              <c:f>Hoja1!$A$2:$A$6</c:f>
              <c:strCache>
                <c:ptCount val="5"/>
                <c:pt idx="0">
                  <c:v>Rivalidad</c:v>
                </c:pt>
                <c:pt idx="1">
                  <c:v>Poder de los clientes</c:v>
                </c:pt>
                <c:pt idx="2">
                  <c:v>Poder de los proveedores</c:v>
                </c:pt>
                <c:pt idx="3">
                  <c:v>Amenaza de entrada</c:v>
                </c:pt>
                <c:pt idx="4">
                  <c:v>Amenaza de sustitutos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4</c:v>
                </c:pt>
                <c:pt idx="1">
                  <c:v>4</c:v>
                </c:pt>
                <c:pt idx="2">
                  <c:v>3</c:v>
                </c:pt>
                <c:pt idx="3">
                  <c:v>3</c:v>
                </c:pt>
                <c:pt idx="4">
                  <c:v>2</c:v>
                </c:pt>
              </c:numCache>
            </c:numRef>
          </c:val>
        </c:ser>
        <c:axId val="10"/>
        <c:axId val="20"/>
      </c:radarChart>
      <c:catAx>
        <c:axId val="1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General" sourceLinked="0"/>
        <c:majorTickMark val="none"/>
        <c:minorTickMark val="none"/>
        <c:tickLblPos val="nextTo"/>
        <c:spPr>
          <a:ln w="6350">
            <a:solidFill>
              <a:srgbClr val="E4E3DF"/>
            </a:solidFill>
          </a:ln>
        </c:spPr>
        <c:txPr>
          <a:bodyPr/>
          <a:lstStyle/>
          <a:p>
            <a:pPr>
              <a:defRPr sz="850">
                <a:solidFill>
                  <a:srgbClr val="1F2A3C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7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  <c:majorUnit val="1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del sector frente al PIB (% anual)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</c:v>
                </c:pt>
              </c:strCache>
            </c:strRef>
          </c:tx>
          <c:spPr>
            <a:ln w="25400" cap="rnd">
              <a:solidFill>
                <a:srgbClr val="2A78D6"/>
              </a:solidFill>
              <a:round/>
            </a:ln>
          </c:spPr>
          <c:marker>
            <c:symbol val="circle"/>
            <c:size val="6"/>
            <c:spPr>
              <a:solidFill>
                <a:srgbClr val="2A78D6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Hoja1!$B$2:$B$8</c:f>
              <c:numCache>
                <c:formatCode>0"%"</c:formatCode>
                <c:ptCount val="7"/>
                <c:pt idx="0">
                  <c:v>3.1</c:v>
                </c:pt>
                <c:pt idx="1">
                  <c:v>-6.5</c:v>
                </c:pt>
                <c:pt idx="2">
                  <c:v>7.3</c:v>
                </c:pt>
                <c:pt idx="3">
                  <c:v>6</c:v>
                </c:pt>
                <c:pt idx="4">
                  <c:v>4.1</c:v>
                </c:pt>
                <c:pt idx="5">
                  <c:v>3.1</c:v>
                </c:pt>
                <c:pt idx="6">
                  <c:v>3.4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PIB</c:v>
                </c:pt>
              </c:strCache>
            </c:strRef>
          </c:tx>
          <c:spPr>
            <a:ln w="25400" cap="rnd">
              <a:solidFill>
                <a:srgbClr val="EB6834"/>
              </a:solidFill>
              <a:round/>
            </a:ln>
          </c:spPr>
          <c:marker>
            <c:symbol val="circle"/>
            <c:size val="6"/>
            <c:spPr>
              <a:solidFill>
                <a:srgbClr val="EB6834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Hoja1!$C$2:$C$8</c:f>
              <c:numCache>
                <c:formatCode>0"%"</c:formatCode>
                <c:ptCount val="7"/>
                <c:pt idx="0">
                  <c:v>2</c:v>
                </c:pt>
                <c:pt idx="1">
                  <c:v>-10.9</c:v>
                </c:pt>
                <c:pt idx="2">
                  <c:v>6.7</c:v>
                </c:pt>
                <c:pt idx="3">
                  <c:v>6.2</c:v>
                </c:pt>
                <c:pt idx="4">
                  <c:v>2.7</c:v>
                </c:pt>
                <c:pt idx="5">
                  <c:v>3.2</c:v>
                </c:pt>
                <c:pt idx="6">
                  <c:v>2.6</c:v>
                </c:pt>
              </c:numCache>
            </c:numRef>
          </c:val>
          <c:smooth val="0"/>
        </c:ser>
        <c:marker val="1"/>
        <c:axId val="10"/>
        <c:axId val="20"/>
      </c:line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Número de operaciones corporativas por año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Operaciones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</c:formatCode>
                <c:ptCount val="5"/>
                <c:pt idx="0">
                  <c:v>9</c:v>
                </c:pt>
                <c:pt idx="1">
                  <c:v>14</c:v>
                </c:pt>
                <c:pt idx="2">
                  <c:v>11</c:v>
                </c:pt>
                <c:pt idx="3">
                  <c:v>16</c:v>
                </c:pt>
                <c:pt idx="4">
                  <c:v>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Cotizadas: crecimiento frente a múltiplo</a:t>
            </a:r>
          </a:p>
        </c:rich>
      </c:tx>
      <c:overlay val="0"/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Hoja1!$A$2</c:f>
              <c:strCache>
                <c:ptCount val="1"/>
                <c:pt idx="0">
                  <c:v>Integrador A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Hoja1!$B$2</c:f>
              <c:numCache>
                <c:formatCode>0"%"</c:formatCode>
                <c:ptCount val="1"/>
                <c:pt idx="0">
                  <c:v>6.2</c:v>
                </c:pt>
              </c:numCache>
            </c:numRef>
          </c:xVal>
          <c:yVal>
            <c:numRef>
              <c:f>Hoja1!$C$2</c:f>
              <c:numCache>
                <c:formatCode>0.0"x"</c:formatCode>
                <c:ptCount val="1"/>
                <c:pt idx="0">
                  <c:v>8.6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Hoja1!$A$3</c:f>
              <c:strCache>
                <c:ptCount val="1"/>
                <c:pt idx="0">
                  <c:v>Integrador B (matriz)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Hoja1!$B$3</c:f>
              <c:numCache>
                <c:formatCode>0"%"</c:formatCode>
                <c:ptCount val="1"/>
                <c:pt idx="0">
                  <c:v>5.1</c:v>
                </c:pt>
              </c:numCache>
            </c:numRef>
          </c:xVal>
          <c:yVal>
            <c:numRef>
              <c:f>Hoja1!$C$3</c:f>
              <c:numCache>
                <c:formatCode>0.0"x"</c:formatCode>
                <c:ptCount val="1"/>
                <c:pt idx="0">
                  <c:v>8.9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Hoja1!$A$4</c:f>
              <c:strCache>
                <c:ptCount val="1"/>
                <c:pt idx="0">
                  <c:v>Servicios técnicos G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Hoja1!$B$4</c:f>
              <c:numCache>
                <c:formatCode>0"%"</c:formatCode>
                <c:ptCount val="1"/>
                <c:pt idx="0">
                  <c:v>7.8</c:v>
                </c:pt>
              </c:numCache>
            </c:numRef>
          </c:xVal>
          <c:yVal>
            <c:numRef>
              <c:f>Hoja1!$C$4</c:f>
              <c:numCache>
                <c:formatCode>0.0"x"</c:formatCode>
                <c:ptCount val="1"/>
                <c:pt idx="0">
                  <c:v>10.4</c:v>
                </c:pt>
              </c:numCache>
            </c:numRef>
          </c:yVal>
          <c:smooth val="0"/>
        </c:ser>
        <c:ser>
          <c:idx val="3"/>
          <c:order val="3"/>
          <c:tx>
            <c:strRef>
              <c:f>Hoja1!$A$5</c:f>
              <c:strCache>
                <c:ptCount val="1"/>
                <c:pt idx="0">
                  <c:v>Ingeniería H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Hoja1!$B$5</c:f>
              <c:numCache>
                <c:formatCode>0"%"</c:formatCode>
                <c:ptCount val="1"/>
                <c:pt idx="0">
                  <c:v>3.2</c:v>
                </c:pt>
              </c:numCache>
            </c:numRef>
          </c:xVal>
          <c:yVal>
            <c:numRef>
              <c:f>Hoja1!$C$5</c:f>
              <c:numCache>
                <c:formatCode>0.0"x"</c:formatCode>
                <c:ptCount val="1"/>
                <c:pt idx="0">
                  <c:v>6.9</c:v>
                </c:pt>
              </c:numCache>
            </c:numRef>
          </c:yVal>
          <c:smooth val="0"/>
        </c:ser>
        <c:axId val="10"/>
        <c:axId val="20"/>
      </c:scatterChart>
      <c:valAx>
        <c:axId val="10"/>
        <c:scaling>
          <c:orientation val="minMax"/>
          <c:max val="9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Crecimiento de ingresos (%)</a:t>
                </a:r>
              </a:p>
            </c:rich>
          </c:tx>
          <c:overlay val="0"/>
        </c:title>
        <c:numFmt formatCode="0&quot;%&quot;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crossBetween val="midCat"/>
      </c:valAx>
      <c:valAx>
        <c:axId val="20"/>
        <c:scaling>
          <c:orientation val="minMax"/>
          <c:min val="6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EV/EBITDA (x)</a:t>
                </a:r>
              </a:p>
            </c:rich>
          </c:tx>
          <c:overlay val="0"/>
        </c:title>
        <c:numFmt formatCode="0.0&quot;x&quot;" sourceLinked="0"/>
        <c:majorTickMark val="none"/>
        <c:minorTickMark val="none"/>
        <c:tickLblPos val="low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midCat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Múltiplos del sector: hoy, su media de 10 años y el mercado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 hoy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Hoja1!$B$2:$B$4</c:f>
              <c:numCache>
                <c:formatCode>0.0"x"</c:formatCode>
                <c:ptCount val="3"/>
                <c:pt idx="0">
                  <c:v>8.8</c:v>
                </c:pt>
                <c:pt idx="1">
                  <c:v>15.8</c:v>
                </c:pt>
                <c:pt idx="2">
                  <c:v>0.8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Media 10 años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Hoja1!$C$2:$C$4</c:f>
              <c:numCache>
                <c:formatCode>0.0"x"</c:formatCode>
                <c:ptCount val="3"/>
                <c:pt idx="0">
                  <c:v>8.1</c:v>
                </c:pt>
                <c:pt idx="1">
                  <c:v>15</c:v>
                </c:pt>
                <c:pt idx="2">
                  <c:v>0.7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Mercado amplio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Hoja1!$D$2:$D$4</c:f>
              <c:numCache>
                <c:formatCode>0.0"x"</c:formatCode>
                <c:ptCount val="3"/>
                <c:pt idx="0">
                  <c:v>10.5</c:v>
                </c:pt>
                <c:pt idx="1">
                  <c:v>16.9</c:v>
                </c:pt>
                <c:pt idx="2">
                  <c:v>1.9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x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2026-10-07T15:22:08.655Z</dcterms:created>
  <dcterms:modified xsi:type="dcterms:W3CDTF">2026-10-07T15:22:08.656Z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