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Construcciones y Auxiliar de Ferrocarriles, S.A.</w:t>
      </w:r>
    </w:p>
    <w:p>
      <w:pPr>
        <w:spacing w:after="60"/>
        <w:rPr>
          <w:color w:val="52514E"/>
          <w:sz w:val="22"/>
          <w:szCs w:val="22"/>
        </w:rPr>
      </w:pPr>
      <w:r>
        <w:rPr>
          <w:color w:val="52514E"/>
          <w:sz w:val="22"/>
          <w:szCs w:val="22"/>
        </w:rPr>
        <w:t xml:space="preserve">CAF · Bolsas de Madrid y Bilbao (Mercado Continuo) · ISIN ES0121975009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78,30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84,06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+9,3 %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2.682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7,0x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1,4x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Construcciones y Auxiliar de Ferrocarriles,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CAF / ES0121975009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Bolsas de Madrid y Bilbao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 (como índice de mercado; CAF no forma parte de él)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(material rodante y autobuses)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Beasain (Gipuzkoa) · 1917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17.788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https://www.cafmobility.com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78,30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49,90 – 79,70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3.184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 M EUR/día (27.035 acciones; 66 sesiones,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Valor objetivo </w:t>
      </w:r>
      <w:r>
        <w:rPr>
          <w:b/>
          <w:bCs/>
        </w:rPr>
        <w:t xml:space="preserve">84,06 EUR</w:t>
      </w:r>
      <w:r>
        <w:t xml:space="preserve"> frente a 78,30 · Rentabilidad total esperada a 12 meses </w:t>
      </w:r>
      <w:r>
        <w:rPr>
          <w:b/>
          <w:bCs/>
        </w:rPr>
        <w:t xml:space="preserve">+9,3 %</w:t>
      </w:r>
      <w:r>
        <w:t xml:space="preserve"> · Alcista / bajista +55,5 % / -45,9 %</w:t>
      </w:r>
    </w:p>
    <w:p>
      <w:pPr>
        <w:spacing w:after="100"/>
      </w:pPr>
      <w:r>
        <w:rPr>
          <w:b/>
        </w:rPr>
        <w:t xml:space="preserve">La recomendación y por qué.</w:t>
      </w:r>
      <w:r>
        <w:t xml:space="preserve"> Mantener, con convicción media. El valor objetivo es de 84,06 EUR frente a un precio de 78,30 EUR: una rentabilidad total esperada del 9,3 %, por debajo del 15 % que pedimos para comprar. La asimetría de los escenarios es de 1,21x (el alcista gana un 55,5 %; el bajista pierde un 45,9 %). La razón principal: el precio ya descuenta que CAF ejecuta su cartera récord con el margen de hoy, y el potencial restante depende de una mejora de margen y de caja que la empresa nunca ha sostenido.</w:t>
      </w:r>
    </w:p>
    <w:p>
      <w:pPr>
        <w:spacing w:after="100"/>
      </w:pPr>
      <w:r>
        <w:rPr>
          <w:b/>
        </w:rPr>
        <w:t xml:space="preserve">El negocio.</w:t>
      </w:r>
      <w:r>
        <w:t xml:space="preserve"> CAF es un integrador de trenes de segundo nivel (≈ 1,5 % del mercado ferroviario mundial) con un fabricante de autobuses dentro, Solaris [1, 24]. Su ventaja es la cartera: 17.743 M a jun-26, 3,7 años de ventas, con 4.615 M de mantenimiento a largo plazo [8]. El ROIC subió del 5,9-9,7 % de 2018-2023 al 13,6 % de 2025, por encima del WACC (8,11 %), pero lo sostiene la rotación (los clientes adelantan la caja) más que el margen: el EBIT ferroviario sigue en el 5,2 %, frente al 8,8 % de Siemens Mobility [19].</w:t>
      </w:r>
    </w:p>
    <w:p>
      <w:pPr>
        <w:spacing w:after="100"/>
      </w:pPr>
      <w:r>
        <w:rPr>
          <w:b/>
        </w:rPr>
        <w:t xml:space="preserve">Finanzas.</w:t>
      </w:r>
      <w:r>
        <w:t xml:space="preserve"> El beneficio crece (BPA de 5,03 EUR en los últimos 12 meses), pero no se cobra: el FCF después de intereses y arrendamientos fue de −52,5, 16,9 y 4,6 M en 2023-2025, un 43 % del beneficio en ocho años, porque el circulante absorbe unos 21 céntimos por euro de ventas nuevas [1, 2, 3]. La deuda financiera neta que publica CAF es baja (176 M, 0,5x el EBITDA); la ajustada, con arrendamientos, factoring, la multa del CADE y el dividendo de julio, es de 531 M [6]. Los anticipos van al circulante; si volvieran al nivel que suponía el Plan 2026, costarían ≈ 5,8 EUR por acción (estimación propia) [15].</w:t>
      </w:r>
    </w:p>
    <w:p>
      <w:pPr>
        <w:spacing w:after="100"/>
      </w:pPr>
      <w:r>
        <w:rPr>
          <w:b/>
        </w:rPr>
        <w:t xml:space="preserve">Equipo y gobierno.</w:t>
      </w:r>
      <w:r>
        <w:t xml:space="preserve"> Ni suma ni resta mucho. Sin accionista de control, pero con un bloque vasco y de empleados del 39,35 % que hace improbable una OPA [6]. Puntos flojos: un 30 % de independientes, un presidente con 35 años en el consejo reelegido con un 17,59 % en contra y un incentivo a largo plazo ligado al EBIT, no a la caja [1, 37]. El margen del Plan 2026 (≥ 6,3 %) se quedó en el 5,5 % en 2025 [10].</w:t>
      </w:r>
    </w:p>
    <w:p>
      <w:pPr>
        <w:spacing w:after="100"/>
      </w:pPr>
      <w:r>
        <w:rPr>
          <w:b/>
        </w:rPr>
        <w:t xml:space="preserve">Valoración.</w:t>
      </w:r>
      <w:r>
        <w:t xml:space="preserve"> El DCF da 85,68 EUR; los escenarios ponderados, 83,86; los comparables, 90,84; la suma de partes, 67,18. CAF cotiza a 7,0x el EBITDA de los próximos 12 meses, en la mediana del sector (7,3x), y a 8,2x el de los últimos 12, un 21 % por encima de su media histórica (6,8x) [59]. El DCF inverso dice que el precio descuenta un margen EBITDA estable del 8,3 % (8,2 % en el 1S26) o un crecimiento del 2,6 % anual; proyectamos un 8,6 % y un 4,4 %, en el consenso o algo por debajo. La rentabilidad implícita (8,6 %) apenas supera el WACC: no hay una discrepancia que justifique comprar, y el precio ya supera el objetivo medio de los analistas (69,22-73,95 EUR) [46, 48].</w:t>
      </w:r>
    </w:p>
    <w:p>
      <w:pPr>
        <w:spacing w:after="100"/>
      </w:pPr>
      <w:r>
        <w:rPr>
          <w:b/>
        </w:rPr>
        <w:t xml:space="preserve">Riesgos y catalizadores.</w:t>
      </w:r>
      <w:r>
        <w:t xml:space="preserve"> El riesgo dominante es el margen: cada punto de EBITDA vale ≈ 21 EUR por acción, y la cartera incluye grandes contratos a precio cerrado (SNCB, más de 1.700 M) y obra aún afectada por la inflación [8]. Catalizadores: resultados de 9M26 (12-nov-2026) y el Plan Estratégico 2027-2030 del 4T26, que fijará margen, circulante y compras [8].</w:t>
      </w:r>
    </w:p>
    <w:p>
      <w:pPr>
        <w:spacing w:after="100"/>
      </w:pPr>
      <w:r>
        <w:rPr>
          <w:b/>
        </w:rPr>
        <w:t xml:space="preserve">Qué cambiaría la decisión.</w:t>
      </w:r>
      <w:r>
        <w:t xml:space="preserve"> Compraríamos por debajo de 74,35 EUR y venderíamos por encima de 95,46 EUR. Pasaríamos a Comprar si el plan 2027-2030 promete un margen EBIT por encima del 6,5 % con un objetivo de caja creíble y el 2S26 confirma un cash flow positivo; a Vender si el margen EBIT ferroviario baja del 5 % o el plan incluye una compra de más de 500 M con deuda.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Valor objetivo: </w:t>
      </w:r>
      <w:r>
        <w:rPr>
          <w:b/>
          <w:bCs/>
        </w:rPr>
        <w:t xml:space="preserve">84,06 EUR</w:t>
      </w:r>
      <w:r>
        <w:t xml:space="preserve"> (+7,4 % sobre 78,30; rentabilidad total esperada +9,3 %)</w:t>
      </w:r>
    </w:p>
    <w:p>
      <w:pPr>
        <w:spacing w:after="100"/>
      </w:pPr>
      <w:r>
        <w:t xml:space="preserve">CAF es el mayor fabricante ferroviario español y un integrador europeo de segundo nivel, con un negocio de autobuses urbanos (Solaris) que ya es la cuarta parte de las ventas. Lo que la hace valiosa es la visibilidad: una cartera récord de 17.743 M (3,7 años de ventas), un book-to-bill de 1,6x en el 1S26 y más de 10.000 M en opciones de clientes [8]. Desde 2024 el ROIC (13,6 % en 2025) supera el coste del capital, gracias a Solaris (de pérdidas en 2022 a un margen EBIT del 7,3 % en el 1S26) y a contratos firmados desde 2022 con cláusulas de indexación o revisión de precios [1, 8, 15].</w:t>
      </w:r>
    </w:p>
    <w:p>
      <w:pPr>
        <w:spacing w:after="100"/>
      </w:pPr>
      <w:r>
        <w:t xml:space="preserve">A 78,30 EUR, CAF cotiza a 7,0x el EBITDA de los próximos 12 meses y 12,4x el beneficio, en la mediana de sus comparables y un 21 % por encima de su media histórica en EV/EBITDA. El DCF inverso dice que el precio supone un margen EBITDA estable del 8,3 %, el que ya tiene, o un crecimiento del 2,6 % anual, menos de lo que garantiza la cartera. No es un precio exigente.</w:t>
      </w:r>
    </w:p>
    <w:p>
      <w:pPr>
        <w:spacing w:after="100"/>
      </w:pPr>
      <w:r>
        <w:t xml:space="preserve">Tampoco es una oportunidad. Nuestro DCF (85,68 EUR) solo supera el precio en un 9,4 %, y lo hace con un margen del 8,6 % que CAF no ha sostenido desde 2018 y con un circulante que debería dejar de crecer más que las ventas. Para invertir hay que creer que el nuevo plan 2027-2030 convertirá la cartera en caja; la historia de 2022-2025 (FCF casi nulo) dice que hay que verlo antes de pagarlo [1].</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 / -45,9 %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 frente a 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74,35 (rentabilidad total esperada ≥ 15 %), si la asimetría sigue siendo favorable</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74,35 y 95,46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95,46 (rentabilidad total esperada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Plan 2027-2030 fija un margen EBIT ≥ 6,5 % en 2027-2028 y un objetivo de FCF, y el precio sigue por debajo de 85 EUR, pasaríamos a Comprar.</w:t>
      </w:r>
    </w:p>
    <w:p>
      <w:pPr>
        <w:pStyle w:val="ListParagraph"/>
        <w:numPr>
          <w:ilvl w:val="0"/>
          <w:numId w:val="2"/>
        </w:numPr>
        <w:spacing w:after="60"/>
      </w:pPr>
      <w:r>
        <w:t xml:space="preserve">Si el margen EBIT ferroviario baja del 5,0 % en 9M26 o en el ejercicio 2026, pasaríamos a Vender.</w:t>
      </w:r>
    </w:p>
    <w:p>
      <w:pPr>
        <w:pStyle w:val="ListParagraph"/>
        <w:numPr>
          <w:ilvl w:val="0"/>
          <w:numId w:val="2"/>
        </w:numPr>
        <w:spacing w:after="60"/>
      </w:pPr>
      <w:r>
        <w:t xml:space="preserve">Si el cash flow de CAF de 2026 es negativo (más circulante que EBITDA después de capex e impuestos), revisaríamos el valor a la baja ≈ 6 EUR por acción.</w:t>
      </w:r>
    </w:p>
    <w:p>
      <w:pPr>
        <w:pStyle w:val="ListParagraph"/>
        <w:numPr>
          <w:ilvl w:val="0"/>
          <w:numId w:val="2"/>
        </w:numPr>
        <w:spacing w:after="60"/>
      </w:pPr>
      <w:r>
        <w:t xml:space="preserve">Si el plan anuncia una compra de más de 500 M financiada con deuda (DFN/EBITDA por encima de 1,5x), pasaríamos a Vender.</w:t>
      </w:r>
    </w:p>
    <w:p>
      <w:pPr>
        <w:pStyle w:val="ListParagraph"/>
        <w:numPr>
          <w:ilvl w:val="0"/>
          <w:numId w:val="2"/>
        </w:numPr>
        <w:spacing w:after="60"/>
      </w:pPr>
      <w:r>
        <w:t xml:space="preserve">Por precio: comprar por debajo de 74,35 EUR; vender por encima de 95,46 EUR.</w:t>
      </w:r>
    </w:p>
    <w:p>
      <w:pPr>
        <w:pStyle w:val="Heading2"/>
      </w:pPr>
      <w:r>
        <w:t xml:space="preserve">Dónde discrepamos del mercado</w:t>
      </w:r>
    </w:p>
    <w:p>
      <w:pPr>
        <w:keepNext/>
        <w:spacing w:after="100"/>
      </w:pPr>
      <w:r>
        <w:rPr>
          <w:b/>
          <w:bCs/>
        </w:rPr>
        <w:t xml:space="preserve">Lo que descuenta el precio.</w:t>
      </w:r>
    </w:p>
    <w:p>
      <w:pPr>
        <w:spacing w:after="100"/>
      </w:pPr>
      <w:r>
        <w:t xml:space="preserve">Tras un +49 % en un año, el mercado descuenta que la recuperación de 2025-2026 se mantiene: ventas de 4.964 M en 2026 y 5.759 M en 2028, margen EBITDA hacia el 8,9 % y un BPA de 7,44 EUR en 2028 (consenso) [47]. Al precio actual, eso deja una rentabilidad implícita del 8,6 %, muy cerca del coste del capital.</w:t>
      </w:r>
    </w:p>
    <w:p>
      <w:pPr>
        <w:keepNext/>
        <w:spacing w:after="100"/>
      </w:pPr>
      <w:r>
        <w:rPr>
          <w:b/>
          <w:bCs/>
        </w:rPr>
        <w:t xml:space="preserve">Lo que creemos nosotros.</w:t>
      </w:r>
    </w:p>
    <w:p>
      <w:pPr>
        <w:spacing w:after="100"/>
      </w:pPr>
      <w:r>
        <w:t xml:space="preserve">Coincidimos en las ventas, que respalda la cartera, y somos algo más prudentes en el margen (8,6 % estable) y bastante más en la caja: suponemos que el circulante seguirá subiendo hasta el 12 % de las ventas, como en 2022-2025, porque los activos por contrato crecen más que los anticipos (posición neta deudora de 362 M a jun-26, frente a 130 M en dic-25) [6]. Con eso, CAF vale 84-86 EUR, un 7-9 % más que hoy.</w:t>
      </w:r>
    </w:p>
    <w:p>
      <w:pPr>
        <w:keepNext/>
        <w:spacing w:after="100"/>
      </w:pPr>
      <w:r>
        <w:rPr>
          <w:b/>
          <w:bCs/>
        </w:rPr>
        <w:t xml:space="preserve">Por qué podemos tener razón.</w:t>
      </w:r>
    </w:p>
    <w:p>
      <w:pPr>
        <w:spacing w:after="100"/>
      </w:pPr>
      <w:r>
        <w:t xml:space="preserve">Porque es lo que ha pasado: en 2022-2025 las ventas crecieron 1.321 M y el circulante del motor 274 M, y el FCF acumulado fue negativo pese a 391 M de beneficio [1, 2, 3]. Si nos equivocamos, será porque el plan 2027-2030 corrige la caja; eso lo veremos en el 4T26 y no hace falta pagarlo por adelantado.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7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Cartera récord y diversificada</w:t>
      </w:r>
      <w:r>
        <w:t xml:space="preserve">: 17.743 M (3,7 años de ventas), 77 % en Europa, ningún cliente por encima del 10 % de las ventas [1, 8].</w:t>
      </w:r>
    </w:p>
    <w:p>
      <w:pPr>
        <w:pStyle w:val="ListParagraph"/>
        <w:numPr>
          <w:ilvl w:val="0"/>
          <w:numId w:val="2"/>
        </w:numPr>
        <w:spacing w:after="60"/>
      </w:pPr>
      <w:r>
        <w:rPr>
          <w:b/>
        </w:rPr>
        <w:t xml:space="preserve">Solaris ha dado la vuelta</w:t>
      </w:r>
      <w:r>
        <w:t xml:space="preserve">: de un EBIT de −3,7 M en 2022 a 75,1 M en 2025 y 60 M en el 1S26 (margen del 7,3 %) [1, 8].</w:t>
      </w:r>
    </w:p>
    <w:p>
      <w:pPr>
        <w:pStyle w:val="ListParagraph"/>
        <w:numPr>
          <w:ilvl w:val="0"/>
          <w:numId w:val="2"/>
        </w:numPr>
        <w:spacing w:after="60"/>
      </w:pPr>
      <w:r>
        <w:rPr>
          <w:b/>
        </w:rPr>
        <w:t xml:space="preserve">Servicios en crecimiento</w:t>
      </w:r>
      <w:r>
        <w:t xml:space="preserve">: 4.615 M de cartera de mantenimiento y una contratación de servicios de 1.714 M en 2025 [1, 8].</w:t>
      </w:r>
    </w:p>
    <w:p>
      <w:pPr>
        <w:pStyle w:val="ListParagraph"/>
        <w:numPr>
          <w:ilvl w:val="0"/>
          <w:numId w:val="2"/>
        </w:numPr>
        <w:spacing w:after="60"/>
      </w:pPr>
      <w:r>
        <w:rPr>
          <w:b/>
        </w:rPr>
        <w:t xml:space="preserve">Balance sin presión</w:t>
      </w:r>
      <w:r>
        <w:t xml:space="preserve">: DFN de 176 M (0,5x el EBITDA) y 1.379 M de liquidez a jun-26 [6, 8].</w:t>
      </w:r>
    </w:p>
    <w:p>
      <w:pPr>
        <w:pStyle w:val="ListParagraph"/>
        <w:numPr>
          <w:ilvl w:val="0"/>
          <w:numId w:val="2"/>
        </w:numPr>
        <w:spacing w:after="60"/>
      </w:pPr>
      <w:r>
        <w:rPr>
          <w:b/>
        </w:rPr>
        <w:t xml:space="preserve">Precio que no exige crecimiento</w:t>
      </w:r>
      <w:r>
        <w:t xml:space="preserve">: el DCF inverso supone un 2,6 % anual, frente al 4,4 % del caso base.</w:t>
      </w:r>
    </w:p>
    <w:p>
      <w:pPr>
        <w:pStyle w:val="Heading2"/>
      </w:pPr>
      <w:r>
        <w:t xml:space="preserve">En contra</w:t>
      </w:r>
    </w:p>
    <w:p>
      <w:pPr>
        <w:pStyle w:val="ListParagraph"/>
        <w:numPr>
          <w:ilvl w:val="0"/>
          <w:numId w:val="2"/>
        </w:numPr>
        <w:spacing w:after="60"/>
      </w:pPr>
      <w:r>
        <w:rPr>
          <w:b/>
        </w:rPr>
        <w:t xml:space="preserve">El beneficio no se cobra</w:t>
      </w:r>
      <w:r>
        <w:t xml:space="preserve">: FCF de 4,6 M en 2025 y del 43 % del beneficio en 2018-2025 [1].</w:t>
      </w:r>
    </w:p>
    <w:p>
      <w:pPr>
        <w:pStyle w:val="ListParagraph"/>
        <w:numPr>
          <w:ilvl w:val="0"/>
          <w:numId w:val="2"/>
        </w:numPr>
        <w:spacing w:after="60"/>
      </w:pPr>
      <w:r>
        <w:rPr>
          <w:b/>
        </w:rPr>
        <w:t xml:space="preserve">Margen ferroviario estancado</w:t>
      </w:r>
      <w:r>
        <w:t xml:space="preserve">: EBIT del 5,2 % en 2025 frente al 7,6 % de 2018 y al 8,8 % de Siemens Mobility [1, 19].</w:t>
      </w:r>
    </w:p>
    <w:p>
      <w:pPr>
        <w:pStyle w:val="ListParagraph"/>
        <w:numPr>
          <w:ilvl w:val="0"/>
          <w:numId w:val="2"/>
        </w:numPr>
        <w:spacing w:after="60"/>
      </w:pPr>
      <w:r>
        <w:rPr>
          <w:b/>
        </w:rPr>
        <w:t xml:space="preserve">Riesgo de contratos a precio cerrado</w:t>
      </w:r>
      <w:r>
        <w:t xml:space="preserve">: cada punto de margen EBITDA vale ≈ 21 EUR por acción; SNCB supera los 1.700 M [8].</w:t>
      </w:r>
    </w:p>
    <w:p>
      <w:pPr>
        <w:pStyle w:val="ListParagraph"/>
        <w:numPr>
          <w:ilvl w:val="0"/>
          <w:numId w:val="2"/>
        </w:numPr>
        <w:spacing w:after="60"/>
      </w:pPr>
      <w:r>
        <w:rPr>
          <w:b/>
        </w:rPr>
        <w:t xml:space="preserve">Precio por encima de los analistas</w:t>
      </w:r>
      <w:r>
        <w:t xml:space="preserve">: 78,30 EUR frente a un objetivo medio de 69,22-73,95 EUR, tras un +49 % en un año [46, 48].</w:t>
      </w:r>
    </w:p>
    <w:p>
      <w:pPr>
        <w:pStyle w:val="ListParagraph"/>
        <w:numPr>
          <w:ilvl w:val="0"/>
          <w:numId w:val="2"/>
        </w:numPr>
        <w:spacing w:after="60"/>
      </w:pPr>
      <w:r>
        <w:rPr>
          <w:b/>
        </w:rPr>
        <w:t xml:space="preserve">Gobierno mejorable</w:t>
      </w:r>
      <w:r>
        <w:t xml:space="preserve">: 30 % de independientes y un incentivo a largo plazo sin métricas de caja ni de rentabilidad del capital [1].</w:t>
      </w:r>
    </w:p>
    <w:p>
      <w:pPr>
        <w:pStyle w:val="Heading2"/>
      </w:pPr>
      <w:r>
        <w:t xml:space="preserve">Qué tiene que pasar para que la tesis funcione</w:t>
      </w:r>
    </w:p>
    <w:p>
      <w:pPr>
        <w:spacing w:after="100"/>
      </w:pPr>
      <w:r>
        <w:t xml:space="preserve">La tesis depende de que el margen y la caja mejoren juntos. La señal de que no ocurre sería un cash flow de CAF negativo en 2026 (fue de 12 M en el 1S26, con 148 M de aumento del circulante) o un margen EBIT ferroviario por debajo del 5 % en el 2S26. El Plan 2027-2030 del 4T26 es la prueba: si promete margen sin objetivo de caja, o anuncia una compra grande con deuda, el caso base pierde su apoyo.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 (1S26); 5,5 %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5,5 %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promete mejora; el DCF supone ≈ 6,1 % estable.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del Ferroviario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sobrecostes en contratos a precio cerrado.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 flow de CAF / circulante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M en el 1S26; circulante de 235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Cash flow anual negativo; circulante &gt; 400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conversión en caja es la debilidad histórica.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 (1S26); 0,7x en Autobuses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1,0x en el año; &lt; 0,8x en Autobuses dos semestres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crecimiento de 2027-2028.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 de Solaris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 (1S26); 6,3 %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explica casi toda la mejora del beneficio.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8,2x / 7,0x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15,6x / 12,4x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CAF nace en Beasain (Gipuzkoa) sobre una tradición siderúrgica que arranca en 1860 con la Fábrica de Hierros de San Martín y sigue en 1892 con La Maquinista Guipuzcoana [33]. La sociedad actual se constituye en 1917 en San Sebastián, con domicilio en Beasain [16], y adopta su nombre actual en 1971 al fusionarse con Material Móvil y Construcciones (Zaragoza) [33]. Su accionista de referencia son los propios empleados, agrupados en Cartera Social (24,87 % del capital en 2019) [16]. La última década la convierte de fabricante ferroviario en grupo de dos negocios: compra Solaris (autobuses urbanos, Polonia) en 2018, EuroMaint (mantenimiento en los países nórdicos) en 2019 y la planta de Reichshoffen con las plataformas Coradia Polyvalent y Talent 3 de Alstom en agosto de 2022 [15, 17]. En 2025 firma el mayor contrato de su historia, con la belga SNCB, por 1.700 M EUR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1860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 de Hierros de San Martín en Beasain, origen industrial del grupo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Maquinista Guipuzcoana empieza a fabricar material ferroviario en Beasain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constituye la sociedad en San Sebastián, con domicilio social en Beasain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Material Móvil y Construcciones (Zaragoza); adopta el nombre actual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Brasil, hoy su mayor mercado de mantenimiento, con contratos por cerca de 3.000 M EUR acumulados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Implantación productiva en Reino Unido (planta de Newport)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Solaris Bus &amp; Coach (Polonia), que consolida desde septiembre de 2018 y crea el segmento Autobuses [15,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EuroMaint, servicios de mantenimiento ferroviario en los países nórdicos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Alstom de la planta de Reichshoffen (Francia, más de 700 empleados), la plataforma Coradia Polyvalent y la propiedad intelectual de Talent 3 [15,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récord con SNCB (1.700 M EUR), tranvía Urbos número 1.000 y cartera de pedidos máxima de 16.235 M EUR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entra en Norteamérica: 184 trolebuses para Vancouver y primer pedido en EE. UU. (King County Metro)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CAF diseña, fabrica y mantiene material rodante ferroviario y autobuses urbanos. En 2025 facturó 4.487 M EUR [1]: trenes 1.866 M (41,6 %; alta velocidad, regionales y cercanías 989 M, tranvías y metros ligeros 513 M, metros 332 M), servicios ferroviarios 756 M (16,9 %), autobuses Solaris 1.183 M (26,4 %) y sistemas integrales, señalización, equipos y resto 681 M (15,2 %) [1]. Fabrica en España, Francia, Reino Unido, EE. UU., Brasil y México (y autobuses en Polonia), tiene más de 150 centros de mantenimiento, ha entregado más de 5.200 trenes y más de 27.000 autobuses, y emplea a más de 17.500 personas [1]. En 2025 terminó 219 trenes (1.061 coches) y Solaris entregó 1.631 vehículos [1]. Europa supone el 70,6 % de las ventas (España 524 M, Italia 476 M, Francia 438 M, países nórdicos 415 M) [1]. Los clientes son administraciones, operadores públicos y privados (Renfe, SNCF, Metro de Madrid, Nobina, ATAC) y otros fabricantes con los que va en consorcio (Alstom en los regionales franceses) [1].</w:t>
      </w:r>
    </w:p>
    <w:p>
      <w:pPr>
        <w:pStyle w:val="Heading2"/>
      </w:pPr>
      <w:r>
        <w:t xml:space="preserve">Cómo gana dinero</w:t>
      </w:r>
    </w:p>
    <w:p>
      <w:pPr>
        <w:spacing w:after="100"/>
      </w:pPr>
      <w:r>
        <w:t xml:space="preserve">Contratos plurianuales adjudicados por licitación. La cartera de 16.235 M EUR equivale a 3,6 años de ventas [1]. El margen EBIT de 2025 fue del 5,2 % en Ferroviario (170,7 M sobre 3.305 M de ventas) y del 6,3 % en Autobuses (75,1 M sobre 1.183 M) [1]; en el 1S26, 5,3 % y 7,3 % [14]. La parte recurrente son los servicios (16,9 % de las ventas), con contratos de 10 a 24 años sobre flotas propias: 500 M EUR a 24 años con Trivia Trens en São Paulo y 10 años con Northern en Reino Unido [1]. La contratación de servicios pasó de 671 M en 2024 a 1.714 M en 2025 [1]. En autobuses, el margen depende de la mezcla: las entregas de cero emisiones subieron del 65 % al 79 % y elevaron el precio medio, de modo que las ventas crecieron un 28 % con un 7 % más de unidades [1]. El riesgo está en el precio fijo: CAF estimaba en 2022 que la inflación restaba unos 1,5 puntos a la rentabilidad de la cartera [15], y en el 1S26 la cartera ferroviaria seguía «parcialmente impactada» [14]. Solaris concentraba las entregas en el cuarto trimestre, aunque en 2026 las reparte mejor [14].</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Ferroviario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Autobuses (Solaris)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Ferroviario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Autobuses (Solaris)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llegó al 10 % de la cifra de negocios en 2025 ni en 2024 [1], pero los contratos son grandes: SNCB (1.700 M EUR, el mayor de su historia) [1], ONCF en Marruecos (cerca de 600 M) y Trivia Trens (unos 500 M a 24 años) [1]. La clientela es muy repetitiva: entre 2019 y septiembre de 2022, el 65 % de la contratación vino de clientes que ya lo eran y el 47 % fueron ampliaciones de contratos [15]. Lo confirman las opciones ejercidas en 2025 (Metro de Madrid amplió a 48 trenes; Régiolis para SNCF) y que los grandes contratos de mantenimiento son de flotas que fabricó CAF (101 trenes de Northern, 107 de Trivia) [1]. Solaris vendió en 15 países; sus primeros mercados de pedidos en 2025 fueron Polonia (1.196 vehículos), Suecia (378) y Alemania (359) [1]. El poder de precios es limitado: los contratos se ganan en concurso y a precio cerrado, y la inflación de 2022 comprimió el margen de la cartera (≈ 1,5 puntos) [15].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16.235 (2025); 17.743 a 30-jun-26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en 2025; +9 %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Ferroviario 13.882 y Autobuses 2.353 a dic-25; 15.609 y 2.134 a jun-26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6.027 (2025); 4.035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+31 %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incluye SNCB (Bélgica), más de 1.700 M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(2025); 1,6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servicios ferroviarios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16,9 % de las ventas del grupo en 2025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circulante (M EUR, MAR de CAF)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financiera neta / EBITDA (x)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(2025); 0,5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DFN 188 M dic-25; 176 M jun-26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Autobuses entregados (uds.)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90 % cero emisiones en 1S26; cartera de 2.387 autobuses a jun-26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ROCE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de CAF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w:t>
      </w:r>
      <w:r>
        <w:rPr>
          <w:b/>
        </w:rPr>
        <w:t xml:space="preserve">suministro ferroviario mundial</w:t>
      </w:r>
      <w:r>
        <w:t xml:space="preserve"> que mide el World Rail Market Study de UNIFE (Bain &amp; Company, 11.ª edición, publicada el 22-sep-2026): material rodante, servicios, infraestructura, control-mando y señalización y proyectos llave en mano en 66 países (≈ 99 % de la demanda) [24]. A CAF le tocan sobre todo el material rodante (68.800 M EUR al año) y los servicios (84.100 M), el 69 % del total. Solo el 56 % del mercado está abierto a proveedores europeos [24]. Como contraste, la serie de la edición de 2024 [25] y el crecimiento de SCI Verkehr que cita Stadler (5,8 % anual en 2023-2028) [20]. El segundo mercado, Autobuses (26 % de las ventas), es el </w:t>
      </w:r>
      <w:r>
        <w:rPr>
          <w:b/>
        </w:rPr>
        <w:t xml:space="preserve">autobús urbano europeo</w:t>
      </w:r>
      <w:r>
        <w:t xml:space="preserve">: 38.238 autobuses matriculados en la UE en 2025 [28], de ellos 11.607 eléctricos en Europa ampliada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220.600 M EUR al año de media en 2023-2025 (mercado ferroviario mundial; 124.000 M accesibles a proveedores europeos) [24]; autobuses: 38.238 unidades matriculadas en la UE en 2025 (+7,5 %)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al año (media trienal del WRMS; el año es el central del trieni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Descarbonización del transporte urbano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60 % de los autobuses urbanos de la UE matriculados en 2025 fue de cero emisiones [26]; la Directiva de Vehículos Limpios exige que España, Alemania e Italia compren un 65 % de autobuses limpios en 2026-2030 (45 % en 2021-2025) [32]; el 86,5 % de las ventas de CAF está alineado con la taxonomía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pública en ferrocarril y renovación de flotas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220.600 M EUR que crecerá un 3,2 % anual hasta 267.000 M en 2029-2031 [24]; Alstom contrató un récord de 27.628 M EUR (relación entre pedidos y ventas de 1,4)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sobre la flota instalada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servicios son el mayor segmento del mercado (84.100 M EUR al año) [24]; la contratación de servicios de CAF subió de 671 M a 1.714 M EUR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Urbanización: metro y tranvía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tranvías de CAF subieron de 380 M a 513 M EUR y las de metros de 249 M a 332 M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Mercados cerrados y competencia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parte accesible a proveedores europeos bajó del 59 % al 56 %; quedan fuera unos 97.000 M EUR al año [24]. Yutong y BYD suman el 26,7 % de los autobuses eléctricos matriculados en Europa en 2025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Inflación y ejecución de contratos a precio fijo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estimaba en 2022 un impacto de ≈ 1,5 puntos en la rentabilidad de su cartera [15]; Alstom bajó su margen EBIT ajustado del 6,4 % al 6,1 % por la ejecución de algunos contratos [18]; las inundaciones de Valencia siguen lastrando a Stadler (margen EBIT del 4,4 %) [20].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Concursos públicos con pocos fabricantes de gran escala y precio cerrado. Los márgenes EBIT de 2025 lo reflejan: CAF Ferroviario 5,2 % [1], Stadler 4,4 % [20], Alstom 6,1 % ajustado y 2,8 % contable [18]; solo Siemens Mobility (8,8 %) [19] e Hitachi (8,2 %) [21] superan el 8 %.</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Compradores públicos o concesionarios que licitan, fijan penalizaciones y exigen avales; Talgo afronta una penalización de 116 M EUR de Renfe por retrasos [29]. Ningún cliente pesa un 10 % en CAF [1], pero un solo contrato (SNCB) equivale al 38 % de las ventas anuales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Persisten tensiones en baterías y semiconductores [1]; en los regionales franceses, Alstom es a la vez socio y proveedor de equipos de CAF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ferrocarril las barreras son altas (homologaciones, referencias, más de 3.300 ingenieros en CAF) [1], y la UE frena a CRRC con el Reglamento de subvenciones extranjeras (primera investigación a fondo, feb-2024) [31]. En autobuses la entrada es real: Yutong lidera el eléctrico europeo con el 15,5 % y BYD triplicó sus matriculaciones (+206 %)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ferrocarril y el autobús urbano no tienen sustituto en la movilidad masiva urbana; la política climática los favorece frente al coche [32]. Dentro del autobús, el eléctrico sustituye al diésel y CAF lo tiene: el 86 % de las ventas de Solaris son de cero o bajas emisiones [1].</w:t>
            </w:r>
          </w:p>
        </w:tc>
      </w:tr>
    </w:tbl>
    <w:p>
      <w:pPr>
        <w:spacing w:after="160" w:before="0"/>
      </w:pPr>
    </w:p>
    <w:p>
      <w:pPr>
        <w:pStyle w:val="Heading2"/>
      </w:pPr>
      <w:r>
        <w:t xml:space="preserve">Ciclo</w:t>
      </w:r>
    </w:p>
    <w:p>
      <w:pPr>
        <w:spacing w:after="100"/>
      </w:pPr>
      <w:r>
        <w:t xml:space="preserve">Todos los indicadores de pedidos están en máximos: la relación entre pedidos y ventas de CAF fue de 1,3 en 2025 y de 1,6 en el 1S26 [1, 14]; la de Alstom, de 1,4, con una cartera de 104.400 M EUR [18]; Stadler tiene 32.286 M CHF en cartera [20] y Siemens Mobility contrató 16.994 M EUR frente a 12.444 M de ventas [19]. El mercado creció un 4,6 % anual sin inflación en 2023-2025 [24]. El ciclo ferroviario sigue a la inversión pública más que al PIB: el WRMS registró 176.500 M EUR de media en 2019-2021, en plena pandemia, y crecimiento real después [25]. El golpe de 2022 llegó por los márgenes, no por la demanda: la inflación sobre contratos a precio fijo [15]. No he documentado el comportamiento de 2008-09.</w:t>
      </w:r>
    </w:p>
    <w:p>
      <w:pPr>
        <w:pStyle w:val="Heading2"/>
      </w:pPr>
      <w:r>
        <w:t xml:space="preserve">Regulación</w:t>
      </w:r>
    </w:p>
    <w:p>
      <w:pPr>
        <w:spacing w:after="100"/>
      </w:pPr>
      <w:r>
        <w:rPr>
          <w:b/>
        </w:rPr>
        <w:t xml:space="preserve">Directiva de Vehículos Limpios (UE 2019/1161)</w:t>
      </w:r>
      <w:r>
        <w:t xml:space="preserve">: cuota mínima de autobuses limpios en la compra pública, la mitad de ellos de cero emisiones; en 2026-2030 sube al 65 % en España, Alemania e Italia, al 61 % en Francia y al 46 % en Polonia [32]. CAF recuerda que en 2035 todos los autobuses urbanos que se compren deberán ser de cero emisiones [1]. </w:t>
      </w:r>
      <w:r>
        <w:rPr>
          <w:b/>
        </w:rPr>
        <w:t xml:space="preserve">Reglamento de subvenciones extranjeras</w:t>
      </w:r>
      <w:r>
        <w:t xml:space="preserve">: la Comisión abrió el 20-feb-2024 su primera investigación a fondo, contra CRRC Qingdao Sifang en un concurso de trenes en Bulgaria [31]. </w:t>
      </w:r>
      <w:r>
        <w:rPr>
          <w:b/>
        </w:rPr>
        <w:t xml:space="preserve">Aranceles y «Buy America»</w:t>
      </w:r>
      <w:r>
        <w:t xml:space="preserve">: CAF señala el riesgo de aranceles [1], y fabrica en Elmira (EE. UU.) los prototipos de Solaris para cumplir la norma [6]; Volvo Buses sufrió a final de 2025 los aranceles de EE. UU. a los autobuses de Canadá [23]. El nuevo Marco Financiero Plurianual 2028-2034 prioriza el clima [1].</w:t>
      </w:r>
    </w:p>
    <w:p>
      <w:pPr>
        <w:pStyle w:val="Heading2"/>
      </w:pPr>
      <w:r>
        <w:t xml:space="preserve">Tendencias y disrupción</w:t>
      </w:r>
    </w:p>
    <w:p>
      <w:pPr>
        <w:spacing w:after="100"/>
      </w:pPr>
      <w:r>
        <w:rPr>
          <w:b/>
        </w:rPr>
        <w:t xml:space="preserve">Cero emisiones</w:t>
      </w:r>
      <w:r>
        <w:t xml:space="preserve">: el autobús eléctrico creció un 48 % en Europa en 2025 [26] y Solaris tiene el 58 % del de hidrógeno [27]; en tren, baterías e hidrógeno sustituyen al diésel en líneas sin catenaria (Stadler dice tener ≈ 50 % de ese nicho en Europa [20]; CAF desarrolla un tren de baterías de gran autonomía [1]). </w:t>
      </w:r>
      <w:r>
        <w:rPr>
          <w:b/>
        </w:rPr>
        <w:t xml:space="preserve">Automatización y digitalización</w:t>
      </w:r>
      <w:r>
        <w:t xml:space="preserve">: CAF gana su primer proyecto de conducción automática GoA4 (metro de Nápoles) [14] y vende mantenimiento predictivo con su plataforma LeadMind [1]. </w:t>
      </w:r>
      <w:r>
        <w:rPr>
          <w:b/>
        </w:rPr>
        <w:t xml:space="preserve">Nuevos competidores</w:t>
      </w:r>
      <w:r>
        <w:t xml:space="preserve">: los fabricantes chinos (Yutong, BYD) y MAN ganan cuota en el autobús eléctrico, y Solaris cae al 7,6 % de las matriculaciones [26], aunque defiende un 11 % del eléctrico de batería y un 14 % del urbano de cero emisiones con otra base [27]. CAF gana en servicios y automatización y pierde cuota en el autobús eléctrico.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Fabricante europeo de segundo nivel en ferrocarril: las ventas ferroviarias de 3.305 M EUR son ≈ 1,5 % del mercado mundial de 220.600 M (estimación propia: 3.305 / 220.600) [1, 24], frente al 8,7 % de Alstom y el 5,6 % de Siemens Mobility. En autobús eléctrico europeo, Solaris es 7.ª por matriculaciones (7,6 %) [26]; con su propia base es 3.ª en el urbano de cero emisiones (≈ 14 %) y 1.ª en hidrógeno (58 %) [27].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Alstom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ALO.PA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fabricante europeo por ventas; ejercicio a marzo de 2026. Margen EBIT ajustado del 6,1 % (2,8 % contable: 544 M); cartera de 104.400 M EUR y guía del 6,5 % para 2026/27, con problemas de ejecución en material rodante [18]. Es a la vez socio de CAF en los regionales franceses.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Mobility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Siemens AG (ejercicio a septiembre de 2025). Margen de beneficio del segmento del 8,8 % (8,9 % en 2024); pedidos de 16.994 M EUR; guía 2026: crecimiento del 8-10 % y margen del 8-10 %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Hitachi Rail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6501.T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Mobility de Hitachi (ejercicio a marzo de 2026): 1.321.571 M JPY de ventas y 108.115 M de EBITA ajustado, no EBIT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Stadler Rail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SRAIL.SW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3.679 M CHF de ventas y EBIT de 160,6 M CHF (4,4 %; 3,1 % en 2024), lastrado por las inundaciones de Valencia; cartera de 32.286 M CHF. Rival más directo de CAF en regionales, tranvías y locomotoras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Talgo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TLGO.MC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618 M EUR de ventas y 100 M de pérdidas en 2025 por el contrato de Deutsche Bahn y una penalización de Renfe de 116 M; deuda neta de 394 M [29]. Rival en España en alta velocidad. No he leído su EBIT.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Daimler Buses (Mercedes-Benz, Setra)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DTG.DE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Daimler Truck: 26.991 autobuses vendidos en 2025, EBIT ajustado de 599 M EUR (10,0 %, el primer año de dos cifras) [22]; 3.º en el eléctrico europeo con 1.395 unidades [26]. Cuota sobre matriculaciones de eléctricos en Europa.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Volvo Buses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VOLV-B.ST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25.072 M SEK de ventas y 2.192 M de resultado de explotación (9,1 % ajustado) en 2025 [23]; 364 eléctricos matriculados en Europa [26]. Más expuesto a interurbano y Latinoamérica.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Yutong Bus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600066.SS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41.426 M CNY de ventas y 5.554 M de beneficio neto (13,4 % de margen neto) en 2025; 17.149 autobuses exportados (+22 %) [30]. Líder del eléctrico europeo con 1.801 matriculaciones [26]. No he leído su 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red en sentido propio; la flota instalada alimenta los servicios: más de 150 contratos en 20 países y unos 12.000 coches mantenidos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65 % de la contratación de 2019-2022 vino de clientes que repiten y el 47 % fueron ampliaciones [4]; los grandes contratos de mantenimiento son de flotas CAF (Northern 101 trenes, Trivia 107) [1]. Pero cada flota nueva sale a concurso.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homologadas en muchos países (Urbos: 1.000 tranvías entregados; Coradia Polyvalent y Talent 3 comprados a Alstom) [1, 4]; Solaris tiene el 58 % del autobús de hidrógeno europeo [16].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ferroviario del 5,2 % supera al de Stadler (4,4 %) y al contable de Alstom (2,8 %), pero queda por debajo de Siemens Mobility (8,8 %) e Hitachi (8,2 %) [1, 7-10]; en autobuses, el 6,3 % de Solaris está lejos del 10,0 % de Daimler Buses y del 8,7 % de Volvo Buses [1, 11, 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ferroviarias de 3.305 M EUR son una sexta parte de las de Alstom (19.171 M) [1, 7]; Solaris vendió 1.631 vehículos frente a 26.991 de Daimler Buses [1, 11].</w:t>
            </w:r>
          </w:p>
        </w:tc>
      </w:tr>
    </w:tbl>
    <w:p>
      <w:pPr>
        <w:spacing w:after="160" w:before="0"/>
      </w:pPr>
    </w:p>
    <w:p>
      <w:pPr>
        <w:pStyle w:val="Heading2"/>
      </w:pPr>
      <w:r>
        <w:t xml:space="preserve">Amenazas</w:t>
      </w:r>
    </w:p>
    <w:p>
      <w:pPr>
        <w:spacing w:after="100"/>
      </w:pPr>
      <w:r>
        <w:rPr>
          <w:b/>
        </w:rPr>
        <w:t xml:space="preserve">Fabricantes chinos en autobuses</w:t>
      </w:r>
      <w:r>
        <w:t xml:space="preserve"> (probabilidad alta): Yutong (15,5 %) y BYD (11,2 %, +206 % en un año) suman más cuota que Mercedes y MAN juntos en el eléctrico europeo, y Solaris queda en el 7,6 % [26]; Yutong gana un 13,4 % neto sobre ventas [30], el doble que Solaris en EBIT. </w:t>
      </w:r>
      <w:r>
        <w:rPr>
          <w:b/>
        </w:rPr>
        <w:t xml:space="preserve">Escala de Alstom y Siemens</w:t>
      </w:r>
      <w:r>
        <w:t xml:space="preserve"> (media): carteras y márgenes que permiten pujar más bajo en los grandes concursos [18, 19]. </w:t>
      </w:r>
      <w:r>
        <w:rPr>
          <w:b/>
        </w:rPr>
        <w:t xml:space="preserve">CRRC en Europa</w:t>
      </w:r>
      <w:r>
        <w:t xml:space="preserve"> (baja mientras rija el Reglamento de subvenciones extranjeras) [31]. </w:t>
      </w:r>
      <w:r>
        <w:rPr>
          <w:b/>
        </w:rPr>
        <w:t xml:space="preserve">Contratos a precio fijo</w:t>
      </w:r>
      <w:r>
        <w:t xml:space="preserve"> (media): un ciclo inflacionario volvería a comprimir márgenes, como en 2022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2018-2025: ingresos </w:t>
      </w:r>
      <w:r>
        <w:rPr>
          <w:b/>
          <w:bCs/>
        </w:rPr>
        <w:t xml:space="preserve">11,9 %</w:t>
      </w:r>
      <w:r>
        <w:t xml:space="preserve">, EBITDA </w:t>
      </w:r>
      <w:r>
        <w:rPr>
          <w:b/>
          <w:bCs/>
        </w:rPr>
        <w:t xml:space="preserve">8,2 %</w:t>
      </w:r>
      <w:r>
        <w:t xml:space="preserve">, BPA </w:t>
      </w:r>
      <w:r>
        <w:rPr>
          <w:b/>
          <w:bCs/>
        </w:rPr>
        <w:t xml:space="preserve">18,9 %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CAF ha duplicado las ventas en siete años (2.048 M en 2018 a 4.487 M en 2025; TCAC del 11,9 %), pero una parte es comprada: Solaris aporta 1.183 M en 2025 y entró en el perímetro en septiembre de 2018, y Reichshoffen añadió unos 138 M anuales desde agosto de 2022 [1, 3, 5]. Sin compras, el crecimiento de 2023-2025 fue del 6,5-20,8 % anual, empujado por una cartera que pasó de 9.640 M (2021) a 16.235 M (2025) [1, 4]. El margen es el punto débil: el EBITDA sobre ventas fue del 9,8 % en 2018 y no ha vuelto a pasar del 8,7 % (2021); en 2022 cayó al 7,3 % porque la cartera estaba firmada a precio cerrado antes de la inflación, y desde entonces sube despacio (7,5 %, 7,7 % y 7,8 %) [1, 2, 3, 4]. El EBIT ferroviario sigue en el 5,2 % (7,6 % en 2018) y lo que mejora es Solaris: de −3,7 M en 2022 a 75,1 M en 2025 (6,3 %) y 60 M en el 1S26 (7,3 %) [1, 8]. El beneficio por acción crece más (TCAC del 18,9 %) porque 2018 parte de un BPA de 1,27 EUR y el resultado financiero ha bajado de −63 M a −37 M [1, 5].</w:t>
      </w:r>
    </w:p>
    <w:p>
      <w:pPr>
        <w:pStyle w:val="Heading2"/>
      </w:pPr>
      <w:r>
        <w:t xml:space="preserve">Ajustes y partidas no recurrentes</w:t>
      </w:r>
    </w:p>
    <w:p>
      <w:pPr>
        <w:spacing w:after="100"/>
      </w:pPr>
      <w:r>
        <w:t xml:space="preserve">CAF publica un «EBITDA ajustado» que en 2024-2025 coincide con el reportado (325 M y 350 M; los otros ajustes son 0) [1]; el informe usa las cifras NIIF. Partidas no recurrentes identificadas: −37,9 M en 2019 por la multa del CADE (Brasil), que dejó el beneficio en 24,7 M [5]; la COVID en 2020 (sin dividendo) [4]; y en 2022 el impacto de la inflación en contratos a precio cerrado, que CAF estimó en ≈ 1,5 puntos de margen de su cartera [15]. La actualización de la multa del CADE por la SELIC (5,9 M en 2025) va en gastos financieros todos los años [1]. El resultado por puesta en equivalencia (entre −4,2 y +6,4 M) está en el BAI y no en el resultado financiero [1, 2, 3, 4, 5].</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CAF no publica transcripciones; este resumen sale de las dos últimas presentaciones y de las notas previas de un analista [72]. En el 1T26 (7-may) la dirección explicó una caída del 5 % de las ventas ferroviarias por un «efecto contable» que revertiría en junio, y presumió de contratación: 2.883 M (book-to-bill de 2,5x) con el contrato de SNCB y cerca de 900 M firmados fuera de cartera (El Cairo, Nápoles, Belgrado) [9]. En el 1S26 (30-jul) cumplió: ventas ferroviarias +3 % en el semestre, ventas del grupo +16 % y EBIT +32 %, un 15 % por encima del consenso de 11 analistas que recoge la propia CAF (131 M) [8, 48]. Dos cambios de discurso. Primero, Solaris pasa a ser el motor (1.079 autobuses entregados, +41 %, y margen EBIT del 7,3 %), pero la empresa avisa de que el 2S26 tendrá un reparto de entregas «similar al de ejercicios anteriores», es decir, menos favorable [8]. Segundo, reconoce que la cartera ferroviaria sigue «aún impactada parcialmente por la inflación» y aparece Oriente Medio como riesgo de ejecución «sin impacto material» [8]. Lo que no explicó: el circulante subió 148 M en el semestre (de 87 a 235 M) y el cash flow fue de solo 12 M; la presentación lo atribuye a la «calendarización de los cobros» sin dar el calendario [8]. Tampoco hay guía de margen para 2027 hasta el nuevo plan del 4T26 [8].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(2018: Solaris (autobuses, Polonia) consolidada desde septiembre de 2018: entra entera en el balance de 2018 con solo cuatro meses en la cuenta [5].; 2019: EuroMaint (mantenimiento ferroviario, Suecia) consolidada desde julio de 2019 [5].; 2022: CAF Reichshoffen (planta de Alstom en Alsacia, plataforma Coradia Polyvalent y PI de Talent 3), consolidada desde el 1-ago-22; con el año completo habría añadido 138,0 M de ventas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CAF se financia con sus clientes. La deuda financiera bruta es estable (812-833 M desde 2022) y la deuda financiera neta que publica ha bajado de 434 M en 2019 a 176 M en jun-26 (0,5x el EBITDA) [1, 6]. Pero esa deuda baja porque los anticipos y el factoring adelantan la caja: con los arrendamientos (116 M), la multa del CADE, el factoring sin recurso y el dividendo pendiente al cierre de junio, la deuda neta ajustada del puente es de 531 M, 1,4x el EBITDA de los últimos 12 meses. El circulante del motor (existencias + clientes − proveedores, con activos y pasivos por contrato) ha pasado del 4,1 % de las ventas en 2022 al 9,0 % en 2025, y el 1S26 consumió otros 130 M [1, 8]. Vencimientos cómodos: 178 M en 2026 y 296 M en 2027, con 1.379 M de liquidez a jun-26 (742 M de líneas no dispuestas) [1, 8]. Sin rating: la sociedad no lo ha pedido [70]. El Altman Z de 1,74 («zona de riesgo») no mide aquí solvencia: los anticipos inflan el pasivo, como avisa el propio indicador.</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238</w:t>
      </w:r>
      <w:r>
        <w:t xml:space="preserve">, conversión </w:t>
      </w:r>
      <w:r>
        <w:rPr>
          <w:b/>
          <w:bCs/>
        </w:rPr>
        <w:t xml:space="preserve">43 %</w:t>
      </w:r>
      <w:r>
        <w:t xml:space="preserve"> del beneficio neto; adquisiciones 233, dividendos 242, recompras 1.</w:t>
      </w:r>
    </w:p>
    <w:p>
      <w:pPr>
        <w:spacing w:after="100"/>
      </w:pPr>
      <w:r>
        <w:t xml:space="preserve">Este es el dato que más pesa contra CAF: el beneficio no se convierte en caja. En 2018-2025 el FCF después de intereses y arrendamientos suma 238 M, un 43 % del beneficio acumulado, y en 2022-2025 fue de −39,5, −52,5, 16,9 y 4,6 M pese a un beneficio de 52-146 M. La causa principal es el circulante: el estado de flujos recoge consumos de 46,5, 116,2, 62,8 y 94,3 M en esos cuatro años, unos 21 céntimos por cada euro de ventas nuevas (320 M para 1.544 M más de ventas entre 2021 y 2025) [1, 2, 3]. El «cash flow» que publica CAF es más alto (88 M en 2025, 72 M en 2024) porque no resta los arrendamientos ni todos los intereses [1]. El capex es bajo y sube: 44-46 M en 2020-2021 y 106 M en 2025 según CAF (114 M en el estado de flujos), por la ampliación de capacidad en Beasain, los talleres de Alemania y Reino Unido y la nueva nave de Solaris (+500 autobuses al año) [1, 8]. Sin dato de la empresa sobre mantenimiento, estimamos que el capex de mantenimiento ronda la amortización (≈ 108 M, 2,4 % de las ventas): estimación propia. El DCF supone un circulante que sigue subiendo, del 9 % al 12 % de las ventas.</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sin salvedades conocidas: EY audita desde 2021 y el IAGC dice que el informe anterior no tuvo salvedades; el de 2025 no se ha podido leer (ver huecos) [1]. El riesgo contable de CAF está en el reconocimiento de ingresos por grado de avance: 1.612 M de activos por contrato a dic-25 (36 % de las ventas) que dependen de las estimaciones de coste a terminación de cada proyecto, y 196 M de costes devengados registrados en proveedores [1]. Las provisiones de garantías crecen más que las ventas (269 M en 2021, 386 M en 2025), algo prudente pero que también da margen para alisar resultados [1, 4]. Los vencidos a más de 180 días subieron a 156,5 M, con 35,1 M de AMT Génova en reestructuración [1]. El fondo de comercio (189 M) no se deteriora desde Orbital en 2022, pero el de Solaris (94,2 M) cae 95,9 M con 100 puntos menos de crecimiento [1]. Los indicadores del motor: Piotroski F de 9 sobre 9 (mejora en todo en 2025), Beneish M de −2,46 (por debajo del umbral de manipulación) y Altman Z de 1,74, que no es fiable con anticipos de clientes.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grado de avance con activos por contrato altos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1.845 M a jun-26 (1.612 M a dic-25), un 38 % de las ventas de los últimos 12 meses; un cambio en las estimaciones de coste de un gran contrato se lleva el margen del año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beneficio en caja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FCF acumulado 2018-2025 del 43 % del beneficio; en 2022-2025, casi nulo con beneficios crecientes, por el circulante [1,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Saldos vencidos y clientes en dificultades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156,5 M vencidos a más de 180 días (131,3 M en 2024), con AMT Génova en reestructuración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Medida cautelar en Brasil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ene-26 el Ministerio Público de São Paulo obtuvo una cautelar que bloqueaba parte de ciertos cobros, después anulada; la multa del CADE está provisionada [1, 6].</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8,1 %.</w:t>
      </w:r>
    </w:p>
    <w:p>
      <w:pPr>
        <w:spacing w:after="100"/>
      </w:pPr>
      <w:r>
        <w:t xml:space="preserve">CAF solo crea valor desde 2024. El ROIC fue del 5,9-9,7 % en 2018-2023, por debajo o en el entorno de un WACC del 8,11 %, y subió al 11,2 % en 2024 y al 13,6 % en 2025. Lo mueve el margen, no la rotación: la rotación del capital invertido ha subido de forma continua (0,51x en 2018 a 0,83x en 2025) porque los anticipos financian el crecimiento, mientras el margen neto se quedó en el 1-3 %. El capital invertido apenas cambió (1.178 M en 2018, 1.268 M en 2025) con unas ventas que se duplicaron: el crecimiento lo han pagado los clientes. Frente a los competidores, el margen EBIT del Ferroviario (5,2 % en 2025) está por debajo de Siemens Mobility (8,8 %) y Hitachi Rail (8,2 % EBITA ajustado) y por encima de Stadler (4,4 %); el de Solaris (6,3 %) queda por debajo de Daimler Buses (10,0 %) y Volvo Buses (8,7 %) [1, 19, 20, 21, 22, 23]. Que el ROIC se mantenga por encima del 12 % depende de que el margen EBIT suba del 5,9 % y de que el circulante no vuelva a crecer más rápido que las ventas.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31-dic-25: caja 598 M + inversiones financieras temporales 25 M + facilidades crediticias no dispuestas 616 M = liquidez disponible 1.240 M [1]; programa de pagarés MARF de hasta 250 M (65,6 M emitidos)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la sociedad no ha solicitado calificación crediticia para sí ni para sus emisiones [70]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Anticipos de clientes.</w:t>
      </w:r>
      <w:r>
        <w:t xml:space="preserve"> Los pasivos por contrato (anticipos y facturación por delante del avance) son 1.483 M a jun-26, frente a 1.845 M de activos por contrato: la posición neta es deudora (362 M; 130 M a dic-25) [6]. Se compensan con entregas del propio contrato, así que por la regla del puente van al circulante, no a la deuda; el riesgo es que su peso baje (ver valoración). </w:t>
      </w:r>
      <w:r>
        <w:rPr>
          <w:b/>
        </w:rPr>
        <w:t xml:space="preserve">Provisiones</w:t>
      </w:r>
      <w:r>
        <w:t xml:space="preserve">: 623 M a jun-26 (575 M a dic-25), de los que 386 M son garantías y asistencia técnica, 70 M contratos onerosos y 50 M litigios [1, 6]. </w:t>
      </w:r>
      <w:r>
        <w:rPr>
          <w:b/>
        </w:rPr>
        <w:t xml:space="preserve">Avales</w:t>
      </w:r>
      <w:r>
        <w:t xml:space="preserve"> bancarios y de seguros por 4.971 M, casi todos técnicos de pedidos, y 102 M de aportaciones futuras comprometidas en las concesiones de Purple Line y CFIR [1]. </w:t>
      </w:r>
      <w:r>
        <w:rPr>
          <w:b/>
        </w:rPr>
        <w:t xml:space="preserve">Factoring sin recurso</w:t>
      </w:r>
      <w:r>
        <w:t xml:space="preserve"> de 72 M a jun-26 y confirming de 33 M no anticipado [6]. </w:t>
      </w:r>
      <w:r>
        <w:rPr>
          <w:b/>
        </w:rPr>
        <w:t xml:space="preserve">Multa del CADE</w:t>
      </w:r>
      <w:r>
        <w:t xml:space="preserve"> (Brasil): provisión de 46 M a dic-25 (54 M en el puente de jun-26 según la nota semestral), recurrida [1, 6]. Anticipos reembolsables sin interés: 21,3 M. Pensiones y prejubilaciones: 44,4 M brutos [6]. Solo el préstamo del BEI (40 M dispuestos) y el de Solaris (180,7 M) llevan covenants [1].</w:t>
      </w:r>
    </w:p>
    <w:p>
      <w:pPr>
        <w:pStyle w:val="Heading1"/>
      </w:pPr>
      <w:r>
        <w:t xml:space="preserve">12. Asignación de capital</w:t>
      </w:r>
    </w:p>
    <w:p>
      <w:pPr>
        <w:pStyle w:val="Confianza"/>
        <w:spacing w:after="100"/>
      </w:pPr>
      <w:r>
        <w:t xml:space="preserve">Confianza: Media</w:t>
      </w:r>
    </w:p>
    <w:p>
      <w:pPr>
        <w:spacing w:after="100"/>
      </w:pPr>
      <w:r>
        <w:t xml:space="preserve">Dividendo «en línea con los resultados», sin cifra de payout comprometida: 1,52 EUR con cargo a 2025 (52,1 M, 36 % del beneficio), pagado en julio de 2026; 1,34 EUR en 2024 (44 %) [1, 6]. No hay recompras (solo autocartera del contrato de liquidez, 0,09 %) [1]. El Plan Estratégico 2026 reservaba unos 550 M para compras que no se hicieron, con un techo de DFN/EBITDA de 2,2x tras compras [15]. El nuevo plan 2027-2030 (4T26) fijará las prioridades; la política de remuneración aprobada en 2026 ya introduce TSR relativo y pago en acciones en el incentivo a largo plazo [8,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Solaris Bus &amp; Coach (Polonia), autobuses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(salida neta de caja de 171,7 M en 2018)</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92,4 M sobre activos netos de 105,5 M; sin deterioro (94,2 M en 2025). EBIT de Autobuses: 13,7 M (2019), 41,1 (2020), -3,7 (2022), 75,1 M (2025, margen 6,3 %); 60 M en 1S26 [1, 3, 5,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EuroMaint (Suecia), mantenimiento ferroviario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9,7 M sobre activos netos de 41,1 M; 9,4 M en 2025, sin deterioro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 Reichshoffen (planta de Alstom en Alsacia, plataforma Coradia Polyvalent, PI de Talent 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Alstom de nov-2021, cerrado el 1-ago-22; la línea de compras del estado de flujos de 2022 fue una entrada neta de 33,8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77,8 M, sin deterioro; con el año completo habría aportado 138,0 M de ventas en 2022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2,67 % restante de Solaris (a SODENA)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pasa al 100 % de Solaris; -7,8 M de minoritarios [1].</w:t>
            </w:r>
          </w:p>
        </w:tc>
      </w:tr>
    </w:tbl>
    <w:p>
      <w:pPr>
        <w:spacing w:after="160" w:before="0"/>
      </w:pPr>
    </w:p>
    <w:p>
      <w:pPr>
        <w:spacing w:after="100"/>
      </w:pPr>
      <w:r>
        <w:t xml:space="preserve">Asignación de capital prudente y poco ambiciosa. En 2018-2025 CAF generó 238 M de FCF y gastó 233 M en compras y 242 M en dividendos, así que se financió con deuda y anticipos. Las tres compras salieron razonablemente: Solaris (198 M en 2018) pasó de pérdidas en 2022 a 75 M de EBIT en 2025 y su fondo de comercio no se ha deteriorado; EuroMaint (51 M) se ha integrado en los servicios, que contratan ya 1.714 M al año; Reichshoffen (2022) dio a CAF fábrica y plataforma en Francia sin salida de caja relevante [1, 3, 5]. El riesgo para el accionista está delante: el plan anterior apuntaba a compras de ≈ 550 M y a una DFN/EBITDA de 2,2x [15]; con la deuda neta en 0,5x según CAF, la tentación de una compra grande en el plan 2027-2030 es real. El ROIC solo ha superado el WACC en 2024-2025: una compra cara a 10-12x el EBITDA diluiría ese progreso.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Martínez Ojinaga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Abogado economista (Deusto) con MBA (Glasgow); carrera previa en el sector eléctrico, dirección de proyectos e interim management; consejero desde 2015 y consejero delegado desde el 1-sep-2021 [1]. Con él las ventas pasaron de 2.943 M EUR (2021) a 4.487 M EUR (2025) y la cartera a 16.235 M EUR, pero el margen EBIT quedó en 5,5 % frente al 5,6 % de 2021 (5,9 % en el 1S26) [8, 10, 15]. Tiene 12.500 acciones, compradas en 2022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Andrés Arizkorreta García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Economista (Deusto) que ha hecho toda su carrera en CAF: director general desde 1992 y consejero delegado de 2006 al 1-sep-2021, cuando pasó a presidente no ejecutivo; consejero desde 1991 [1]. Es consejero independiente de Viscofan y preside su Comisión de Auditoría [1]. No figura con acciones en el IAGC 2025 [1]. Reelegido en 2026 con un 82,40 % a favor [37].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Aitor Galarza Rodríguez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económico-financiero y de estrategia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Figura como director económico-financiero y de estrategia en el IAGC de 2021 (el primero revisado) y sigue en el de 2025: al menos cinco ejercicios sin cambio de director financiero [1, 44]. En ese periodo la deuda financiera neta / EBITDA bajó de 1,1x (2021) a 0,5x (2025 y 1S26) [8, 10, 15]. Su participación no se publica.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Marta Baztarrica Lizarbe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secretaria; directora legal y de cumplimiento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Licenciada en Derecho y Económicas (ICADE E-3); toda su carrera en CAF; consejera ejecutiva desde 2016 y secretaria del consejo y de sus comisiones [1]. Tiene 17.040 acciones, compradas en 2022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Iriarte Ibáñez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Vehículos (CAF Material Rodante)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industrial (Tecnun) con MBA (IESE y UC Berkeley), ex McKinsey; vicepresidente del consejo de supervisión de Solaris desde 2018 y director de estrategia y transformación de CAF Rolling Stock desde 2020 [42]. Consejero delegado de Solaris de ene-2023 a jun-2025, cuando pasó a dirigir CAF Material Rodante [42, 43]. En esa etapa el margen EBIT de Autobuses subió de 0,9 % (1S22) a 4,3 % (2024) y 6,3 % (2025), el más alto desde la compra de Solaris en 2018 [10,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Agata Stańda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general de Autobuses (consejera delegada de Solaris)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Solaris desde feb-2020, donde fue miembro del consejo de dirección para estrategia y sostenibilidad; consejera delegada desde el 1-jul-2025; formada en la Universidad de Economía y Empresa de Poznań y en ESCP [43]. Solaris registró en el 1S26 sus cifras récord desde 2018 [8].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inicio de 2022 (antes de la guerra de Ucrania): ventas de Autobuses (Solaris) +10 % o más [39]. No se ha obtenido la guía completa del grupo.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grupo 3.165 M EUR (+8 %), Autobuses −3 %; margen EBIT 4,4 % (5,6 % en 2021); c.100 M EUR de autobuses sin entregar por falta de componentes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 1 con contratación selectiva; ventas +10-15 %; mejora de rentabilidad frente a 2022; dividendo en línea con los resultados; deuda neta estable [39].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Contratación 4.775 M EUR (book-to-bill 1,2), ventas 3.825 M EUR (+21 %), EBIT 179 M EUR (+29 %) y margen 4,7 % (+0,3 p.p.); la empresa lo marca todo como cumplido [40].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 1; ventas en el entorno del +10 %; mejora de rentabilidad frente a 2023; dividendo en línea con los resultados; DFN/EBITDA estable [40].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1,1; ventas +10 %; EBIT +21 % con margen 5,1 % (4,7 % en 2023); resultado atribuible +16 %; DPA 1,34 EUR (+21 %); DFN/EBITDA 0,7x (0,9x en 2023) [41].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 1; ventas con crecimiento cercano al doble dígito; mejora de rentabilidad frente a 2024; dividendo en línea con los resultados; DFN/EBITDA estable [41].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1,3; ventas 4.487 M EUR (+7 %); EBIT 246 M EUR (+14 %) y margen 5,5 % (+0,4 p.p.); resultado atribuible +42 %; DPA propuesto 1,52 EUR (+14 %); DFN/EBITDA 0,5x. La empresa lo marca todo como cumplido, pero las ventas crecieron un 7 % frente al «cercano al doble dígito»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 1; ventas con crecimiento de un dígito alto frente a 2025; mejora de rentabilidad; dividendo en línea con los resultados; DFN/EBITDA estable (sin compras); reafirmada el 30-jul-2026 [8,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contratación 4.035 M EUR (book-to-bill 1,6), ventas 2.527 M EUR (+16 %), EBIT 150 M EUR (+32 %) con margen 5,9 % (+0,7 p.p.), DFN/EBITDA 0,5x. Ejercicio en curso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Plan Estratégico 2026 (dic-2022)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 2026: ventas c.4.800 M EUR (x1,6 sobre 2021, con un caso base de compras de c.550 M EUR; c.4.400 M EUR orgánicas); EBIT c.300 M EUR (x1,8) con margen ≥ 6,3 % (Ferroviario ≥ 6,2 %, Autobuses ≥ 6,4 %); DFN/EBITDA c.2,2x tras compras o c.1,2x sin ellas; dividendos en progresión con los resultados [10,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orgánicas de 4.400 M EUR superadas un año antes (4.487 M EUR en 2025) [10]; margen EBIT 5,5 % en 2025 (Ferroviario 5,2 %, Autobuses 6,3 %) y 5,9 % en el 1S26, por debajo del ≥ 6,3 %; EBIT 246 M EUR en 2025 frente a c.300 M EUR [8, 10]; las compras de c.550 M EUR no se hicieron y la DFN/EBITDA está en 0,5x [8, 10]. En feb-2026 la empresa etiquetó los objetivos de ventas y EBIT como «con M&amp;A»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casa: el consejero delegado (Martínez Ojinaga, desde 2021) y el presidente no ejecutivo (Arizkorreta, consejero desde 1991) son de CAF, la sucesión de 2021 se anunció con cuatro meses de antelación y los relevos de Solaris (2023 y 2025) fueron internos [1, 42, 43]. La credibilidad es aceptable en las guías anuales (2023 y 2024 cumplidas; 2025 a medias: ventas +7 % frente a «cercano al doble dígito») y floja en el plan de medio plazo: las ventas orgánicas del Plan 2026 se cumplieron un año antes, pero el margen EBIT (5,5 % en 2025 frente a ≥ 6,3 %) y el EBIT (246 M frente a ≈ 300 M) no, y en febrero de 2026 la empresa reetiquetó esos objetivos como «con M&amp;A» [10, 15]. La alta dirección tiene poco capital (el consejero delegado, un 0,036 %) y el incentivo a largo plazo 2023-2026 se mide con EBIT y emisiones, no con caja ni rentabilidad del capital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Andrés Arizkorreta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(consejero delegado hasta el 1-sep-2021)</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Martínez Ojinaga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el 1-sep-2021)</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Marta Baztarrica Lizarbe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secretaria; directora legal y de cumplimiento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Secretaria del consejo y de las 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Idoia Zenarrutzabeitia Beldarrain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(propuesta por Kutxabank)</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Manuel Domínguez de la Maza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(propuesto por Indumenta Pueri)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Begoña Beltrán de Heredia Villa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Julián Gracia Palacín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Carmen Allo Pérez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José Arrieta Sudupe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(más de 12 años en 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Luis Miguel Arconada Echarri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(más de 12 años en 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Andrés Arizkorreta García, Juan José Arrieta Sudupe, Luis Miguel Arconada Echarri</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Social, S.A. (sociedad de los empleados de CAF)</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Vehículo de participación de los trabajadores (sus accionistas son empleados de CAF); sin consejero dominical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continua: 24,04 % (cierre 2023), 23,75 % (2024), 23,33 % (2025) y 23,12 % (30-jun-2026) [1, 2,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Bilbao Bizkaia Kutxa Fundación Bancaria (Kutxabank)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bancaria vasca: 3,00 % directo y 10,23 % a través de Kutxabank; propuso a la consejera dominical Zenarrutzabeitia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14,06 % (cierre 2023) al 13,23 % (cierre 2024) y sin cambio desde entonces (13,23 % a 30-jun-2026); la fundación tiene un 3 % directo desde dic-2024 [1, 2,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Fundació Privada Daniel Bravo Andreu (vía Danimar 1990,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familiar; sin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7-ene-2025 heredó la participación de Daniel Bravo Andreu (5,00 % al cierre de 2024); 5,23 % a 30-jun-2026 [1, 2,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Indumenta Pueri, S.L. (vía Global Portfolio Investments,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Family office (grupo Mayoral); propuso al consejero dominical Domínguez de la Maza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 (5,02 % en 2024, 2025 y a 30-jun-2026) [1, 2,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Instituto Vasco de Finanzas (vía Finkatze Kapitala Finkatuz, S.A.U.)</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Instituto público del Gobierno Vasco; sin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 (3,00 % en 2024, 2025 y a 30-jun-2026) [1, 2,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Independance AM</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(inversor financiero); sin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participación significativa en el 1S26: no figuraba al cierre de 2025 y aparece con un 3,27 % a 30-jun-2026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 (contrato de liquidez con Kutxabank Investment)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30.373 acciones al 31-dic-2025; solo operativa del contrato de liquidez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(en conjunto)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de administración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Martínez Ojinaga 0,036 %, Baztarrica 0,050 %, Arrieta 0,009 %, Beltrán de Heredia 0,001 %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0,916 M EUR en 2025 (+16,2 %), con el variable anual al 100 % [1]. El variable anual pesa BAI 30 % (con umbral de acceso), flujo de caja 25 %, ventas 15 %, contratación 15 % y métricas no financieras 15 % [1]. El incentivo a largo plazo 2023-2026, en metálico, mide un 85 % el EBIT agregado (objetivo 981,6 M EUR; tope del 124 % solo si el margen de 2026 supera la media de Alstom, Stadler y Talgo) y un 15 % las emisiones: sin ROIC, TSR ni caja [1]. La política 2027-2029 sube el fijo del consejero delegado de 510.000 a 600.000 EUR y anuncia un plan 2027-2030 pagado en acciones y con TSR relativo [38]. Hay clawback; la indemnización, solo del consejero delegado, tiene un tope de dos años de fijo [1, 38]. Ningún voto de remuneración bajó del 91 % a favor en tres juntas [35, 36, 37].</w:t>
      </w:r>
    </w:p>
    <w:p>
      <w:pPr>
        <w:pStyle w:val="Heading2"/>
      </w:pPr>
      <w:r>
        <w:t xml:space="preserve">Operaciones vinculadas, estructura de control y defensas</w:t>
      </w:r>
    </w:p>
    <w:p>
      <w:pPr>
        <w:spacing w:after="100"/>
      </w:pPr>
      <w:r>
        <w:t xml:space="preserve">Nadie controla CAF según el IAGC: no hay pactos parasociales comunicados ni acción concertada, y la sociedad declara que nadie ejerce control [1]. El núcleo estable es vasco: Cartera Social (empleados) 23,12 %, BBK-Kutxabank 13,23 % e Instituto Vasco de Finanzas 3,00 % suman un 39,35 % del capital a 30-jun-2026 [6], cerca de la mitad del capital que vota con asistencias del 80 % [1, 37]. Cartera Social no tiene consejero; Kutxabank e Indumenta Pueri, uno cada uno [1]. Una acción, un voto, sin clases ni límites; para asistir a la junta hacen falta 1.000 acciones agrupables, aunque se vota a distancia con una [1]. No hay medidas de neutralización ante una OPA [1]. Operaciones vinculadas con Kutxabank por 35,1 M EUR en 2025, sobre todo un crédito de 35 M EUR [1]. La junta de 2026 autorizó ampliar capital hasta la mitad en cinco años con posible exclusión del derecho preferente [6, 37].</w:t>
      </w:r>
    </w:p>
    <w:p>
      <w:pPr>
        <w:pStyle w:val="Heading2"/>
      </w:pPr>
      <w:r>
        <w:t xml:space="preserve">Señales de alerta</w:t>
      </w:r>
    </w:p>
    <w:p>
      <w:pPr>
        <w:pStyle w:val="ListParagraph"/>
        <w:numPr>
          <w:ilvl w:val="0"/>
          <w:numId w:val="2"/>
        </w:numPr>
        <w:spacing w:after="60"/>
      </w:pPr>
      <w:r>
        <w:t xml:space="preserve">Presidente no ejecutivo con 35 años en el consejo y 15 como consejero delegado (Arizkorreta, consejero desde 1991): reelegido en 2026 con un 17,59 % en contra [1, 37].</w:t>
      </w:r>
    </w:p>
    <w:p>
      <w:pPr>
        <w:pStyle w:val="ListParagraph"/>
        <w:numPr>
          <w:ilvl w:val="0"/>
          <w:numId w:val="2"/>
        </w:numPr>
        <w:spacing w:after="60"/>
      </w:pPr>
      <w:r>
        <w:t xml:space="preserve">Solo 3 independientes de 10 (30 %), por debajo del tercio que pide la Recomendación 17 del Código de Buen Gobierno; dos consejeros perdieron la independencia por superar 12 años (Arrieta desde 2008, Arconada desde 1992) y no hay consejero coordinador [1].</w:t>
      </w:r>
    </w:p>
    <w:p>
      <w:pPr>
        <w:pStyle w:val="ListParagraph"/>
        <w:numPr>
          <w:ilvl w:val="0"/>
          <w:numId w:val="2"/>
        </w:numPr>
        <w:spacing w:after="60"/>
      </w:pPr>
      <w:r>
        <w:t xml:space="preserve">La delegación para ampliar capital con exclusión del derecho preferente (junta de 2026) salió con un 25,63 % en contra; la reelección de los dos dominicales en 2024, con un 25,07 % en contra [35, 37].</w:t>
      </w:r>
    </w:p>
    <w:p>
      <w:pPr>
        <w:pStyle w:val="ListParagraph"/>
        <w:numPr>
          <w:ilvl w:val="0"/>
          <w:numId w:val="2"/>
        </w:numPr>
        <w:spacing w:after="60"/>
      </w:pPr>
      <w:r>
        <w:t xml:space="preserve">Operaciones vinculadas con Kutxabank (accionista del 13,23 % con consejera dominical) por 35,1 M EUR en 2025 y autorización para depositar hasta 50 M EUR de excedentes en el banco [1].</w:t>
      </w:r>
    </w:p>
    <w:p>
      <w:pPr>
        <w:pStyle w:val="ListParagraph"/>
        <w:numPr>
          <w:ilvl w:val="0"/>
          <w:numId w:val="2"/>
        </w:numPr>
        <w:spacing w:after="60"/>
      </w:pPr>
      <w:r>
        <w:t xml:space="preserve">La participación de los empleados (Cartera Social) baja cada año: del 24,04 % en 2023 al 23,12 % en jun-2026; y entra un inversor financiero nuevo (Independance AM, 3,27 %) [1, 2, 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(febrero de 2026, reafirmada el 7-may y el 30-jul): book-to-bill igual o superior a 1 con contratación selectiva, ventas con crecimiento de «un dígito alto» frente a 2025 (4.487 M), mejora de la rentabilidad en EBIT y resultado neto, dividendo en línea con los resultados y DFN/EBITDA estable (0,5x), sin operaciones inorgánicas [9, 10, 14]. El 1S26 ya da +16 % en ventas y +32 % en EBIT, con un 2S en el que Solaris entregará menos [8]. El consenso (MarketScreener, 9 analistas) está por encima de la guía: ventas de 4.964 M en 2026e (+10,6 %) y EBIT de 302 M (6,1 %) [47]. El Plan Estratégico 2027-2030 se presentará en el 4T26 y fijará los objetivos de medio plazo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6-oct-2026 (9 analistas) [47]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6-oct-2026 (9 analistas) [47]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6-oct-2026 (9 analistas) [47]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4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55,40 – 80,00</w:t>
            </w:r>
          </w:p>
        </w:tc>
      </w:tr>
    </w:tbl>
    <w:p>
      <w:pPr>
        <w:spacing w:after="160" w:before="0"/>
      </w:pPr>
    </w:p>
    <w:p>
      <w:pPr>
        <w:pStyle w:val="Heading2"/>
      </w:pPr>
      <w:r>
        <w:t xml:space="preserve">Revisiones de estimaciones</w:t>
      </w:r>
    </w:p>
    <w:p>
      <w:pPr>
        <w:spacing w:after="100"/>
      </w:pPr>
      <w:r>
        <w:t xml:space="preserve">No hay datos gratuitos de la evolución de las estimaciones a 3 y 12 meses (ver huecos). Lo que sí se ve es el precio objetivo: la lista de CAF del 20-jul-2026 da una media de 69,22 EUR, con cinco precios de más de seis meses (Exane 56,0 y Bankinter 55,4 de febrero-marzo), y MarketScreener da 73,95 EUR el 6-oct con un máximo de 87,50 que no estaba en la lista de julio: hubo revisiones al alza tras el 1S26, que batió el consenso en un 15 % en EBIT [46, 48]. Renta 4 pasó de 62,2 EUR en febrero a 80,0 EUR en marzo [48, 71]. En los resultados de 2025 el EBIT quedó un 2 % por debajo del consenso (246 M frente a 251,5 M) por el margen ferroviario, y la deuda neta mucho mejor (188 M frente a 252 M) [71].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CAF ha sido una acción de dos tiempos. Hasta 2024 no hizo nada: a diez años sube un 8,0 % anual, como el IBEX (8,3 %), con una caída del 40,5 % entre noviembre de 2021 y septiembre de 2022, cuando la inflación se comió los márgenes de una cartera firmada a precio cerrado [15, 45]. Desde 2025 se ha revalorizado con fuerza: +68,5 % en 2025 y +32,9 % en 2026 hasta el 6-oct (IBEX +12,3 %), por tres hechos: la recuperación del margen de Solaris (de −0,5 % a 7,3 %), la contratación récord con SNCB (más de 1.700 M) y un 1S26 un 15 % por encima del consenso en EBIT [1, 8, 48]. Cotiza a 78,30 EUR, en máximos (79,70 el máximo de 52 semanas) y por encima del precio objetivo medio de los analistas (69,22 en la lista de CAF; 73,95 en MarketScreener) [45, 46, 48]. Beta de 0,91 y volatilidad del 28,9 %; liquidez escasa (≈ 1,9 M EUR al día) y sin posiciones cortas publicadas [45, 60].</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precio de cierre de cada año, CAF ha cotizado de media a 6,8x el EBITDA de los últimos 12 meses (mínimo 4,8x, máximo 9,8x) y hoy lo hace a 8,2x, una prima del 21 % y el percentil 63 de su historia. El PER (15,6x) está en la media (16,0x), porque el beneficio ha crecido más que el EBITDA al bajar los gastos financieros. MarketScreener da el mismo patrón con el EBITDA del propio ejercicio: 4,4-6,3x en 2021-2025 y 7,1x con el precio actual sobre 2026e [47]. El cambio que lo justifica en parte es estructural: la deuda financiera neta ha bajado de 1,1x a 0,5x el EBITDA y Solaris ha dejado de perder dinero [1]. Lo que no ha cambiado es la conversión en caja, que es la razón histórica del descuento.</w:t>
      </w:r>
    </w:p>
    <w:p>
      <w:pPr>
        <w:pStyle w:val="Heading1"/>
      </w:pPr>
      <w:r>
        <w:t xml:space="preserve">18. Comparables cotizados</w:t>
      </w:r>
    </w:p>
    <w:p>
      <w:pPr>
        <w:pStyle w:val="Confianza"/>
        <w:spacing w:after="100"/>
      </w:pPr>
      <w:r>
        <w:t xml:space="preserve">Confianza: Media</w:t>
      </w:r>
    </w:p>
    <w:p>
      <w:pPr>
        <w:spacing w:after="100"/>
      </w:pPr>
      <w:r>
        <w:t xml:space="preserve">Fabricantes europeos de material rodante cotizados (Alstom, Stadler, Talgo), dos proveedores de componentes ferroviarios con margen mucho más alto (Knorr-Bremse, Wabtec) y dos fabricantes de vehículos comerciales con negocio de autobuses (Daimler Truck, Volvo) como referencia para Solaris [52, 53, 54, 55, 56, 57, 58]. Fuera: Siemens e Hitachi (Mobility y Rail pesan poco en grupos de más de 50.000 M de ventas), Iveco (cotiza anclada a la OPA de Tata Motors) y CRRC (mercado cerrado y sin datos comparables gratuitos) [68]. Daimler Truck con su liquidez neta industrial: con la deuda de su financiera saldría 10,1x en vez de 4,8x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CAF</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Alstom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Stadler Rail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Talgo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Knorr-Bremse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Wabtec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Daimler Truck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Volvo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 / 7,3x / 9,8x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 / 9,9x / 13,3x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15,8x / 18,8x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 / 1,2x / 1,8x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7,4 + 0,09 × crecimiento; R² = 0,03. El crecimiento explica poco los múltiplos de estos comparables (R² &lt; 0,3): la regresión no se usa en la valoración.</w:t>
      </w:r>
    </w:p>
    <w:p>
      <w:pPr>
        <w:spacing w:after="100"/>
      </w:pPr>
      <w:r>
        <w:t xml:space="preserve">CAF cotiza a 7,0x el EBITDA de los próximos 12 meses, en línea con la mediana del grupo (7,3x) y entre Alstom (4,8x) y Stadler (7,3x), sus rivales directos; a 12,4x el PER, por debajo de la mediana (15,8x) [52, 53, 54, 55, 56, 57, 58, 59]. Sin prima ni descuento, y con razón: crece más que la mediana (el consenso da +10,6 % en 2026 frente al 6,7 % de la mediana de los comparables a 12 meses), pero con menos margen EBITDA (8,1 % en los últimos 12 meses frente al 10,3 %) y una conversión en caja mucho peor [47]. Knorr-Bremse y Wabtec (10,5x y 16,2x) suben la media: son proveedores de componentes con márgenes del 16-22 % y no son referencia para un integrador. La regresión múltiplo-crecimiento no explica nada (R² de 0,03) y no se usa. La mediana de EV/EBITDA y PER da 90,84 EUR por acción; la usamos con un peso del 15 % y la contrastamos con la suma de partes, que da 67,18 EUR con múltiplos de fabricante para el ferrocarril y de camión para Solaris.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Bombardier Transportation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Alstom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referencia de 5.500 M EUR (parte baja del rango de 5.500-5.900 M), libre de caja y deuda; Alstom pagó 4.400 M tras 1.100 M de ajuste por la caja neta negativa de Bombardier Transportation a 31-dic-2020 [61]. Múltiplos no publicados en el documento leído.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Thales Ground Transportation Systems (señalización ferroviaria)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Hitachi Rail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1.660 M EUR; ventas de 1.600 M EUR en 2020 (EV/ventas calculado); Hitachi estimaba un EV/EBIT «forward» de unas 10x al cierre [62]. Anuncio del 4-ago-2021.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Alstom Signaling North America (señalización convencional)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Knorr-Bremse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unos 690 M USD (648 M EUR al tipo del BCE del 19-abr-2024, 1,0653), anunciado en abril y cerrado en septiembre de 2024; parte del plan de desinversiones de 2.000 M de Alstom [51, 63]. Ventas y márgenes no publicados en el documento leído.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Evident Inspection Technologies (inspección industrial)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Wabtec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Inspección industrial, no ferroviaria: múltiplos publicados (4,11x ventas y 12,0x EBITDA con sinergias) fuera del cálculo [64].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Dellner Couplers (enganches y conexiones de trenes de pasajeros)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Wabtec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960 M USD en efectivo (879 M EUR al BCE del 18-mar-2025, 1,0918); ventas esperadas de 2025 de unos 250 M USD (EV/ventas calculado); 12,5x el EBITDA proyectado de 2025 ajustado por costes de la operación y 22 M USD de sinergias [51, 65]. Vendedor: EQT (no verificado en el documento leído).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Iveco Defence (vehículos militares)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Leonardo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1.700 M EUR, anunciado a la vez que la oferta de Tata Motors sobre Iveco, que está condicionada a la separación del negocio de defensa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Iveco Group (camiones y autobuses, sin defensa)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Tata Motors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voluntaria recomendada por todas las acciones de Iveco por unos 3.800 M EUR (valor de las acciones, no valor empresa); con la venta de defensa, unos 5.500 M EUR para los accionistas [66]. Iveco cotizaba a 14,30 EUR el 6-oct-2026 [68]: la oferta seguía pendiente a la fecha de corte (prima y calendario no verificados en un documento original). Incluye Iveco Bus, competidor directo de Solaris.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Talgo (29,76 % del capital)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Consorcio de Sidenor, Gobierno Vasco (Finkatuz), BBK y Vital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29,76 % a Pegaso (Trilantic) y otros minoritarios por 156,67 M EUR, a 4,25 EUR por acción; el organismo público aporta además 45 M a una ampliación de capital [67]. Estimación propia: 100 % de las acciones ≈ 526 M (156,67 / 0,2976) + deuda neta de 404 M a 31-dic-2024 (MarketScreener) ≈ 930 M de valor empresa, 1,39x las ventas de 2024 (669 M) [54, 67]. Paquete minoritario sin OPA y con EBITDA de 2024 negativo: no es un precio de control.</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2018-09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Bus &amp; Coach (autobuses)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Contraprestación de 197,98 M EUR por el 100 % de las acciones; activos netos adquiridos (definitivos) 105,54 M y fondo de comercio 92,44 M; consolidada desde el 4-sep-2018 [5]. Fuera de la ventana de 5-7 años; sirve de referencia del precio que pagó la propia CAF por su segmento de autobuses. Valor empresa no publicado de forma limpia en la nota (tabla de pasivos financieros desordenada en el PDF).</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157,03 – 354,87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no sirven para valorar CAF: las que tienen múltiplo publicado son de señalización o componentes (Thales GTS a 1,04x ventas; Dellner a 3,84x y 12,5x EBITDA con sinergias) o de inspección industrial (Evident, fuera del cálculo), con márgenes que doblan los de un integrador de trenes [62, 64, 65]. Aplicadas a las ventas de CAF dan valores sin sentido (181,76 EUR de mediana, más del doble del precio), así que pesan cero. Sí dicen algo del control: en Talgo, las instituciones vascas (Gobierno Vasco vía Finkatuz, BBK, Vital) entraron en 2025 junto a Sidenor para que el 29,76 % no saliera de España, a 1,39x ventas (estimación sobre un paquete minoritario) pese a las pérdidas [67]. En CAF, Cartera Social (23,12 %), BBK (13,23 %) y el Instituto Vasco de Finanzas (3,00 %) suman un 39,35 %: una OPA hostil no es realista, y el caso Talgo muestra que el bloque vasco actuaría para mantener el control [6, 67].</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+10,0 % (4.935 M), entre la guía de «un dígito alto» y el consenso (+10,6 %, 4.964 M): el 1S26 ya creció un 16 % y el 2S tendrá menos entregas de Solaris [8, 47]. 2027e +7,5 % y 2028e +7,0 %, algo por debajo del consenso (+7,9 % y +7,5 %) [47]. La cartera respalda esas cifras: 17.743 M a jun-26 (3,7 veces las ventas de los últimos 12 meses), de la que CAF prevé ejecutar el 26 % en 2026 y el 29 % en 2027, más de 700 M firmados fuera de cartera y más de 10.000 M en opciones [1, 8]. Desde 2029 converge al 2,5 %: el mercado ferroviario mundial crece un 3,2 % anual según UNIFE (2026) y los autobuses urbanos de la UE ya son de cero emisiones en un 60 % de las matriculaciones, así que el empuje de Solaris se agota [24, 26].</w:t>
      </w:r>
    </w:p>
    <w:p>
      <w:pPr>
        <w:keepNext/>
        <w:spacing w:after="100"/>
      </w:pPr>
      <w:r>
        <w:rPr>
          <w:b/>
          <w:bCs/>
        </w:rPr>
        <w:t xml:space="preserve">Márgenes.</w:t>
      </w:r>
    </w:p>
    <w:p>
      <w:pPr>
        <w:spacing w:after="100"/>
      </w:pPr>
      <w:r>
        <w:t xml:space="preserve">Margen EBITDA del 8,4 % en 2026e (consenso 8,4 %; 8,2 % en el 1S26), 8,5 % en 2027e y 8,6 % estable desde 2028e [8, 47]. Es medio punto menos que el consenso en 2028 (8,9 %) a propósito: CAF no ha superado el 8,7 % desde 2018 y la media de 2019-2025 es del 7,7 % [1, 2, 3, 4, 5]. Las razones para que mejore son reales (Solaris en el 7,3 % de margen EBIT, más servicios —4.615 M de cartera—, contratos nuevos con cláusulas de indexación desde 2022 [15]), pero el Ferroviario sigue en el 5,2 % de EBIT y la propia empresa reconoce contratos «aún impactados por la inflación» [1, 8]. Un 8,6 % de EBITDA es un margen EBIT de ≈ 6,1 %, todavía por debajo del ≥ 6,3 % que prometía el Plan 2026 para este año [15].</w:t>
      </w:r>
    </w:p>
    <w:p>
      <w:pPr>
        <w:keepNext/>
        <w:spacing w:after="100"/>
      </w:pPr>
      <w:r>
        <w:rPr>
          <w:b/>
          <w:bCs/>
        </w:rPr>
        <w:t xml:space="preserve">Inversión y circulante.</w:t>
      </w:r>
    </w:p>
    <w:p>
      <w:pPr>
        <w:spacing w:after="100"/>
      </w:pPr>
      <w:r>
        <w:t xml:space="preserve">Capex del 3,2 % de las ventas en 2026e y del 3,4 % en 2027e (talleres de Alemania y Reino Unido, nave de pruebas de Beasain, nueva nave de Solaris), y del 3,0 % desde 2029, por encima de la amortización (2,4-2,5 %) [8]. Incluye el 0,6 % de las ventas de pagos de arrendamientos, porque los pasivos por arrendamiento van en la deuda (NIIF 16) [1]. Circulante del motor del 10,0 % de las ventas en 2026e (9,0 % en 2025; el 1S26 consumió 130 M) y subida hasta el 12,0 % en 2029e: en 2022-2025 el circulante absorbió unos 21 céntimos por cada euro de ventas nuevas (320 M para 1.544 M más de ventas entre 2021 y 2025), y el Plan 2026 de CAF suponía un circulante del 5-7 % de las ventas con su propia definición, frente al ≈ 2 % de 2025 [1, 15]. Tipo impositivo del 27 % (29,8 % en 2025, 26 % en el 1S26) [1, 8].</w:t>
      </w:r>
    </w:p>
    <w:p>
      <w:pPr>
        <w:keepNext/>
        <w:spacing w:after="100"/>
      </w:pPr>
      <w:r>
        <w:rPr>
          <w:b/>
          <w:bCs/>
        </w:rPr>
        <w:t xml:space="preserve">Coste del capital.</w:t>
      </w:r>
    </w:p>
    <w:p>
      <w:pPr>
        <w:spacing w:after="100"/>
      </w:pPr>
      <w:r>
        <w:t xml:space="preserve">Tasa libre: bono español a 10 años al 4,10 % el 6-oct-2026 [49, 50]. Beta de 0,91 a cinco años mensual frente al IBEX, ajustada de Blume a 0,94 [45]. Prima de mercado del 5,5 % y prima adicional del 0,5 % por la concentración de la cartera en grandes contratos a precio cerrado (SNCB pesa ≈ 10 % de la cartera) y por la liquidez escasa (≈ 1,9 M EUR al día) [8, 45]. Coste de los fondos propios del 9,77 %. Coste de la deuda antes de impuestos del 4,5 % (intereses pagados de 38,1 M sobre 812-833 M de deuda media, un 4,6 %) [1]. Peso de la deuda del 26 % a valor de mercado (deuda bruta y arrendamientos frente a 2.682 M de capitalización). WACC del 8,11 %.</w:t>
      </w:r>
    </w:p>
    <w:p>
      <w:pPr>
        <w:keepNext/>
        <w:spacing w:after="100"/>
      </w:pPr>
      <w:r>
        <w:rPr>
          <w:b/>
          <w:bCs/>
        </w:rPr>
        <w:t xml:space="preserve">Valor terminal.</w:t>
      </w:r>
    </w:p>
    <w:p>
      <w:pPr>
        <w:spacing w:after="100"/>
      </w:pPr>
      <w:r>
        <w:t xml:space="preserve">Gordon con un crecimiento del 2,0 % nominal en EUR: inflación objetivo del BCE y crecimiento real casi nulo de un mercado que crece un 3,2 % nominal (UNIFE) en el que CAF no gana cuota [24]. El múltiplo implícito es de 7,1x el EBITDA de 2035, en línea con la mediana de los comparables (7,3x NTM) y con la media histórica de CAF (6,8x), lo que da coherencia al terminal. El valor terminal pesa un 63 %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79,48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142,61</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(base: 8,6 %)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 (WACC: 8,1 %)</w:t>
            </w:r>
          </w:p>
        </w:tc>
      </w:tr>
    </w:tbl>
    <w:p>
      <w:pPr>
        <w:spacing w:after="160" w:before="0"/>
      </w:pPr>
    </w:p>
    <w:p>
      <w:pPr>
        <w:spacing w:after="100"/>
      </w:pPr>
      <w:r>
        <w:t xml:space="preserve">El DCF da 85,68 EUR por acción, un 9,4 % por encima del precio de 78,30 EUR, con un rango de 73,43-102,63 EUR al mover el WACC y el crecimiento terminal medio punto. El valor terminal pesa un 63 %. La pregunta central es qué descuenta el precio, y el DCF inverso responde que poco más que lo que ya está en marcha. Con nuestro WACC del 8,11 %, el precio supone un crecimiento de las ventas del 2,6 % anual en 2027-2035 (nosotros, 4,4 %) o un margen EBITDA estable del 8,3 % (nosotros, 8,6 %; el 1S26 dio un 8,2 %). Dicho de otra forma, a 78,30 EUR la acción ofrece una rentabilidad anual del 8,6 %, medio punto por encima del WACC. No es exigente: el mercado descuenta que la cartera récord se ejecuta y que el margen se queda donde está hoy. Pero tampoco es barata, porque todo el potencial depende de un punto que CAF nunca ha demostrado: cada punto de margen EBITDA vale ≈ 21 EUR por acción (64,53 EUR con un 7,6 %; 106,83 EUR con un 9,6 %), y la historia de 2019-2025 está más cerca de la fila de abajo que de la de arriba.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2020-2022: un gran contrato a precio cerrado (SNCB, Nápoles o un proyecto en Oriente Medio) se tuerce por costes o por retrasos de homologación, Solaris pierde precio frente a Yutong y BYD (26,7 % del autobús eléctrico europeo) y el margen EBITDA cae al 7,1 %, algo por debajo del 7,3 % de 2020 y 2022 [1, 26]. El crecimiento queda dos puntos por debajo del base cada año y la prima de riesgo sube medio punto. El motor solo admite desplazamientos uniformes, así que el bajista es una pérdida de margen permanente, no un bache.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17.743 M se ejecuta al ritmo previsto por CAF (26 % en 2026, 29 % en 2027), las ventas crecen un 10 % en 2026 y un 7-7,5 % en 2027-2028, y el margen EBITDA sube del 7,8 % de 2025 al 8,6 % por Solaris, los servicios y los contratos firmados después de la inflación [1, 8]. El circulante sigue absorbiendo caja hasta el 12 % de las ventas.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nuevo plan 2027-2030 confirma un margen EBIT por encima del 6,5 % (EBITDA del 9,4 %, cerca del 9,8 % de 2018), Solaris consolida un margen del 7 % con su nueva nave de 2.000 autobuses al año, y las opciones de más de 10.000 M se ejecutan (SNCB permite pasar de 54.000 a 170.000 plazas) [8, 69]. Crecimiento 1,5 puntos por encima del base cada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7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83,86 EUR (+7,1 %).</w:t>
      </w:r>
    </w:p>
    <w:p>
      <w:pPr>
        <w:spacing w:after="100"/>
      </w:pPr>
      <w:r>
        <w:t xml:space="preserve">La asimetría es favorable pero estrecha: el alcista (121,73 EUR) gana un 55,5 % y el bajista (42,34 EUR) pierde un 45,9 %, una relación de 1,21x. El valor ponderado por probabilidades es de 83,86 EUR, un 7,1 % por encima del precio. El bajista es verosímil, no cosmético: es un margen algo inferior al de 2020 y 2022 (7,3 %), con una cartera firmada a precio cerrado, y la sensibilidad del motor lo confirma (cada punto de margen EBITDA vale ≈ 21 EUR por acción). Para que compense comprar hoy haría falta creer en el alcista con más de un 25 % de probabilidad, y eso exige un margen que CAF no ha visto desde 2018.</w:t>
      </w:r>
    </w:p>
    <w:p>
      <w:pPr>
        <w:pStyle w:val="Heading1"/>
      </w:pPr>
      <w:r>
        <w:t xml:space="preserve">22. Suma de partes</w:t>
      </w:r>
    </w:p>
    <w:p>
      <w:pPr>
        <w:pStyle w:val="Confianza"/>
        <w:spacing w:after="100"/>
      </w:pPr>
      <w:r>
        <w:t xml:space="preserve">Confianza: Media</w:t>
      </w:r>
    </w:p>
    <w:p>
      <w:pPr>
        <w:spacing w:after="100"/>
      </w:pPr>
      <w:r>
        <w:t xml:space="preserve">La suma de partes da 67,18 EUR (55,17-79,17 EUR), un 14,2 % por debajo del precio: con múltiplos de fabricante y de camión, CAF no está barata. Sirve de contrapeso al DCF, que recoge el crecimiento de la cartera que los múltiplos de un año no ven. Pesa un 10 %. El reparto del EBITDA de 2026e entre segmentos es estimación propia; el total (411 M) cuadra con el del DCF (415 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Ferroviario</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del EBITDA 2026e: ventas de ≈ 3.430 M (+4 %) y margen EBITDA del 7,9 % (7,6 % en 2025, con EBIT del 5,3 % en el 1S26) [1, 8]. Múltiplo de 7,5x: la mediana de los fabricantes (Alstom 4,8x, Stadler 7,3x, Talgo 9,0x) con algo de prima por los servicios (4.615 M de cartera) [52, 53, 54].</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Autobuses (Solaris)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propia: ventas de ≈ 1.505 M (+27 %) y margen EBITDA del 9,3 % (8,3 % en 2025; EBIT del 7,3 % en el 1S26) [1, 8]. Múltiplo de 5,5x, entre Daimler Truck (4,1x) y Volvo (6,8x), los únicos cotizados con negocio de autobuses [57, 58].</w:t>
            </w:r>
          </w:p>
        </w:tc>
      </w:tr>
    </w:tbl>
    <w:p>
      <w:pPr>
        <w:spacing w:after="160" w:before="0"/>
      </w:pPr>
    </w:p>
    <w:p>
      <w:pPr>
        <w:spacing w:after="100"/>
      </w:pPr>
      <w:r>
        <w:rPr>
          <w:b/>
          <w:bCs/>
        </w:rPr>
        <w:t xml:space="preserve">Valor por acción por suma de partes:</w:t>
      </w:r>
      <w:r>
        <w:t xml:space="preserve"> 67,18 (-14,2 %); con ±1x en los múltiplos, 55,17 – 79,17.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7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84,06 EUR (+7,4 % sobre 78,30).</w:t>
      </w:r>
    </w:p>
    <w:p>
      <w:pPr>
        <w:spacing w:after="100"/>
      </w:pPr>
      <w:r>
        <w:t xml:space="preserve">El DCF pesa un 45 % porque es el único método que recoge una cartera de 3,7 años de ventas y obliga a decir qué margen y qué circulante tendrá CAF; los escenarios, un 30 %, para incorporar el riesgo de margen, que es el que manda; los comparables, un 15 %, y la suma de partes, un 10 %, como referencia de lo que paga hoy el mercado. Las transacciones pesan cero (son de componentes y señalización, con márgenes que doblan los de CAF). </w:t>
      </w:r>
      <w:r>
        <w:rPr>
          <w:b/>
        </w:rPr>
        <w:t xml:space="preserve">Puente</w:t>
      </w:r>
      <w:r>
        <w:t xml:space="preserve">: deuda financiera de 813,5 M, arrendamientos de 116,4 M y caja e inversiones de 637,2 M a jun-26 [6]. Los anticipos de clientes van al circulante porque se compensan con entregas (regla del puente); los anticipos reembolsables sin interés (21,3 M), la multa del CADE (54 M), el factoring sin recurso (72 M) y el dividendo pagado en julio (57,7 M, que la caja de junio aún incluía) van en otros ajustes: 205 M, 6,0 EUR por acción [6]. Pensiones netas de impuestos de 33,3 M y asociadas de 38,5 M (con el 43,35 % de Ferrocarriles Suburbanos de México, en venta) [6]. Si los anticipos volvieran al circulante del 5-7 % que suponía el Plan 2026 (≈ 2 % en 2025 con la definición de CAF), se consumirían ≈ 200 M más: ≈ 5,8 EUR por acción, estimación propia [15]. La dispersión es alta (de 67,18 EUR en la suma de partes a 90,84 EUR en comparables), pero todos los métodos menos la suma de partes quedan entre un 7 % y un 16 % por encima del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guía de 2026 (ventas +«un dígito alto», mejora del margen) con un 2S de Solaris más normal tras un 1S récord (entregas +41 %); y del circulante, que subió de 87 a 235 M en el semestre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 (antes del 31-dic)</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Presentación del Plan Estratégico 2027-2030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los objetivos de margen, circulante y dividendo y el tamaño de las compras; el plan anterior reservaba ≈ 550 M para M&amp;A que no se usaron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y entrada en cartera de El Cairo (rehabilitación y mantenimiento de metro) y Belgrado (cercanías), más de 700 M anunciados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17.743 M más ≈ 4 %; confirma la contratación de 2026 por encima de las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del nuevo plan: el mercado pedirá crecimiento y margen EBIT por encima del 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Prototipo del AM30 para SNCB (contrato base de más de 1.700 M firmado en el 1T26)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hito técnico del mayor contrato de la historia de CAF; los retrasos de homologación son la fuente típica de sobrecostes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Jun-jul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y pago del dividendo del ejercicio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dividendo sigue a los resultados (1,52 EUR del ejercicio 2025, payout del 36 %)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Sobrecostes o retrasos en un gran contrato a precio cerrado (SNCB, Nápoles, Oriente Medio)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por cada punto de margen EBITDA permanente (85,68 → 64,53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Cláusulas de indexación o revisión de precios en los contratos nuevos desde 2022 (≈ 2/3 de la cartera cubierta en jun-22) [15]; provisión de contratos onerosos de 70 M y 386 M de garantías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ferroviario por debajo del 5 % en un semestre; dotación a contratos onerosos por encima de 70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circulante sigue absorbiendo la caja (anticipos que bajan, cobros que se retrasan)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 5,8 EUR) si el circulante de CAF vuelve al 5-7 % del Plan 2026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Factoring sin recurso y anticipos en contratos nuevos; liquidez de 1.379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Cash flow de CAF negativo en 9M26 o en el ejercicio; activos por contrato netos por encima de 400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china en autobús eléctrico (Yutong, BYD) y presión de precio en Solaris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si Solaris vuelve a un margen EBIT del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en Polonia, cuota del 58 % en hidrógeno, Reglamento de subvenciones extranjeras [27, 31]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Solaris en eléctrico europeo por debajo del 7 %; book-to-bill de Autobuses por debajo de 0,8 dos semestres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grande en el Plan 2027-2030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si se paga 10-12x EBITDA con deuda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solo supera el WACC desde 2024; DFN/EBITDA de 0,5x según CAF</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DFN/EBITDA por encima de 1,5x en el plan o caso base de M&amp;A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Oriente Medio e Israel (tranvía de Jerusalén, Tel Aviv)</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 y 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ve impacto material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Retrasos o provisiones en proyectos de Israel; exclusiones de inversores por la base de datos de la ONU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en Brasil (CADE, Ministerio Público de São Paulo, Mato Grosso)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−2 % (multa de 54 M ya restada en el puente)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Provisionado y recurrido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firme o bloqueo de cobros en Brasil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por encima de los analistas tras un +49 % en un año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 hasta el precio objetivo medio (69,22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en línea con los comparables (7,0x EV/EBITDA NTM)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2027-2030 con margen por debajo del consenso</w:t>
            </w:r>
          </w:p>
        </w:tc>
      </w:tr>
    </w:tbl>
    <w:p>
      <w:pPr>
        <w:spacing w:after="160" w:before="0"/>
      </w:pPr>
    </w:p>
    <w:p>
      <w:pPr>
        <w:pStyle w:val="Heading2"/>
      </w:pPr>
      <w:r>
        <w:t xml:space="preserve">Pre-mortem</w:t>
      </w:r>
    </w:p>
    <w:p>
      <w:pPr>
        <w:spacing w:after="100"/>
      </w:pPr>
      <w:r>
        <w:t xml:space="preserve">Octubre de 2029: CAF cotiza a 47 EUR y hemos perdido un 40 %. La historia más probable empieza en el nuevo plan de diciembre de 2026: un objetivo de margen EBIT del 7 % y una compra en servicios o señalización de unos 600 M pagada a 11x el EBITDA, financiada con deuda. En 2027 arranca la fabricación del AM30 de SNCB y la homologación se retrasa un año, como suele pasar con plataformas nuevas en una red nueva; CAF dota provisiones por penalizaciones y el margen ferroviario vuelve al 4 %. A la vez, Yutong y BYD ganan los concursos de autobús eléctrico en Italia y España con precios un 15 % más bajos, y Solaris, con la nueva nave de Polonia ya en marcha, vuelve a un margen del 3 %. El circulante, que en 2026 ya había subido 150 M en un semestre, sigue creciendo: la deuda neta ajustada pasa de 1,4x a 2,5x el EBITDA y el dividendo se congela. El mercado vuelve a pagar 5x el EBITDA, el múltiplo de 2023-2024. Los indicadores que lo habrían anticipado: el cash flow de CAF negativo en 2026, el margen EBIT ferroviario por debajo del 5 % y el book-to-bill de Autobuses por debajo de 0,8.</w:t>
      </w:r>
    </w:p>
    <w:p>
      <w:pPr>
        <w:pStyle w:val="Heading1"/>
      </w:pPr>
      <w:r>
        <w:t xml:space="preserve">26. ESG y controversias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(B en 2024 y 2023)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(AA en 2024; A en 2023)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ESG Score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66/100 (60 en 2024; objetivo 2026: 70)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80/100, medalla Oro (79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2025-12</w:t>
            </w:r>
          </w:p>
        </w:tc>
      </w:tr>
    </w:tbl>
    <w:p>
      <w:pPr>
        <w:spacing w:after="160" w:before="0"/>
      </w:pPr>
    </w:p>
    <w:p>
      <w:pPr>
        <w:pStyle w:val="Heading2"/>
      </w:pPr>
      <w:r>
        <w:t xml:space="preserve">Asuntos materiales</w:t>
      </w:r>
    </w:p>
    <w:p>
      <w:pPr>
        <w:spacing w:after="100"/>
      </w:pPr>
      <w:r>
        <w:rPr>
          <w:b/>
        </w:rPr>
        <w:t xml:space="preserve">Taxonomía europea</w:t>
      </w:r>
      <w:r>
        <w:t xml:space="preserve">: el 86,5 % de la cifra de negocios de 2025 está alineado con la taxonomía de la UE (82,1 % en 2024 y 80,2 % en 2023), y el 88,0 % en el 1S26, por encima del objetivo del 84 % del Plan 2026 [1, 14]. El transporte colectivo electrificado es actividad verde por definición, lo que abre financiación vinculada y concursos con criterios climáticos.</w:t>
      </w:r>
    </w:p>
    <w:p>
      <w:pPr>
        <w:spacing w:after="100"/>
      </w:pPr>
      <w:r>
        <w:rPr>
          <w:b/>
        </w:rPr>
        <w:t xml:space="preserve">Emisiones</w:t>
      </w:r>
      <w:r>
        <w:t xml:space="preserve">: los alcances 1 y 2 bajan un 30,3 % frente a 2019 y el alcance 3 por uso del producto un 43,4 %; la senda está validada por SBTi (−55 % en alcances 1 y 2 a 2030 y cero neto en 2045) [1]. En Solaris, el 86 % de las unidades vendidas en 2025 fueron de cero o bajas emisiones [1].</w:t>
      </w:r>
    </w:p>
    <w:p>
      <w:pPr>
        <w:spacing w:after="100"/>
      </w:pPr>
      <w:r>
        <w:rPr>
          <w:b/>
        </w:rPr>
        <w:t xml:space="preserve">Seguridad laboral</w:t>
      </w:r>
      <w:r>
        <w:t xml:space="preserve">: índice de frecuencia de 13,8 en 2025 y 14,4 en el 1S26, peor que el objetivo de 13,5 para 2026 [1, 14]. </w:t>
      </w:r>
      <w:r>
        <w:rPr>
          <w:b/>
        </w:rPr>
        <w:t xml:space="preserve">Derechos humanos</w:t>
      </w:r>
      <w:r>
        <w:t xml:space="preserve">: por el tranvía de Jerusalén (contrato de 114 tranvías, en fabricación), la ONU incluyó a CAF en sept-2025 en su base de datos de empresas ligadas a los asentamientos [1].</w:t>
      </w:r>
    </w:p>
    <w:p>
      <w:pPr>
        <w:pStyle w:val="Heading2"/>
      </w:pPr>
      <w:r>
        <w:t xml:space="preserve">Controversias</w:t>
      </w:r>
    </w:p>
    <w:p>
      <w:pPr>
        <w:spacing w:after="100"/>
      </w:pPr>
      <w:r>
        <w:rPr>
          <w:b/>
        </w:rPr>
        <w:t xml:space="preserve">Brasil (CADE)</w:t>
      </w:r>
      <w:r>
        <w:t xml:space="preserve">: multa de 167,1 M BRL (28,3 M EUR al 30-jun-2026) a CAF Brasil en jul-2019 por cártel en licitaciones de São Paulo, provisionada en 2019 y recurrida. El Ministerio Público de São Paulo logró en ene-2026 una cautelar que bloqueaba cobros, después anulada [6]. </w:t>
      </w:r>
      <w:r>
        <w:rPr>
          <w:b/>
        </w:rPr>
        <w:t xml:space="preserve">Mato Grosso</w:t>
      </w:r>
      <w:r>
        <w:t xml:space="preserve">: multa de 96,2 M BRL (16,3 M EUR) al consorcio del tranvía de Cuiabá (CAF tiene el 36,8 %), suspendida por un acuerdo de jul-2024 [6]. </w:t>
      </w:r>
      <w:r>
        <w:rPr>
          <w:b/>
        </w:rPr>
        <w:t xml:space="preserve">España (CNMC)</w:t>
      </w:r>
      <w:r>
        <w:t xml:space="preserve">: resolución del 30-sep-2021 que sanciona con 1,7 M EUR a CAF Signalling por sumarse en 2015 al cártel de señalización iniciado en 2002. Está recurrida ante la Audiencia Nacional, con el pago y la prohibición de contratar suspendidos y sin provisión [6]. </w:t>
      </w:r>
      <w:r>
        <w:rPr>
          <w:b/>
        </w:rPr>
        <w:t xml:space="preserve">Jerusalén</w:t>
      </w:r>
      <w:r>
        <w:t xml:space="preserve">: inclusión en sept-2025 en la base de datos A/HRC/60/19 de la ONU, que CAF rechaza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calendario de cobros explica los 148 M de aumento del circulante del 1S26 y qué nivel de circulante sobre ventas da por bueno CAF para 2027-2030?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2022-2025 el FCF fue casi nulo por el circulante; el Plan 2026 suponía un 5-7 % de las ventas frente al ≈ 2 % actual.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SNCB</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margen y con qué cláusulas de revisión de precios y de penalización por retraso se firmó el contrato de SNCB (más de 1.700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 10 % de la cartera y una plataforma nueva en una red donde CAF no tenía trenes.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ferroviario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ferroviaria sigue «impactada por la inflación» y cuándo termina de ejecutarse?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EBIT ferroviario está en el 5,2-5,3 % frente al 7,6 % de 2018; cada punto de margen EBITDA del grupo vale ≈ 21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Solaris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margen EBIT del 7,3 % del 1S26 es mezcla de entregas y cuánto es sostenible con el reparto «normal» del 2S?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Solaris aporta casi todo el crecimiento del beneficio; en 2022 perdió dinero.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M&amp;A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2027-2030 incluirá un caso base de compras como el de 2022 (≈ 550 M) y con qué techo de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solo supera el WACC desde 2024; una compra cara lo devolvería por debajo.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las provisiones de garantías crecen más que las ventas (269 M en 2021, 386 M en 2025) y qué parte se ha revertido sin usar?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un colchón prudente o una reserva para alisar resultados: cambia la lectura del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los cinco mayores contratos en la cartera de 17.743 M y en el margen previsto?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 solo publica que los cinco principales son el 15 % de los saldos pendientes de cobro.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Accionariado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política tiene Cartera Social sobre su 23,12 % (que baja cada año) y hay algún acuerdo con BBK o el Gobierno Vasco ante una operación?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bloque vasco y de empleados (39,35 %) decide cualquier operación corporativa.</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13 de 20 controles correctos y 7 explicados. Fuentes: 72 (42 primarias); citas distintas en el texto: 70.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 amortizaciones = EBIT (2018)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11: deterioros u otros resultados entre EBITDA y EBIT; explícalo en el comentario. Explicación: CAF incluye en su EBITDA el «deterioro y resultado por enajenación del inmovilizado» (−10,6 M en 2018); el dato es el publicado [5].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 amortizaciones = EBIT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-9: deterioros u otros resultados entre EBITDA y EBIT; explícalo en el comentario. Explicación: Misma causa: +8,9 M de deterioro y enajenación del inmovilizado en 2020 dentro del EBITDA de CAF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4 (¿asociadas o extraordinarios?). Explicación: La diferencia es el resultado de las sociedades por puesta en equivalencia (−4,2 M en 2020), que CAF no incluye en el resultado financiero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-6 (¿asociadas o extraordinarios?). Explicación: Puesta en equivalencia de +5,6 M en 2022, fuera del resultado financiero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10,0 % frente a 9,0 % real: genera una variación de circulante de 88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0,03: el crecimiento no explica los múltiplos de estos comparables; no uses el valor de la regresión. Explicación: R² de 0,03: la muestra mezcla fabricantes de trenes de margen bajo (Alstom, Stadler, Talgo), proveedores de componentes de margen alto (Knorr-Bremse, Wabtec) y camiones (Daimler Truck, Volvo); el múltiplo lo explica el margen, no el crecimiento. No se usa.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7,0x a 8,2x según qué comparable se quite (78,71 a 93,27 por acción): la muestra es frágil; explícalo y no le des mucho peso. Explicación: La mediana del EV/EBITDA NTM va de 7,0x a 8,2x según el comparable que se quite. Por eso los comparables pesan un 15 % y se acompañan de una suma de partes con múltiplos por negocio.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Stadler Rail (12,0x → 7,3x), Knorr-Bremse (13,7x → 10,5x): el salto implica un crecimiento del EBITDA que no cuadra con el de las ventas. ¿EBITDA de proveedores distintos, o un cambio de perímetro? Explicación: En Stadler el consenso espera pasar de 3.679 a 5.378 M CHF de ventas (24 % anualizado) y de 278,5 a 460 M de EBITDA, que baja su múltiplo de 12,0x a 7,3x; en Knorr-Bremse, que el margen EBITDA suba del 16,5 % de 2025 al 19,4 % (1.292 a 1.685 M). Son expectativas del consenso, no cambios de definición. Todo es de MarketScreener, mismo proveedor para LTM y NTM [53, 55].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 fuentes (42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 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sobrecostes por contrato 2018-2026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provisiones y contratos onerosos de las cuentas 2019, 2021, 2023, 2024 y 2025; 2) búsqueda de 'sobrecoste', 'pérdida', 'inflación', 'Reino Unido', 'Países Bajos' en informes de gestión y presentaciones; 3) segmentos y partidas no recurrentes de cada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CAF no publica pérdidas por contrato; en calidad.extra van los impactos agregados identificables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pagado por CAF Reichshoffen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2.e de las cuentas 2023 (solo el ajuste del PPA y el fondo de comercio); 2) estado de flujos de 2022 (entrada neta de 33,8 M); 3) búsqueda de 'contraprestación' en las cuentas 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(estaría en las cuentas de 2022, no descargadas)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ltm.fcf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estados de flujos semestrales 1S26 y 1S25; 2) nota de arrendamientos semestral (no da las salidas de caja del semestre); 3) presentación 1S26 (cash flow de CAF de 12 M, otra definición)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los componentes van en financieros.extra.ltm</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15 de las cuentas 2025 (calendario sin vida media); 2) búsqueda de 'vida media'; 3) derivable del calendario de vencimientos (no se calcula)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 (mercado ferroviario)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WRMS 2026 de UNIFE: solo hay resumen de prensa, sin cuotas por fabricante; 2) presentaciones de Alstom, Stadler y Siemens: no publican cuotas del mercado mundial; 3) derivarlo con las ventas de los competidores: falta CRRC (el mayor fabricante), cuyas cuentas no he leído; sin CRRC, Alstom + Siemens Mobility + Hitachi + Stadler + CAF suman ≈ 21 % del mercado de 220.600 M EUR (estimación propia)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Talgo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de Talgo de 2025: no descargada; 2) Bankinter: 403; 3) Onda Vasca: da ventas (618 M) y pérdida neta (100 M), pero no el EBIT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Iveco Bus: ingresos y margen del segmento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Iveco Group del 12-feb-2026: solo cifras consolidadas; 2) copia de GlobeNewswire: no desglosa el segmento Bus; 3) Sustainable Bus: solo entregas (+4 % en Europa)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Yutong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Yutong (cninfo): no descargado; 2) resumen de Weekly on Stock: ventas y beneficio neto, no el resultado de explotación; 3) no derivable sin la cuenta completa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regulación: CEF, Net-Zero Industry Act y liberalización ferroviaria en España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y 1S26 de CAF: no los mencionan; 2) Plan Estratégico 2026: no los cita; 3) no busqué fuentes externas por falta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entrada de los empleados en el capital (Cartera Social) y de salida a bolsa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de 2019: solo el porcentaje (24,87 %); 2) página de historia de cafmobility.com: 404; 3) Wikipedia: no da la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operaciones de directivos de la CNMV (Directivos.aspx, NIF A20001020): HTTP 403 con descargar.mjs; 2) MarketScreener, ficha de la empresa y del director financiero: sin tabla de operaciones legible; 3) derivarlo comparando las participaciones del consejo en los IAGC 2024 y 2025: solo Arrieta sube del 0,003 % al 0,009 % durante 2025, sin fecha ni importe (anotado en extra)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2021 y guía completa de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(presentaciones-inversores): solo cuelga las presentaciones anuales desde la de 2022; 2) presentación de resultados 2022: solo recoge la guía inicial de ventas de Solaris (+10 % o más); 3) Plan Estratégico 2026 (retrospectiva): no recoge la guía anual de 2021 ni de 2022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la alta dirección no consejera (Galarza, Iriarte, Stańda)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2025 (C.1.14 solo da nombres y remuneración agregada); 2) CNMV, registro de directivos (403); 3) MarketScreener (sin datos de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desde (Galarza, director financiero)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2021 y 2025 (figura en ambos, sin fecha de nombramiento); 2) búsqueda web y MarketScreener (sin fecha de inicio); 3) informe anual 2019 ya descargado (A_cnmv2019): no lo nombra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(2021: primer IAGC revisado en que figura)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(cambio de las estimaciones de BPA y EBITDA en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«consensus-revisions» de CAF: los gráficos se cargan con JavaScript y la descarga no trae los datos; 2) web de CAF «Cobertura y consenso»: solo publica el consenso del 1S26 (20-jul-2026), no la serie anual; 3) contraste de precios objetivo: la lista de CAF (20-jul) y MarketScreener (6-oct) muestran al menos una subida (máximo de 80,0 a 87,5 EUR), pero no la revisión de BPA/EBITDA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hechos indirectos en consenso.extra: sorpresa del 1S26 y subida del precio objetivo máximo)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 (desglose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da 9 analistas, media 73,95 y rango 60,00-87,50, pero el desglose comprar/mantener/vender se dibuja con JavaScript; 2) web de CAF: desglose completo de 13 entidades, pero a 20-jul-2026; 3) Investing/Stock Analysis no consultados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la lista de CAF del 20-jul-2026 (13 analistas) y MarketScreener como contraste en consenso.extra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CNMV, notificaciones de posiciones cortas de CAF (ES0121975009): la página no muestra ninguna posición publicada (≥ 0,5 %); 2) búsqueda de un listado consolidado de posiciones cortas de la CNMV: no aparece un fichero descargable; 3) Stock Analysis (estadísticas de CAF): no da posición corta para valores españoles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(ninguna posición ≥ 0,5 % publicada; dicho en bolsa.extra)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(valoración de CAF): da múltiplos del mismo ejercicio, no de los 12 meses siguientes; 2) web de CAF: publica «cotización media/EBITDA ajustado» y PER sobre cotización media del año, tampoco NTM; 3) Yahoo/Investing: sin series históricas gratuitas de múltiplos a futuro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motor calcula los LTM con los precios de cierre; los del proveedor van en multiplos_historicos.extra)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Alstom-Bombardier Transportation, Knorr-Bremse-Alstom Signaling NA y Tata-Iveco (prima)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Alstom y Hitachi en sus webs: 404 en las URL probadas; 2) Railway Gazette y Railway Age: 503 y 403; Knorr-Bremse (EQS): página sin texto; 3) prensa secundaria (Cleary Gottlieb, Trains, De Brauw): dan el precio pero no las ventas ni el EBITDA del objetivo ni la prima de Tata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(múltiplos a null; precio y fuente en el comentario de cada operación)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 a 30-jun-2026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tablas semestrales: el texto descargado solo trae la anual y la trimestral, con el EBITDA trimestral vacío en la mayoría; 2) Stock Analysis: da EV y ROIC de 12 meses pero no el EBITDA del mismo proveedor que el NTM; 3) informes semestrales de cada comparable: fuera de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LTM = último ejercicio cerrado (2025; Alstom a mar-2026), igual para todos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 (1S24, 2S24 y 1S25)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CAF «Cobertura y consenso de analistas»: solo publica la versión vigente (consenso del 1S26); 2) MarketScreener: el historial de sorpresas se dibuja con JavaScript; 3) notas de Renta 4: solo se localizaron la de resultados de 2025 (EBIT un 2 % por debajo del consenso) y la previa del 1S26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(2S25 «En línea» y 1S26 «Superior» sí constan)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consolidado 2025 (informe de gestión, IAGC, IARC y cuentas anuales consolidadas 2025 con 2024 comparativo)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https://admin.cafmobility.com/uploads/Informe_de_gestion_memoria_consolidada_2025_eecff279c2.pdf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e informe de gestión 2024 (con 2023 comparativo)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https://admin.cafmobility.com/uploads/CCAA_Consolidadas_2024_6e4e69fc31.pdf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del ejercicio 2023 del Grupo CAF consolidado (con 2022 comparativo)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https://admin.cafmobility.com/uploads/Informe_anual_del_ejercicio_2023_del_Grupo_CAF_consolidado_ES_fe904fcad9.pdf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del ejercicio 2021 del Grupo CAF consolidado (con 2020 comparativo)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https://admin.cafmobility.com/uploads/Informe_anual_del_ejercicio_2021_del_Grupo_CAF_consolidado_ES_383ba78a17.pdf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2019 (sociedad matriz y cuentas anuales consolidadas 2019 con 2018 comparativo), remitido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gestión y estados financieros semestrales resumidos consolidados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https://admin.cafmobility.com/uploads/Memoria_semestral_consolidada_2026_CNMV_d2ed25850c.pdf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financiera intermedia 1er semestre 2026 (formato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https://admin.cafmobility.com/uploads/Informe_1er_semestre_2026_info_financiera_intermedia_9e65f984c7.pdf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https://admin.cafmobility.com/uploads/Presentacion_de_Resultados_1_S_2026_012ba86755.pdf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https://admin.cafmobility.com/uploads/Presentacion_de_Resultados_1_T_2026_9993fe0b2d.pdf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https://admin.cafmobility.com/uploads/Presentacion_de_Resultados_FY_2025_e0bccdc8b6.pdf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https://admin.cafmobility.com/uploads/Presentacion_de_Resultados_1_S_2025_9419686bc9.pdf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https://www.cafmobility.com/accionistas-inversores/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gestión y estados financieros semestrales 2024 (1S24)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https://admin.cafmobility.com/uploads/Informe_de_Gestion_y_Estados_Financieros_semestral_2024_ES_921348d62b.pdf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https://www.cafmobility.com/accionistas-inversores/informacion-economico-financiera/presentaciones-inversores/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Estratégico 2026 (presentación a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https://admin.cafmobility.com/uploads/Plan_Estrategico_2026_c13c54f857.pdf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e informe de gestión consolidados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(depositadas en la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https://www.cnmv.es/portal/Consultas/EE/InformacionFinanciera.aspx?nif=A20001020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2023 (nota sobre los activos de CAF Reichshoffen comprados a Alstom)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https://www.cafmobility.com/accionistas-inversores/informacion-economico-financiera/informe-auditoria-cuentas-anuales-auditadas-informe-gestion-memoria-anual/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Alstom's Fiscal Year 2025/26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Alstom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https://www.alstom.com/press-releases-news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Q4 FY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https://www.siemens.com/global/en/company/investor-relations.html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Stadler Rail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https://www.stadlerrail.com/en/investor-relations/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 Announces Consolidated Financial Results for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https://www.hitachi.com/IR-e/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Relations Release: resultados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Daimler Truck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https://www.daimlertruck.com/en/investors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Volvo Group – Report on the fourth quarter and full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 Volvo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https://www.volvogroup.com/en/investors.html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rail market grows. European suppliers get less of it (World Rail Market Study 2026 de UNIFE)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Rail Agenda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https://www.therailagenda.com/p/world-rail-market-grows-european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rail supply market sees steady growth amid geopolitical challenges (World Rail Market Study 2024 de UNIFE)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Railway Review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https://www.globalrailwayreview.com/global-rail-supply-market-sees-steady-growth-amid-geopolitical-challenges/328630.article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electric bus market grew nearly 50% to 11,607 units in 2025 (datos de DVV Media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Sustainable Bus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https://www.sustainable-bus.com/news/electric-bus-market-europe-2025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summarises 2025: sales growth, strong position in e-mobility and expansion into new markets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Bus &amp; Coach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https://www.solarisbus.com/en/press/solaris-summarises-2025-sales-growth-strong-position-in-e-mobility-and-expansion-into-new-markets-2410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commercial vehicle registrations: vans -8.8%, trucks -6.2%, buses +7.5%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https://www.acea.auto/cv-registrations/new-commercial-vehicle-registrations-vans-8-8-trucks-6-2-buses-7-5-in-2025/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Talgo perdió 100 millones en 2025, un 6,7 % menos que el año anterior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Onda Vasca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https://www.ondavasca.com/talgo-perdio-100-millones-en-2025-un-67-menos-que-el-ano-anterior/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宇通客车 2025 年年度报告 (resumen de las cifras clave del informe anual de Yutong)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Weekly on 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https://static.weeklyonstock.com/26/0331/zbf090433.html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Commission launches first investigation under Foreign Subsidies Regulation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https://public-buyers-community.ec.europa.eu/news/commission-launches-first-investigation-under-foreign-subsidies-regulation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Clean Vehicles Directive (Directiva 2019/1161): objetivos por Estado miembro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 (DG MOVE)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https://transport.ec.europa.eu/transport-themes/clean-transport/clean-and-energy-efficient-vehicles/clean-vehicles-directive_en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Construcciones y Auxiliar de Ferrocarriles (historia)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https://es.wikipedia.org/wiki/Construcciones_y_Auxiliar_de_Ferrocarriles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6-oct-2026 (CHF, JPY, SEK, CNY,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https://data-api.ecb.europa.eu/service/data/EXR/D.CHF+JPY+SEK+USD+CNY.EUR.SP00.A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adoptados por la Junta General Ordinaria de 15-jun-2024 (con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https://admin.cafmobility.com/uploads/1_Acuerdos_adoptados_de_la_Junta_General_Ordinaria_2024_42fc331e56.pdf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adoptados por la Junta General Ordinaria de 14-jun-2025 (con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https://admin.cafmobility.com/uploads/Acuerdos_adoptados_JGO_2025_7081ddba1c.pdf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adoptados por la Junta General Ordinaria de 13-jun-2026 (con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https://admin.cafmobility.com/uploads/Acuerdos_adoptados_JGO_2026_Web_vf_CAST_f05cb98483.pdf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Propuesta motivada del Consejo sobre la Política de Remuneraciones de los Consejeros 2027-2029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https://admin.cafmobility.com/uploads/Propuesta_motivada_del_Consejo_de_Administracion_relativa_a_la_Politica_de_Remuneraciones_de_los_Consejeros_aplicable_a_los_ejer_b2a90fb318.pdf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anuales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https://admin.cafmobility.com/uploads/Resultados_2022_1_8a84647a80.pdf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anuales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https://admin.cafmobility.com/uploads/Resultados_anuales_2023_1_f3f6118321.pdf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anuales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https://admin.cafmobility.com/uploads/Resultados_2024_e57f02c4b1.pdf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Javier Iriarte new CEO of Solaris Bus &amp; Coach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Bus &amp; Coach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https://solarisbus.com/en/press/javier-iriarte-new-ceo-of-solaris-bus-coach-1894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Agata Stańda nombrada consejera delegada de Solaris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https://www.electrive.com/es/2025/07/04/agata-standa-nombrada-consejera-delegada-de-solaris/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e informe de gestión 2021 (incluye IAGC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https://admin.cafmobility.com/uploads/Cuentas_Anuales_consolidadas_del_ejercicio_2021_210c8d5176.pdf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CAF.MC, ^IBEX y EXH4.DE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https://finance.yahoo.com/quote/CAF.MC/history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analistas de CAF: recomendación media, número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https://www.marketscreener.com/quote/stock/CONSTRUCCIONES-Y-AUXILIAR-32078325/consensus/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estimaciones 2026-2028 (cuenta, deuda neta, flujos, por acción) y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https://www.marketscreener.com/quote/stock/CONSTRUCCIONES-Y-AUXILIAR-32078325/valuation/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Cobertura y consenso de analistas (13 entidades; consenso 1S26 de 11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https://www.cafmobility.com/accionistas-inversores/informacion-general/cobertura-consenso-analistas/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Bond Yield Historical Data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https://www.investing.com/rates-bonds/spain-10-year-bond-yield-historical-data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6-oct-2026 (eurofxref-hist)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Alstom: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https://www.marketscreener.com/quote/stock/ALSTOM-4607/valuation/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Stadler Rail: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https://www.marketscreener.com/quote/stock/STADLER-RAIL-AG-57143111/valuation/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Talgo: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https://www.marketscreener.com/quote/stock/TALGO-S-A-22148977/valuation/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Knorr-Bremse: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https://www.marketscreener.com/quote/stock/KNORR-BREMSE-AG-46576463/valuation/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Wabtec: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https://www.marketscreener.com/quote/stock/WESTINGHOUSE-AIR-BRAKE-TE-14842/valuation/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Daimler Truck: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https://www.marketscreener.com/quote/stock/DAIMLER-TRUCK-HOLDING-AG-130552528/valuation/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Volvo: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https://www.marketscreener.com/quote/stock/VOLVO-30049521/valuation/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Alstom, Stadler, Talgo, Knorr-Bremse, Wabtec, Daimler Truck, Volvo y CAF (rentabilidad sobre el capital invertido,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https://stockanalysis.com/quote/etr/KBX/statistics/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posiciones cortas: Construcciones y Auxiliar de Ferrocarriles,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https://www.cnmv.es/portal/Consultas/EE/PosicionesCortas?nif=A20001020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Alstom Completes €4.4 Billion Acquisition of Bombardier Transportation (nota del despacho asesor de Alstom)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Cleary Gottlieb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https://www.clearygottlieb.com/news-and-insights/news-listing/alstom-completes-4-4-billion-acquisition-of-bombardier-transportation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 Rail enters into agreement to acquire Thales Ground Transportation Systems business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https://www.hitachi.com/New/cnews/month/2021/08/210804.pdf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Alstom completes sale of North American signal business to Knorr-Bremse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Trains News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https://www.trains.com/trn/news-reviews/news-wire/alstom-completes-sale-of-north-american-signal-business-to-knorr-bremse/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Wabtec to Acquire Evident's Inspection Technologies Division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Wabtec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https://www.wabteccorp.com/newsroom/press-releases/wabtec-to-acquire-evident-s-inspection-technologies-division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Wabtec to Acquire Dellner Couplers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Wabtec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https://www.wabteccorp.com/newsroom/press-releases/wabtec-to-acquire-dellner-couplers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Brauw advises Iveco Group on the recommended public offer by Tata Motors and the concurrent sale of its defence business, together valued at EUR 5.5bn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Brauw Blackstone Westbroek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https://www.debrauw.com/matters/de-brauw-advises-iveco-group-on-the-recommended-public-offer-by-tata-motors-and-the-concurrent-sale-of-its-defence-business-together-valued-at-eur-5-5bn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Sidenor, Gobierno vasco, BBK y Vital cierran la compra del 29,7 % de Talgo por 156 millones de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elDiario.es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https://www.eldiario.es/euskadi/sidenor-gobierno-vasco-bbk-vital-cierran-compra-30-talgo-156-millones-euros_1_12749561.amp.html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Iveco Group: cotización, capitalización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https://www.marketscreener.com/quote/stock/IVECO-GROUP-N-V-131301260/valuation/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wins Belgium’s SNCB AM30 train fleet (preferred bidder; calendario del prototipo y de la entrada en servicio)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Railway Technology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https://www.railway-technology.com/news/caf-belgiums-sncb-am30-train-fleet/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(la sociedad no ha solicitado calificación crediticia)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https://www.cafmobility.com/accionistas-inversores/informacion-economico-financiera/rating/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2025 en línea en términos generales (resultados frente a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 Banco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https://www.r4.com/articulos-y-analisis/valores/caf-2025-en-linea-en-terminos-generales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previo 1S26, solidez operativa (estimaciones de Renta 4 y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 Banco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https://www.r4.com/articulos-y-analisis/valores/caf-previo-1s26-solidez-operativa</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93,4 %</w:t>
      </w:r>
      <w:r>
        <w:t xml:space="preserve"> · Secciones con menos del 60 % de campos cubiertos: </w:t>
      </w:r>
      <w:r>
        <w:rPr>
          <w:b/>
          <w:bCs/>
        </w:rPr>
        <w:t xml:space="preserve">ninguna</w:t>
      </w:r>
      <w:r>
        <w:t xml:space="preserve"> · Generado el 7 oct 2026.</w:t>
      </w:r>
    </w:p>
    <w:p>
      <w:pPr>
        <w:pStyle w:val="Nota"/>
        <w:spacing w:after="100"/>
      </w:pPr>
      <w:r>
        <w:t xml:space="preserve">Una sola línea cotizada (Bolsas de Madrid y Bilbao, mercado continuo; CAF.MC en Yahoo) y cuentas en EUR, NIIF-UE, ejercicio natural [1]. La cuenta va por naturaleza: el «coste de ventas» son aprovisionamientos ± variación de existencias, y el EBITDA es el que publica CAF (EBIT + amortización − deterioro y resultado por enajenación del inmovilizado), que difiere de EBIT + amortización en hasta 10,6 M según el año [1, 2, 3, 4, 5]. La serie empieza en 2018: Solaris entra en septiembre de 2018 (cuatro meses en la cuenta), EuroMaint en julio de 2019 y CAF Reichshoffen en agosto de 2022, así que el crecimiento de 2018-2023 no es orgánico [3, 5]. El circulante del motor (existencias + clientes con activos por contrato − proveedores con pasivos por contrato) no es la «inversión en circulante» de CAF, que además resta provisiones y otros pasivos: 405 M frente a ≈ 87 M en 2025 [1]. El precio es el cierre del 6-oct-2026 (78,30 EUR) [45]. Los comparables extranjeros se pasan a EUR al tipo del BCE del 6-oct-2026 [51]. No se han leído transcripciones de las conferencias (CAF no las publica) ni el informe de auditoría de 2025 [1]. El análisis se interrumpió el 6-oct por la noche y se retomó el 7-oct con la misma fecha de corte; nada posterior al 6-oct entra en las cifras.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Construcciones y Auxiliar de Ferrocarriles, S.A. (CAF)</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78,30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(49,90 – 79,70)</c:v>
                </c:pt>
                <c:pt idx="1">
                  <c:v>Precio objetivo de los analistas (55,40 – 80,00)</c:v>
                </c:pt>
                <c:pt idx="2">
                  <c:v>Comparables: EV/EBITDA NTM (62,15 – 114,46)</c:v>
                </c:pt>
                <c:pt idx="3">
                  <c:v>Comparables: PER NTM (78,84 – 118,26)</c:v>
                </c:pt>
                <c:pt idx="4">
                  <c:v>Transacciones precedentes (EV/ventas) (157,03 – 354,87)</c:v>
                </c:pt>
                <c:pt idx="5">
                  <c:v>DCF (WACC y g ± 0,5) (73,43 – 102,63)</c:v>
                </c:pt>
                <c:pt idx="6">
                  <c:v>Escenarios (bajista – alcista) (42,34 – 121,73)</c:v>
                </c:pt>
                <c:pt idx="7">
                  <c:v>Suma de partes (55,17 – 79,17)</c:v>
                </c:pt>
                <c:pt idx="8">
                  <c:v>Precio actual (78,30)</c:v>
                </c:pt>
              </c:strCache>
            </c:strRef>
          </c:cat>
          <c:val>
            <c:numRef>
              <c:f>Hoja1!$B$2:$B$10</c:f>
              <c:numCache>
                <c:formatCode>#,##0</c:formatCode>
                <c:ptCount val="9"/>
                <c:pt idx="0">
                  <c:v>49.9</c:v>
                </c:pt>
                <c:pt idx="1">
                  <c:v>55.4</c:v>
                </c:pt>
                <c:pt idx="2">
                  <c:v>62.15</c:v>
                </c:pt>
                <c:pt idx="3">
                  <c:v>78.84</c:v>
                </c:pt>
                <c:pt idx="4">
                  <c:v>157.03</c:v>
                </c:pt>
                <c:pt idx="5">
                  <c:v>73.43</c:v>
                </c:pt>
                <c:pt idx="6">
                  <c:v>42.34</c:v>
                </c:pt>
                <c:pt idx="7">
                  <c:v>55.17</c:v>
                </c:pt>
                <c:pt idx="8">
                  <c:v>77.91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(49,90 – 79,70)</c:v>
                </c:pt>
                <c:pt idx="1">
                  <c:v>Precio objetivo de los analistas (55,40 – 80,00)</c:v>
                </c:pt>
                <c:pt idx="2">
                  <c:v>Comparables: EV/EBITDA NTM (62,15 – 114,46)</c:v>
                </c:pt>
                <c:pt idx="3">
                  <c:v>Comparables: PER NTM (78,84 – 118,26)</c:v>
                </c:pt>
                <c:pt idx="4">
                  <c:v>Transacciones precedentes (EV/ventas) (157,03 – 354,87)</c:v>
                </c:pt>
                <c:pt idx="5">
                  <c:v>DCF (WACC y g ± 0,5) (73,43 – 102,63)</c:v>
                </c:pt>
                <c:pt idx="6">
                  <c:v>Escenarios (bajista – alcista) (42,34 – 121,73)</c:v>
                </c:pt>
                <c:pt idx="7">
                  <c:v>Suma de partes (55,17 – 79,17)</c:v>
                </c:pt>
                <c:pt idx="8">
                  <c:v>Precio actual (78,30)</c:v>
                </c:pt>
              </c:strCache>
            </c:strRef>
          </c:cat>
          <c:val>
            <c:numRef>
              <c:f>Hoja1!$C$2:$C$10</c:f>
              <c:numCache>
                <c:formatCode>#,##0</c:formatCode>
                <c:ptCount val="9"/>
                <c:pt idx="0">
                  <c:v>29.800000000000004</c:v>
                </c:pt>
                <c:pt idx="1">
                  <c:v>24.6</c:v>
                </c:pt>
                <c:pt idx="2">
                  <c:v>52.309999999999995</c:v>
                </c:pt>
                <c:pt idx="3">
                  <c:v>39.42</c:v>
                </c:pt>
                <c:pt idx="4">
                  <c:v>197.84</c:v>
                </c:pt>
                <c:pt idx="5">
                  <c:v>29.19999999999999</c:v>
                </c:pt>
                <c:pt idx="6">
                  <c:v>79.39</c:v>
                </c:pt>
                <c:pt idx="7">
                  <c:v>24</c:v>
                </c:pt>
                <c:pt idx="8">
                  <c:v>0.7800000000000011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Ferroviario</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1887.731</c:v>
                </c:pt>
                <c:pt idx="1">
                  <c:v>1947.55</c:v>
                </c:pt>
                <c:pt idx="2">
                  <c:v>2037.174</c:v>
                </c:pt>
                <c:pt idx="3">
                  <c:v>2221.832</c:v>
                </c:pt>
                <c:pt idx="4">
                  <c:v>2469.758</c:v>
                </c:pt>
                <c:pt idx="5">
                  <c:v>3005.911</c:v>
                </c:pt>
                <c:pt idx="6">
                  <c:v>3284.68</c:v>
                </c:pt>
                <c:pt idx="7">
                  <c:v>3303.771</c:v>
                </c:pt>
              </c:numCache>
            </c:numRef>
          </c:val>
        </c:ser>
        <c:ser>
          <c:idx val="1"/>
          <c:order val="1"/>
          <c:tx>
            <c:strRef>
              <c:f>Hoja1!$C$1</c:f>
              <c:strCache>
                <c:ptCount val="1"/>
                <c:pt idx="0">
                  <c:v>Autobuses (Solaris)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160.688</c:v>
                </c:pt>
                <c:pt idx="1">
                  <c:v>650.105</c:v>
                </c:pt>
                <c:pt idx="2">
                  <c:v>725.298</c:v>
                </c:pt>
                <c:pt idx="3">
                  <c:v>720.853</c:v>
                </c:pt>
                <c:pt idx="4">
                  <c:v>695.712</c:v>
                </c:pt>
                <c:pt idx="5">
                  <c:v>819.374</c:v>
                </c:pt>
                <c:pt idx="6">
                  <c:v>926.863</c:v>
                </c:pt>
                <c:pt idx="7">
                  <c:v>1182.763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Ferroviario</c:v>
                </c:pt>
                <c:pt idx="1">
                  <c:v>Autobuses (Solaris)</c:v>
                </c:pt>
              </c:strCache>
            </c:strRef>
          </c:cat>
          <c:val>
            <c:numRef>
              <c:f>Hoja1!$B$2:$B$3</c:f>
              <c:numCache>
                <c:formatCode>General</c:formatCode>
                <c:ptCount val="2"/>
                <c:pt idx="0">
                  <c:v>73.6</c:v>
                </c:pt>
                <c:pt idx="1">
                  <c:v>26.4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España</c:v>
                </c:pt>
                <c:pt idx="1">
                  <c:v>Italia</c:v>
                </c:pt>
                <c:pt idx="2">
                  <c:v>Francia</c:v>
                </c:pt>
                <c:pt idx="3">
                  <c:v>Países nórdicos</c:v>
                </c:pt>
                <c:pt idx="4">
                  <c:v>Alemania</c:v>
                </c:pt>
                <c:pt idx="5">
                  <c:v>Resto de Europa (Reino Unido 5,7; Polonia 5,7; Benelux 4,7; otros 6,1)</c:v>
                </c:pt>
                <c:pt idx="6">
                  <c:v>América</c:v>
                </c:pt>
                <c:pt idx="7">
                  <c:v>APAC y resto del mundo</c:v>
                </c:pt>
              </c:strCache>
            </c:strRef>
          </c:cat>
          <c:val>
            <c:numRef>
              <c:f>Hoja1!$B$2:$B$9</c:f>
              <c:numCache>
                <c:formatCode>0"%"</c:formatCode>
                <c:ptCount val="8"/>
                <c:pt idx="0">
                  <c:v>11.68</c:v>
                </c:pt>
                <c:pt idx="1">
                  <c:v>10.6</c:v>
                </c:pt>
                <c:pt idx="2">
                  <c:v>9.76</c:v>
                </c:pt>
                <c:pt idx="3">
                  <c:v>9.25</c:v>
                </c:pt>
                <c:pt idx="4">
                  <c:v>7.17</c:v>
                </c:pt>
                <c:pt idx="5">
                  <c:v>22.14</c:v>
                </c:pt>
                <c:pt idx="6">
                  <c:v>10.88</c:v>
                </c:pt>
                <c:pt idx="7">
                  <c:v>18.52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al año (media trienal del WRMS; el año es el central del trienio))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2020</c:v>
                </c:pt>
                <c:pt idx="1">
                  <c:v>2022</c:v>
                </c:pt>
                <c:pt idx="2">
                  <c:v>2024</c:v>
                </c:pt>
                <c:pt idx="3">
                  <c:v>2030e</c:v>
                </c:pt>
              </c:strCache>
            </c:strRef>
          </c:cat>
          <c:val>
            <c:numRef>
              <c:f>Hoja1!$B$2:$B$5</c:f>
              <c:numCache>
                <c:formatCode>#,##0</c:formatCode>
                <c:ptCount val="4"/>
                <c:pt idx="0">
                  <c:v>176500</c:v>
                </c:pt>
                <c:pt idx="1">
                  <c:v>201800</c:v>
                </c:pt>
                <c:pt idx="2">
                  <c:v>220600</c:v>
                </c:pt>
                <c:pt idx="3">
                  <c:v>267000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CAF</c:v>
                </c:pt>
                <c:pt idx="1">
                  <c:v>Alstom</c:v>
                </c:pt>
                <c:pt idx="2">
                  <c:v>Siemens Mobility</c:v>
                </c:pt>
                <c:pt idx="3">
                  <c:v>Hitachi Rail</c:v>
                </c:pt>
                <c:pt idx="4">
                  <c:v>Stadler Rail</c:v>
                </c:pt>
                <c:pt idx="5">
                  <c:v>Talgo</c:v>
                </c:pt>
                <c:pt idx="6">
                  <c:v>Daimler Buses (Mercedes-Benz, Setra)</c:v>
                </c:pt>
                <c:pt idx="7">
                  <c:v>Volvo Buses</c:v>
                </c:pt>
                <c:pt idx="8">
                  <c:v>Yutong Bus</c:v>
                </c:pt>
              </c:strCache>
            </c:strRef>
          </c:cat>
          <c:val>
            <c:numRef>
              <c:f>Hoja1!$B$2:$B$10</c:f>
              <c:numCache>
                <c:formatCode>0.0"%"</c:formatCode>
                <c:ptCount val="9"/>
                <c:pt idx="0">
                  <c:v>5.5</c:v>
                </c:pt>
                <c:pt idx="1">
                  <c:v>6.1</c:v>
                </c:pt>
                <c:pt idx="2">
                  <c:v>8.8</c:v>
                </c:pt>
                <c:pt idx="3">
                  <c:v>8.2</c:v>
                </c:pt>
                <c:pt idx="4">
                  <c:v>4.4</c:v>
                </c:pt>
                <c:pt idx="6">
                  <c:v>10</c:v>
                </c:pt>
                <c:pt idx="7">
                  <c:v>8.7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Hoja1!$B$2:$B$19</c:f>
              <c:numCache>
                <c:formatCode>#,##0</c:formatCode>
                <c:ptCount val="18"/>
                <c:pt idx="0">
                  <c:v>2048.419</c:v>
                </c:pt>
                <c:pt idx="1">
                  <c:v>2597.655</c:v>
                </c:pt>
                <c:pt idx="2">
                  <c:v>2762.472</c:v>
                </c:pt>
                <c:pt idx="3">
                  <c:v>2942.685</c:v>
                </c:pt>
                <c:pt idx="4">
                  <c:v>3165.47</c:v>
                </c:pt>
                <c:pt idx="5">
                  <c:v>3825.285</c:v>
                </c:pt>
                <c:pt idx="6">
                  <c:v>4211.543</c:v>
                </c:pt>
                <c:pt idx="7">
                  <c:v>4486.534</c:v>
                </c:pt>
                <c:pt idx="8">
                  <c:v>4935</c:v>
                </c:pt>
                <c:pt idx="9">
                  <c:v>5305</c:v>
                </c:pt>
                <c:pt idx="10">
                  <c:v>5677</c:v>
                </c:pt>
                <c:pt idx="11">
                  <c:v>5989</c:v>
                </c:pt>
                <c:pt idx="12">
                  <c:v>6258</c:v>
                </c:pt>
                <c:pt idx="13">
                  <c:v>6509</c:v>
                </c:pt>
                <c:pt idx="14">
                  <c:v>6737</c:v>
                </c:pt>
                <c:pt idx="15">
                  <c:v>6939</c:v>
                </c:pt>
                <c:pt idx="16">
                  <c:v>7112</c:v>
                </c:pt>
                <c:pt idx="17">
                  <c:v>7290</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Hoja1!$C$2:$C$19</c:f>
              <c:numCache>
                <c:formatCode>#,##0</c:formatCode>
                <c:ptCount val="18"/>
                <c:pt idx="0">
                  <c:v>201.478</c:v>
                </c:pt>
                <c:pt idx="1">
                  <c:v>205.826</c:v>
                </c:pt>
                <c:pt idx="2">
                  <c:v>201.49</c:v>
                </c:pt>
                <c:pt idx="3">
                  <c:v>254.804</c:v>
                </c:pt>
                <c:pt idx="4">
                  <c:v>232.181</c:v>
                </c:pt>
                <c:pt idx="5">
                  <c:v>285.675</c:v>
                </c:pt>
                <c:pt idx="6">
                  <c:v>324.987</c:v>
                </c:pt>
                <c:pt idx="7">
                  <c:v>349.524</c:v>
                </c:pt>
                <c:pt idx="8">
                  <c:v>415</c:v>
                </c:pt>
                <c:pt idx="9">
                  <c:v>451</c:v>
                </c:pt>
                <c:pt idx="10">
                  <c:v>488</c:v>
                </c:pt>
                <c:pt idx="11">
                  <c:v>515</c:v>
                </c:pt>
                <c:pt idx="12">
                  <c:v>538</c:v>
                </c:pt>
                <c:pt idx="13">
                  <c:v>560</c:v>
                </c:pt>
                <c:pt idx="14">
                  <c:v>579</c:v>
                </c:pt>
                <c:pt idx="15">
                  <c:v>597</c:v>
                </c:pt>
                <c:pt idx="16">
                  <c:v>612</c:v>
                </c:pt>
                <c:pt idx="17">
                  <c:v>627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50.4</c:v>
                </c:pt>
                <c:pt idx="1">
                  <c:v>47.2</c:v>
                </c:pt>
                <c:pt idx="2">
                  <c:v>45</c:v>
                </c:pt>
                <c:pt idx="3">
                  <c:v>46</c:v>
                </c:pt>
                <c:pt idx="4">
                  <c:v>45.3</c:v>
                </c:pt>
                <c:pt idx="5">
                  <c:v>43.1</c:v>
                </c:pt>
                <c:pt idx="6">
                  <c:v>45.2</c:v>
                </c:pt>
                <c:pt idx="7">
                  <c:v>46.7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9.8</c:v>
                </c:pt>
                <c:pt idx="1">
                  <c:v>7.9</c:v>
                </c:pt>
                <c:pt idx="2">
                  <c:v>7.3</c:v>
                </c:pt>
                <c:pt idx="3">
                  <c:v>8.7</c:v>
                </c:pt>
                <c:pt idx="4">
                  <c:v>7.3</c:v>
                </c:pt>
                <c:pt idx="5">
                  <c:v>7.5</c:v>
                </c:pt>
                <c:pt idx="6">
                  <c:v>7.7</c:v>
                </c:pt>
                <c:pt idx="7">
                  <c:v>7.8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7</c:v>
                </c:pt>
                <c:pt idx="1">
                  <c:v>4.8</c:v>
                </c:pt>
                <c:pt idx="2">
                  <c:v>4.4</c:v>
                </c:pt>
                <c:pt idx="3">
                  <c:v>5.6</c:v>
                </c:pt>
                <c:pt idx="4">
                  <c:v>4.4</c:v>
                </c:pt>
                <c:pt idx="5">
                  <c:v>4.7</c:v>
                </c:pt>
                <c:pt idx="6">
                  <c:v>5.1</c:v>
                </c:pt>
                <c:pt idx="7">
                  <c:v>5.5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2.1</c:v>
                </c:pt>
                <c:pt idx="1">
                  <c:v>1</c:v>
                </c:pt>
                <c:pt idx="2">
                  <c:v>0.3</c:v>
                </c:pt>
                <c:pt idx="3">
                  <c:v>2.9</c:v>
                </c:pt>
                <c:pt idx="4">
                  <c:v>1.6</c:v>
                </c:pt>
                <c:pt idx="5">
                  <c:v>2.3</c:v>
                </c:pt>
                <c:pt idx="6">
                  <c:v>2.5</c:v>
                </c:pt>
                <c:pt idx="7">
                  <c:v>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10.9</c:v>
                </c:pt>
                <c:pt idx="1">
                  <c:v>9.4</c:v>
                </c:pt>
                <c:pt idx="2">
                  <c:v>4.5</c:v>
                </c:pt>
                <c:pt idx="3">
                  <c:v>8.5</c:v>
                </c:pt>
                <c:pt idx="4">
                  <c:v>16.3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234</c:v>
                </c:pt>
                <c:pt idx="1">
                  <c:v>193</c:v>
                </c:pt>
                <c:pt idx="2">
                  <c:v>179</c:v>
                </c:pt>
                <c:pt idx="3">
                  <c:v>187</c:v>
                </c:pt>
                <c:pt idx="4">
                  <c:v>220</c:v>
                </c:pt>
                <c:pt idx="5">
                  <c:v>211</c:v>
                </c:pt>
                <c:pt idx="6">
                  <c:v>196</c:v>
                </c:pt>
                <c:pt idx="7">
                  <c:v>202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74</c:v>
                </c:pt>
                <c:pt idx="1">
                  <c:v>74</c:v>
                </c:pt>
                <c:pt idx="2">
                  <c:v>69</c:v>
                </c:pt>
                <c:pt idx="3">
                  <c:v>66</c:v>
                </c:pt>
                <c:pt idx="4">
                  <c:v>73</c:v>
                </c:pt>
                <c:pt idx="5">
                  <c:v>49</c:v>
                </c:pt>
                <c:pt idx="6">
                  <c:v>60</c:v>
                </c:pt>
                <c:pt idx="7">
                  <c:v>62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312</c:v>
                </c:pt>
                <c:pt idx="1">
                  <c:v>263</c:v>
                </c:pt>
                <c:pt idx="2">
                  <c:v>240</c:v>
                </c:pt>
                <c:pt idx="3">
                  <c:v>233</c:v>
                </c:pt>
                <c:pt idx="4">
                  <c:v>293</c:v>
                </c:pt>
                <c:pt idx="5">
                  <c:v>246</c:v>
                </c:pt>
                <c:pt idx="6">
                  <c:v>241</c:v>
                </c:pt>
                <c:pt idx="7">
                  <c:v>245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234.19900000000007</c:v>
                </c:pt>
                <c:pt idx="1">
                  <c:v>-23.72500000000001</c:v>
                </c:pt>
                <c:pt idx="2">
                  <c:v>50.411000000000016</c:v>
                </c:pt>
                <c:pt idx="3">
                  <c:v>47.11600000000001</c:v>
                </c:pt>
                <c:pt idx="4">
                  <c:v>-39.51100000000001</c:v>
                </c:pt>
                <c:pt idx="5">
                  <c:v>-52.461999999999996</c:v>
                </c:pt>
                <c:pt idx="6">
                  <c:v>16.914</c:v>
                </c:pt>
                <c:pt idx="7">
                  <c:v>4.604000000000013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43.462</c:v>
                </c:pt>
                <c:pt idx="1">
                  <c:v>24.745</c:v>
                </c:pt>
                <c:pt idx="2">
                  <c:v>9.012</c:v>
                </c:pt>
                <c:pt idx="3">
                  <c:v>85.92</c:v>
                </c:pt>
                <c:pt idx="4">
                  <c:v>52.188</c:v>
                </c:pt>
                <c:pt idx="5">
                  <c:v>89.158</c:v>
                </c:pt>
                <c:pt idx="6">
                  <c:v>103.255</c:v>
                </c:pt>
                <c:pt idx="7">
                  <c:v>146.259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7.3</c:v>
                </c:pt>
                <c:pt idx="1">
                  <c:v>6</c:v>
                </c:pt>
                <c:pt idx="2">
                  <c:v>5.9</c:v>
                </c:pt>
                <c:pt idx="3">
                  <c:v>9.7</c:v>
                </c:pt>
                <c:pt idx="4">
                  <c:v>6.7</c:v>
                </c:pt>
                <c:pt idx="5">
                  <c:v>9</c:v>
                </c:pt>
                <c:pt idx="6">
                  <c:v>11.2</c:v>
                </c:pt>
                <c:pt idx="7">
                  <c:v>13.6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8.1</c:v>
                </c:pt>
                <c:pt idx="1">
                  <c:v>8.1</c:v>
                </c:pt>
                <c:pt idx="2">
                  <c:v>8.1</c:v>
                </c:pt>
                <c:pt idx="3">
                  <c:v>8.1</c:v>
                </c:pt>
                <c:pt idx="4">
                  <c:v>8.1</c:v>
                </c:pt>
                <c:pt idx="5">
                  <c:v>8.1</c:v>
                </c:pt>
                <c:pt idx="6">
                  <c:v>8.1</c:v>
                </c:pt>
                <c:pt idx="7">
                  <c:v>8.1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5.8</c:v>
                </c:pt>
                <c:pt idx="1">
                  <c:v>3.3</c:v>
                </c:pt>
                <c:pt idx="2">
                  <c:v>1.3</c:v>
                </c:pt>
                <c:pt idx="3">
                  <c:v>12.6</c:v>
                </c:pt>
                <c:pt idx="4">
                  <c:v>6.9</c:v>
                </c:pt>
                <c:pt idx="5">
                  <c:v>10.9</c:v>
                </c:pt>
                <c:pt idx="6">
                  <c:v>11.9</c:v>
                </c:pt>
                <c:pt idx="7">
                  <c:v>15.7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2.09</c:v>
                </c:pt>
                <c:pt idx="1">
                  <c:v>2.9</c:v>
                </c:pt>
                <c:pt idx="2">
                  <c:v>2.37</c:v>
                </c:pt>
                <c:pt idx="3">
                  <c:v>1.85</c:v>
                </c:pt>
                <c:pt idx="4">
                  <c:v>2.11</c:v>
                </c:pt>
                <c:pt idx="5">
                  <c:v>1.63</c:v>
                </c:pt>
                <c:pt idx="6">
                  <c:v>1.07</c:v>
                </c:pt>
                <c:pt idx="7">
                  <c:v>0.87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178.174</c:v>
                </c:pt>
                <c:pt idx="1">
                  <c:v>295.595</c:v>
                </c:pt>
                <c:pt idx="2">
                  <c:v>41.782</c:v>
                </c:pt>
                <c:pt idx="3">
                  <c:v>68.65</c:v>
                </c:pt>
                <c:pt idx="4">
                  <c:v>71.685</c:v>
                </c:pt>
                <c:pt idx="5">
                  <c:v>136.667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171.664</c:v>
                </c:pt>
                <c:pt idx="1">
                  <c:v>51.035</c:v>
                </c:pt>
                <c:pt idx="2">
                  <c:v>0</c:v>
                </c:pt>
                <c:pt idx="3">
                  <c:v>9.527</c:v>
                </c:pt>
                <c:pt idx="4">
                  <c:v>0</c:v>
                </c:pt>
                <c:pt idx="5">
                  <c:v>0</c:v>
                </c:pt>
                <c:pt idx="6">
                  <c:v>0.441</c:v>
                </c:pt>
                <c:pt idx="7">
                  <c:v>0.635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24.18</c:v>
                </c:pt>
                <c:pt idx="1">
                  <c:v>27.552</c:v>
                </c:pt>
                <c:pt idx="2">
                  <c:v>0.821</c:v>
                </c:pt>
                <c:pt idx="3">
                  <c:v>29.086</c:v>
                </c:pt>
                <c:pt idx="4">
                  <c:v>36.23</c:v>
                </c:pt>
                <c:pt idx="5">
                  <c:v>32.586</c:v>
                </c:pt>
                <c:pt idx="6">
                  <c:v>41.509</c:v>
                </c:pt>
                <c:pt idx="7">
                  <c:v>50.09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0</c:v>
                </c:pt>
                <c:pt idx="1">
                  <c:v>0</c:v>
                </c:pt>
                <c:pt idx="2">
                  <c:v>0</c:v>
                </c:pt>
                <c:pt idx="3">
                  <c:v>0</c:v>
                </c:pt>
                <c:pt idx="4">
                  <c:v>1.384</c:v>
                </c:pt>
                <c:pt idx="5">
                  <c:v>0</c:v>
                </c:pt>
                <c:pt idx="6">
                  <c:v>0</c:v>
                </c:pt>
                <c:pt idx="7">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Otro externo</c:v>
                </c:pt>
                <c:pt idx="1">
                  <c:v>Ejecutivo</c:v>
                </c:pt>
                <c:pt idx="2">
                  <c:v>Dominical</c:v>
                </c:pt>
                <c:pt idx="3">
                  <c:v>Independiente</c:v>
                </c:pt>
              </c:strCache>
            </c:strRef>
          </c:cat>
          <c:val>
            <c:numRef>
              <c:f>Hoja1!$B$2:$B$5</c:f>
              <c:numCache>
                <c:formatCode>0</c:formatCode>
                <c:ptCount val="4"/>
                <c:pt idx="0">
                  <c:v>3</c:v>
                </c:pt>
                <c:pt idx="1">
                  <c:v>2</c:v>
                </c:pt>
                <c:pt idx="2">
                  <c:v>2</c:v>
                </c:pt>
                <c:pt idx="3">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Cartera Social, S.A. (sociedad de los empleados de CAF)</c:v>
                </c:pt>
                <c:pt idx="1">
                  <c:v>Bilbao Bizkaia Kutxa Fundación Bancaria (Kutxabank)</c:v>
                </c:pt>
                <c:pt idx="2">
                  <c:v>Fundació Privada Daniel Bravo Andreu (vía Danimar 1990, S.L.)</c:v>
                </c:pt>
                <c:pt idx="3">
                  <c:v>Indumenta Pueri, S.L. (vía Global Portfolio Investments, S.L.)</c:v>
                </c:pt>
                <c:pt idx="4">
                  <c:v>Instituto Vasco de Finanzas (vía Finkatze Kapitala Finkatuz, S.A.U.)</c:v>
                </c:pt>
                <c:pt idx="5">
                  <c:v>Independance AM</c:v>
                </c:pt>
                <c:pt idx="6">
                  <c:v>Autocartera (contrato de liquidez con Kutxabank Investment)</c:v>
                </c:pt>
                <c:pt idx="7">
                  <c:v>Consejeros (en conjunto)</c:v>
                </c:pt>
              </c:strCache>
            </c:strRef>
          </c:cat>
          <c:val>
            <c:numRef>
              <c:f>Hoja1!$B$2:$B$9</c:f>
              <c:numCache>
                <c:formatCode>0.0"%"</c:formatCode>
                <c:ptCount val="8"/>
                <c:pt idx="0">
                  <c:v>23.12</c:v>
                </c:pt>
                <c:pt idx="1">
                  <c:v>13.23</c:v>
                </c:pt>
                <c:pt idx="2">
                  <c:v>5.23</c:v>
                </c:pt>
                <c:pt idx="3">
                  <c:v>5.02</c:v>
                </c:pt>
                <c:pt idx="4">
                  <c:v>3</c:v>
                </c:pt>
                <c:pt idx="5">
                  <c:v>3.27</c:v>
                </c:pt>
                <c:pt idx="6">
                  <c:v>0.09</c:v>
                </c:pt>
                <c:pt idx="7">
                  <c:v>0.096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49.9</c:v>
                </c:pt>
                <c:pt idx="1">
                  <c:v>-10.8</c:v>
                </c:pt>
                <c:pt idx="2">
                  <c:v>5.9</c:v>
                </c:pt>
                <c:pt idx="3">
                  <c:v>13.3</c:v>
                </c:pt>
                <c:pt idx="4">
                  <c:v>-4.3</c:v>
                </c:pt>
                <c:pt idx="5">
                  <c:v>-6.8</c:v>
                </c:pt>
                <c:pt idx="6">
                  <c:v>-27.6</c:v>
                </c:pt>
                <c:pt idx="7">
                  <c:v>23</c:v>
                </c:pt>
                <c:pt idx="8">
                  <c:v>7.2</c:v>
                </c:pt>
                <c:pt idx="9">
                  <c:v>68.5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8.3</c:v>
                </c:pt>
                <c:pt idx="1">
                  <c:v>9.8</c:v>
                </c:pt>
                <c:pt idx="2">
                  <c:v>9.1</c:v>
                </c:pt>
                <c:pt idx="3">
                  <c:v>6.8</c:v>
                </c:pt>
                <c:pt idx="4">
                  <c:v>6.1</c:v>
                </c:pt>
                <c:pt idx="5">
                  <c:v>5.6</c:v>
                </c:pt>
                <c:pt idx="6">
                  <c:v>4.8</c:v>
                </c:pt>
                <c:pt idx="7">
                  <c:v>6.7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6.8</c:v>
                </c:pt>
                <c:pt idx="1">
                  <c:v>6.8</c:v>
                </c:pt>
                <c:pt idx="2">
                  <c:v>6.8</c:v>
                </c:pt>
                <c:pt idx="3">
                  <c:v>6.8</c:v>
                </c:pt>
                <c:pt idx="4">
                  <c:v>6.8</c:v>
                </c:pt>
                <c:pt idx="5">
                  <c:v>6.8</c:v>
                </c:pt>
                <c:pt idx="6">
                  <c:v>6.8</c:v>
                </c:pt>
                <c:pt idx="7">
                  <c:v>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CAF</c:v>
                </c:pt>
                <c:pt idx="1">
                  <c:v>Alstom</c:v>
                </c:pt>
                <c:pt idx="2">
                  <c:v>Stadler Rail</c:v>
                </c:pt>
                <c:pt idx="3">
                  <c:v>Talgo</c:v>
                </c:pt>
                <c:pt idx="4">
                  <c:v>Knorr-Bremse</c:v>
                </c:pt>
                <c:pt idx="5">
                  <c:v>Wabtec</c:v>
                </c:pt>
                <c:pt idx="6">
                  <c:v>Daimler Truck</c:v>
                </c:pt>
                <c:pt idx="7">
                  <c:v>Volvo</c:v>
                </c:pt>
              </c:strCache>
            </c:strRef>
          </c:cat>
          <c:val>
            <c:numRef>
              <c:f>Hoja1!$B$2:$B$9</c:f>
              <c:numCache>
                <c:formatCode>0.0"x"</c:formatCode>
                <c:ptCount val="8"/>
                <c:pt idx="0">
                  <c:v>7</c:v>
                </c:pt>
                <c:pt idx="1">
                  <c:v>4.8</c:v>
                </c:pt>
                <c:pt idx="2">
                  <c:v>7.3</c:v>
                </c:pt>
                <c:pt idx="3">
                  <c:v>9</c:v>
                </c:pt>
                <c:pt idx="4">
                  <c:v>10.5</c:v>
                </c:pt>
                <c:pt idx="5">
                  <c:v>16.2</c:v>
                </c:pt>
                <c:pt idx="6">
                  <c:v>4.1</c:v>
                </c:pt>
                <c:pt idx="7">
                  <c:v>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CAF</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6.8</c:v>
                </c:pt>
              </c:numCache>
            </c:numRef>
          </c:xVal>
          <c:yVal>
            <c:numRef>
              <c:f>Hoja1!$C$2</c:f>
              <c:numCache>
                <c:formatCode>0.0"x"</c:formatCode>
                <c:ptCount val="1"/>
                <c:pt idx="0">
                  <c:v>7</c:v>
                </c:pt>
              </c:numCache>
            </c:numRef>
          </c:yVal>
          <c:smooth val="0"/>
        </c:ser>
        <c:ser>
          <c:idx val="1"/>
          <c:order val="1"/>
          <c:tx>
            <c:strRef>
              <c:f>Hoja1!$A$3</c:f>
              <c:strCache>
                <c:ptCount val="1"/>
                <c:pt idx="0">
                  <c:v>Alstom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5.6</c:v>
                </c:pt>
              </c:numCache>
            </c:numRef>
          </c:xVal>
          <c:yVal>
            <c:numRef>
              <c:f>Hoja1!$C$3</c:f>
              <c:numCache>
                <c:formatCode>0.0"x"</c:formatCode>
                <c:ptCount val="1"/>
                <c:pt idx="0">
                  <c:v>4.8</c:v>
                </c:pt>
              </c:numCache>
            </c:numRef>
          </c:yVal>
          <c:smooth val="0"/>
        </c:ser>
        <c:ser>
          <c:idx val="2"/>
          <c:order val="2"/>
          <c:tx>
            <c:strRef>
              <c:f>Hoja1!$A$4</c:f>
              <c:strCache>
                <c:ptCount val="1"/>
                <c:pt idx="0">
                  <c:v>Stadler Rail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24</c:v>
                </c:pt>
              </c:numCache>
            </c:numRef>
          </c:xVal>
          <c:yVal>
            <c:numRef>
              <c:f>Hoja1!$C$4</c:f>
              <c:numCache>
                <c:formatCode>0.0"x"</c:formatCode>
                <c:ptCount val="1"/>
                <c:pt idx="0">
                  <c:v>7.3</c:v>
                </c:pt>
              </c:numCache>
            </c:numRef>
          </c:yVal>
          <c:smooth val="0"/>
        </c:ser>
        <c:ser>
          <c:idx val="3"/>
          <c:order val="3"/>
          <c:tx>
            <c:strRef>
              <c:f>Hoja1!$A$5</c:f>
              <c:strCache>
                <c:ptCount val="1"/>
                <c:pt idx="0">
                  <c:v>Talgo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16.1</c:v>
                </c:pt>
              </c:numCache>
            </c:numRef>
          </c:xVal>
          <c:yVal>
            <c:numRef>
              <c:f>Hoja1!$C$5</c:f>
              <c:numCache>
                <c:formatCode>0.0"x"</c:formatCode>
                <c:ptCount val="1"/>
                <c:pt idx="0">
                  <c:v>9</c:v>
                </c:pt>
              </c:numCache>
            </c:numRef>
          </c:yVal>
          <c:smooth val="0"/>
        </c:ser>
        <c:ser>
          <c:idx val="4"/>
          <c:order val="4"/>
          <c:tx>
            <c:strRef>
              <c:f>Hoja1!$A$6</c:f>
              <c:strCache>
                <c:ptCount val="1"/>
                <c:pt idx="0">
                  <c:v>Knorr-Bremse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c:v>
                </c:pt>
              </c:numCache>
            </c:numRef>
          </c:xVal>
          <c:yVal>
            <c:numRef>
              <c:f>Hoja1!$C$6</c:f>
              <c:numCache>
                <c:formatCode>0.0"x"</c:formatCode>
                <c:ptCount val="1"/>
                <c:pt idx="0">
                  <c:v>10.5</c:v>
                </c:pt>
              </c:numCache>
            </c:numRef>
          </c:yVal>
          <c:smooth val="0"/>
        </c:ser>
        <c:ser>
          <c:idx val="5"/>
          <c:order val="5"/>
          <c:tx>
            <c:strRef>
              <c:f>Hoja1!$A$7</c:f>
              <c:strCache>
                <c:ptCount val="1"/>
                <c:pt idx="0">
                  <c:v>Wabtec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10.1</c:v>
                </c:pt>
              </c:numCache>
            </c:numRef>
          </c:xVal>
          <c:yVal>
            <c:numRef>
              <c:f>Hoja1!$C$7</c:f>
              <c:numCache>
                <c:formatCode>0.0"x"</c:formatCode>
                <c:ptCount val="1"/>
                <c:pt idx="0">
                  <c:v>16.2</c:v>
                </c:pt>
              </c:numCache>
            </c:numRef>
          </c:yVal>
          <c:smooth val="0"/>
        </c:ser>
        <c:ser>
          <c:idx val="6"/>
          <c:order val="6"/>
          <c:tx>
            <c:strRef>
              <c:f>Hoja1!$A$8</c:f>
              <c:strCache>
                <c:ptCount val="1"/>
                <c:pt idx="0">
                  <c:v>Daimler Truck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3.5</c:v>
                </c:pt>
              </c:numCache>
            </c:numRef>
          </c:xVal>
          <c:yVal>
            <c:numRef>
              <c:f>Hoja1!$C$8</c:f>
              <c:numCache>
                <c:formatCode>0.0"x"</c:formatCode>
                <c:ptCount val="1"/>
                <c:pt idx="0">
                  <c:v>4.1</c:v>
                </c:pt>
              </c:numCache>
            </c:numRef>
          </c:yVal>
          <c:smooth val="0"/>
        </c:ser>
        <c:ser>
          <c:idx val="7"/>
          <c:order val="7"/>
          <c:tx>
            <c:strRef>
              <c:f>Hoja1!$A$9</c:f>
              <c:strCache>
                <c:ptCount val="1"/>
                <c:pt idx="0">
                  <c:v>Volvo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6.7</c:v>
                </c:pt>
              </c:numCache>
            </c:numRef>
          </c:xVal>
          <c:yVal>
            <c:numRef>
              <c:f>Hoja1!$C$9</c:f>
              <c:numCache>
                <c:formatCode>0.0"x"</c:formatCode>
                <c:ptCount val="1"/>
                <c:pt idx="0">
                  <c:v>6.8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Bombardier Transportation</c:v>
                </c:pt>
                <c:pt idx="1">
                  <c:v>Thales Ground Transportation Systems (señalización ferroviaria)</c:v>
                </c:pt>
                <c:pt idx="2">
                  <c:v>Alstom Signaling North America (señalización convencional)</c:v>
                </c:pt>
                <c:pt idx="3">
                  <c:v>Evident Inspection Technologies (inspección industrial)</c:v>
                </c:pt>
                <c:pt idx="4">
                  <c:v>Dellner Couplers (enganches y conexiones de trenes de pasajeros)</c:v>
                </c:pt>
                <c:pt idx="5">
                  <c:v>Iveco Defence (vehículos militares)</c:v>
                </c:pt>
                <c:pt idx="6">
                  <c:v>Iveco Group (camiones y autobuses, sin defensa)</c:v>
                </c:pt>
                <c:pt idx="7">
                  <c:v>Talgo (29,76 % del capital)</c:v>
                </c:pt>
                <c:pt idx="8">
                  <c:v>Solaris Bus &amp; Coach (autobuses)</c:v>
                </c:pt>
              </c:strCache>
            </c:strRef>
          </c:cat>
          <c:val>
            <c:numRef>
              <c:f>Hoja1!$B$2:$B$10</c:f>
              <c:numCache>
                <c:formatCode>0.0"x"</c:formatCode>
                <c:ptCount val="9"/>
                <c:pt idx="4">
                  <c:v>12.5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89</c:v>
                </c:pt>
                <c:pt idx="1">
                  <c:v>106</c:v>
                </c:pt>
                <c:pt idx="2">
                  <c:v>129</c:v>
                </c:pt>
                <c:pt idx="3">
                  <c:v>171</c:v>
                </c:pt>
                <c:pt idx="4">
                  <c:v>215</c:v>
                </c:pt>
                <c:pt idx="5">
                  <c:v>227</c:v>
                </c:pt>
                <c:pt idx="6">
                  <c:v>239</c:v>
                </c:pt>
                <c:pt idx="7">
                  <c:v>250</c:v>
                </c:pt>
                <c:pt idx="8">
                  <c:v>260</c:v>
                </c:pt>
                <c:pt idx="9">
                  <c:v>267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1267</c:v>
                </c:pt>
                <c:pt idx="1">
                  <c:v>2169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78,30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42.34</c:v>
                </c:pt>
                <c:pt idx="1">
                  <c:v>85.68</c:v>
                </c:pt>
                <c:pt idx="2">
                  <c:v>121.73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78,30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(49,90 – 79,70)</c:v>
                </c:pt>
                <c:pt idx="1">
                  <c:v>Precio objetivo de los analistas (55,40 – 80,00)</c:v>
                </c:pt>
                <c:pt idx="2">
                  <c:v>Comparables: EV/EBITDA NTM (62,15 – 114,46)</c:v>
                </c:pt>
                <c:pt idx="3">
                  <c:v>Comparables: PER NTM (78,84 – 118,26)</c:v>
                </c:pt>
                <c:pt idx="4">
                  <c:v>Transacciones precedentes (EV/ventas) (157,03 – 354,87)</c:v>
                </c:pt>
                <c:pt idx="5">
                  <c:v>DCF (WACC y g ± 0,5) (73,43 – 102,63)</c:v>
                </c:pt>
                <c:pt idx="6">
                  <c:v>Escenarios (bajista – alcista) (42,34 – 121,73)</c:v>
                </c:pt>
                <c:pt idx="7">
                  <c:v>Suma de partes (55,17 – 79,17)</c:v>
                </c:pt>
                <c:pt idx="8">
                  <c:v>Precio actual (78,30)</c:v>
                </c:pt>
              </c:strCache>
            </c:strRef>
          </c:cat>
          <c:val>
            <c:numRef>
              <c:f>Hoja1!$B$2:$B$10</c:f>
              <c:numCache>
                <c:formatCode>#,##0</c:formatCode>
                <c:ptCount val="9"/>
                <c:pt idx="0">
                  <c:v>49.9</c:v>
                </c:pt>
                <c:pt idx="1">
                  <c:v>55.4</c:v>
                </c:pt>
                <c:pt idx="2">
                  <c:v>62.15</c:v>
                </c:pt>
                <c:pt idx="3">
                  <c:v>78.84</c:v>
                </c:pt>
                <c:pt idx="4">
                  <c:v>157.03</c:v>
                </c:pt>
                <c:pt idx="5">
                  <c:v>73.43</c:v>
                </c:pt>
                <c:pt idx="6">
                  <c:v>42.34</c:v>
                </c:pt>
                <c:pt idx="7">
                  <c:v>55.17</c:v>
                </c:pt>
                <c:pt idx="8">
                  <c:v>77.91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(49,90 – 79,70)</c:v>
                </c:pt>
                <c:pt idx="1">
                  <c:v>Precio objetivo de los analistas (55,40 – 80,00)</c:v>
                </c:pt>
                <c:pt idx="2">
                  <c:v>Comparables: EV/EBITDA NTM (62,15 – 114,46)</c:v>
                </c:pt>
                <c:pt idx="3">
                  <c:v>Comparables: PER NTM (78,84 – 118,26)</c:v>
                </c:pt>
                <c:pt idx="4">
                  <c:v>Transacciones precedentes (EV/ventas) (157,03 – 354,87)</c:v>
                </c:pt>
                <c:pt idx="5">
                  <c:v>DCF (WACC y g ± 0,5) (73,43 – 102,63)</c:v>
                </c:pt>
                <c:pt idx="6">
                  <c:v>Escenarios (bajista – alcista) (42,34 – 121,73)</c:v>
                </c:pt>
                <c:pt idx="7">
                  <c:v>Suma de partes (55,17 – 79,17)</c:v>
                </c:pt>
                <c:pt idx="8">
                  <c:v>Precio actual (78,30)</c:v>
                </c:pt>
              </c:strCache>
            </c:strRef>
          </c:cat>
          <c:val>
            <c:numRef>
              <c:f>Hoja1!$C$2:$C$10</c:f>
              <c:numCache>
                <c:formatCode>#,##0</c:formatCode>
                <c:ptCount val="9"/>
                <c:pt idx="0">
                  <c:v>29.800000000000004</c:v>
                </c:pt>
                <c:pt idx="1">
                  <c:v>24.6</c:v>
                </c:pt>
                <c:pt idx="2">
                  <c:v>52.309999999999995</c:v>
                </c:pt>
                <c:pt idx="3">
                  <c:v>39.42</c:v>
                </c:pt>
                <c:pt idx="4">
                  <c:v>197.84</c:v>
                </c:pt>
                <c:pt idx="5">
                  <c:v>29.19999999999999</c:v>
                </c:pt>
                <c:pt idx="6">
                  <c:v>79.39</c:v>
                </c:pt>
                <c:pt idx="7">
                  <c:v>24</c:v>
                </c:pt>
                <c:pt idx="8">
                  <c:v>0.7800000000000011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2026-10-06T21:43:45.395Z</dcterms:created>
  <dcterms:modified xsi:type="dcterms:W3CDTF">2026-10-06T21:43:45.397Z</dcterms:modified>
</cp:coreProperties>
</file>

<file path=docProps/custom.xml><?xml version="1.0" encoding="utf-8"?>
<Properties xmlns="http://schemas.openxmlformats.org/officeDocument/2006/custom-properties" xmlns:vt="http://schemas.openxmlformats.org/officeDocument/2006/docPropsVTypes"/>
</file>