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</w:pPr>
      <w:r>
        <w:rPr>
          <w:rFonts w:ascii="Calibri" w:cs="Calibri" w:eastAsia="Calibri" w:hAnsi="Calibri"/>
          <w:b/>
          <w:bCs/>
          <w:color w:val="2A78D6"/>
          <w:spacing w:val="40"/>
          <w:sz w:val="18"/>
          <w:szCs w:val="18"/>
        </w:rPr>
        <w:t xml:space="preserve">ANÁLISIS DE ETF</w:t>
      </w:r>
    </w:p>
    <w:p>
      <w:pPr>
        <w:pStyle w:val="Title"/>
      </w:pPr>
      <w:r>
        <w:t xml:space="preserve">{{identificacion.nombre}}</w:t>
      </w:r>
    </w:p>
    <w:p>
      <w:pPr>
        <w:spacing w:after="60"/>
        <w:rPr>
          <w:color w:val="52514E"/>
          <w:sz w:val="22"/>
          <w:szCs w:val="22"/>
        </w:rPr>
      </w:pPr>
      <w:r>
        <w:rPr>
          <w:color w:val="52514E"/>
          <w:sz w:val="22"/>
          <w:szCs w:val="22"/>
        </w:rPr>
        <w:t xml:space="preserve">ISIN {{identificacion.isin}} · {{identificacion.ticker}} · {{identificacion.gestora}} · {{identificacion.clase_activo}}</w:t>
      </w:r>
    </w:p>
    <w:p>
      <w:pPr>
        <w:spacing w:after="360"/>
        <w:rPr>
          <w:color w:val="52514E"/>
          <w:sz w:val="18"/>
          <w:szCs w:val="18"/>
        </w:rPr>
      </w:pPr>
      <w:r>
        <w:rPr>
          <w:color w:val="52514E"/>
          <w:sz w:val="18"/>
          <w:szCs w:val="18"/>
        </w:rPr>
        <w:t xml:space="preserve">Fecha de corte de los datos: </w:t>
      </w:r>
      <w:r>
        <w:rPr>
          <w:b/>
          <w:bCs/>
          <w:color w:val="52514E"/>
          <w:sz w:val="18"/>
          <w:szCs w:val="18"/>
        </w:rPr>
        <w:t xml:space="preserve">{{meta.fecha_corte|fecha}}</w:t>
      </w:r>
      <w:r>
        <w:rPr>
          <w:color w:val="52514E"/>
          <w:sz w:val="18"/>
          <w:szCs w:val="18"/>
        </w:rPr>
        <w:t xml:space="preserve"> · Divisa: </w:t>
      </w:r>
      <w:r>
        <w:rPr>
          <w:b/>
          <w:bCs/>
          <w:color w:val="52514E"/>
          <w:sz w:val="18"/>
          <w:szCs w:val="18"/>
        </w:rPr>
        <w:t xml:space="preserve">{{meta.divisa}}</w:t>
      </w:r>
      <w:r>
        <w:rPr>
          <w:color w:val="52514E"/>
          <w:sz w:val="18"/>
          <w:szCs w:val="18"/>
        </w:rPr>
        <w:t xml:space="preserve"> · Cifras en </w:t>
      </w:r>
      <w:r>
        <w:rPr>
          <w:b/>
          <w:bCs/>
          <w:color w:val="52514E"/>
          <w:sz w:val="18"/>
          <w:szCs w:val="18"/>
        </w:rPr>
        <w:t xml:space="preserve">{{meta.unidades}}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Conclusión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{{resumen.conclusion}}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Coste total (TER)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{{costes.ter_pct|pct2}}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Patrimonio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{{tamano.aum|0}} M {{meta.divisa}}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Diferencia de seguimiento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{{replicacion.td_media_pct|+pct2}}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Rentabilidad 5 años (anual.)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{{rentabilidad.anualizada_5a_pct|pct}}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Volatilidad 3 años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{{riesgo.volatilidad_3a_pct|pct}}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Posiciones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{{composicion.numero_posiciones|0}}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Peso de las 10 primeras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{{composicion.peso_top10_pct|pct}}</w:t>
            </w:r>
          </w:p>
        </w:tc>
      </w:tr>
    </w:tbl>
    <w:p>
      <w:pPr>
        <w:spacing w:after="20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{{?identificacion.nombre}}Nombre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{{identificacion.nombre}}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{{?identificacion.isin,identificacion.ticker}}ISIN / ticker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{{identificacion.isin}} / {{identificacion.ticker}}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{{?identificacion.gestora}}Gestora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{{identificacion.gestora}}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{{?identificacion.domicilio}}Domicilio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{{identificacion.domicilio}}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{{?identificacion.fecha_lanzamiento}}Fecha de lanzamiento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{{identificacion.fecha_lanzamiento|fecha}}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{{?identificacion.ucits}}UCITS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{{identificacion.ucits}}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{{?identificacion.divisa_fondo}}Divisa del fondo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{{identificacion.divisa_fondo}}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{{?identificacion.cobertura_divisa}}Cobertura de divisa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{{identificacion.cobertura_divisa}}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{{?identificacion.distribucion}}Política de rentas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{{identificacion.distribucion}}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{{?identificacion.replicacion}}Método de réplica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{{identificacion.replicacion}}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{{?identificacion.clase_activo}}Clase de activo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{{identificacion.clase_activo}}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{{?identificacion.categoria}}Categoría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{{identificacion.categoria}}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{{?identificacion.bolsas}}Bolsas y divisas de cotización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{{identificacion.bolsas}}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{{?riesgo.sri}}Indicador de riesgo (SRI)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{{riesgo.sri}} / 7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Resumen ejecutivo</w:t>
      </w:r>
    </w:p>
    <w:p>
      <w:pPr>
        <w:pStyle w:val="Confianza"/>
        <w:spacing w:after="100"/>
      </w:pPr>
      <w:r>
        <w:t xml:space="preserve">Confianza: {{resumen.confianza}}</w:t>
      </w:r>
    </w:p>
    <w:p>
      <w:pPr>
        <w:spacing w:after="100"/>
      </w:pPr>
      <w:r>
        <w:rPr>
          <w:b/>
          <w:bCs/>
        </w:rPr>
        <w:t xml:space="preserve">Conclusión:</w:t>
      </w:r>
      <w:r>
        <w:t xml:space="preserve"> {{resumen.conclusion}} · </w:t>
      </w:r>
      <w:r>
        <w:rPr>
          <w:b/>
          <w:bCs/>
        </w:rPr>
        <w:t xml:space="preserve">Para quién:</w:t>
      </w:r>
      <w:r>
        <w:t xml:space="preserve"> {{resumen.para_quien}}</w:t>
      </w:r>
    </w:p>
    <w:p>
      <w:pPr>
        <w:spacing w:after="100"/>
      </w:pPr>
      <w:r>
        <w:t xml:space="preserve">{{texto:resumen.tesis}}</w:t>
      </w:r>
    </w:p>
    <w:p>
      <w:pPr>
        <w:pStyle w:val="Heading2"/>
      </w:pPr>
      <w:r>
        <w:t xml:space="preserve">Puntos fuertes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{{lista:resumen.puntos_fuertes}}</w:t>
      </w:r>
    </w:p>
    <w:p>
      <w:pPr>
        <w:pStyle w:val="Heading2"/>
      </w:pPr>
      <w:r>
        <w:t xml:space="preserve">Puntos débiles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{{lista:resumen.puntos_debiles}}</w:t>
      </w:r>
    </w:p>
    <w:p>
      <w:pPr>
        <w:pStyle w:val="Heading1"/>
      </w:pPr>
      <w:r>
        <w:t xml:space="preserve">1. Objetivo e índice de referencia</w:t>
      </w:r>
    </w:p>
    <w:p>
      <w:pPr>
        <w:pStyle w:val="Confianza"/>
        <w:spacing w:after="100"/>
      </w:pPr>
      <w:r>
        <w:t xml:space="preserve">Confianza: {{indice.confianza}}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{{?indice.nombre}}Índice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{{indice.nombre}}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{{?indice.proveedor}}Proveedor del índice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{{indice.proveedor}}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{{?indice.ponderacion}}Método de ponderación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{{indice.ponderacion}}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{{?indice.rebalanceo}}Rebalanceo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{{indice.rebalanceo}}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{{?indice.componentes}}Componentes del índice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{{indice.componentes|0}}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{{?indice.tipo_rentabilidad}}Tipo de rentabilidad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{{indice.tipo_rentabilidad}}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{{texto:indice.metodologia}}</w:t>
      </w:r>
    </w:p>
    <w:p>
      <w:pPr>
        <w:pStyle w:val="Heading2"/>
      </w:pPr>
      <w:r>
        <w:t xml:space="preserve">Qué deja fuera el índice</w:t>
      </w:r>
    </w:p>
    <w:p>
      <w:pPr>
        <w:spacing w:after="100"/>
      </w:pPr>
      <w:r>
        <w:t xml:space="preserve">{{texto:indice.exclusiones}}</w:t>
      </w:r>
    </w:p>
    <w:p>
      <w:pPr>
        <w:pStyle w:val="Heading1"/>
      </w:pPr>
      <w:r>
        <w:t xml:space="preserve">2. Costes</w:t>
      </w:r>
    </w:p>
    <w:p>
      <w:pPr>
        <w:pStyle w:val="Confianza"/>
        <w:spacing w:after="100"/>
      </w:pPr>
      <w:r>
        <w:t xml:space="preserve">Confianza: {{costes.confianza}}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43"/>
        <w:gridCol w:w="1521"/>
        <w:gridCol w:w="5074"/>
      </w:tblGrid>
      <w:tr>
        <w:trPr>
          <w:cantSplit/>
          <w:tblHeader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Partida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{{costes.partidas[].concepto}}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{{costes.partidas[].valor}}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{{costes.partidas[].comentario}}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{{texto:costes.comentario}}</w:t>
      </w:r>
    </w:p>
    <w:p>
      <w:pPr>
        <w:pStyle w:val="Heading1"/>
      </w:pPr>
      <w:r>
        <w:t xml:space="preserve">3. Tamaño y liquidez</w:t>
      </w:r>
    </w:p>
    <w:p>
      <w:pPr>
        <w:pStyle w:val="Confianza"/>
        <w:spacing w:after="100"/>
      </w:pPr>
      <w:r>
        <w:t xml:space="preserve">Confianza: {{tamano.confianza}}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{{?tamano.aum,tamano.aum_fecha}}Patrimonio (fecha)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{{tamano.aum|0}} M {{meta.divisa}} ({{tamano.aum_fecha|fecha}})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{{?tamano.aum_clase}}Patrimonio de la clase / del fondo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{{tamano.aum_clase}}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{{?tamano.flujos_12m}}Flujos netos 12 meses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{{tamano.flujos_12m|0}} M {{meta.divisa}}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{{?tamano.volumen_diario}}Volumen medio diario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{{tamano.volumen_diario}}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{{?tamano.spread_pct}}Horquilla media (spread)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{{tamano.spread_pct|pct2}}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{{?tamano.creadores_mercado}}Creadores de mercado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{{tamano.creadores_mercado}}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{{grafico:aum}}</w:t>
      </w:r>
    </w:p>
    <w:p>
      <w:pPr>
        <w:spacing w:after="100"/>
      </w:pPr>
      <w:r>
        <w:t xml:space="preserve">{{texto:tamano.comentario}}</w:t>
      </w:r>
    </w:p>
    <w:p>
      <w:pPr>
        <w:pStyle w:val="Heading1"/>
      </w:pPr>
      <w:r>
        <w:t xml:space="preserve">4. Réplica y calidad del seguimiento</w:t>
      </w:r>
    </w:p>
    <w:p>
      <w:pPr>
        <w:pStyle w:val="Confianza"/>
        <w:spacing w:after="100"/>
      </w:pPr>
      <w:r>
        <w:t xml:space="preserve">Confianza: {{replicacion.confianza}}</w:t>
      </w:r>
    </w:p>
    <w:p>
      <w:pPr>
        <w:spacing w:after="100"/>
      </w:pPr>
      <w:r>
        <w:t xml:space="preserve">{{texto:replicacion.metodo}}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  <w:tblHeader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Año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Índice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Diferencia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{{replicacion.historico[].anio}}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{{replicacion.historico[].etf_pct|+pct2}}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{{replicacion.historico[].indice_pct|+pct2}}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{{replicacion.historico[].diferencia_pct|+pct2}}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{{grafico:tracking}}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{{?replicacion.td_media_pct}}Diferencia media anual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{{replicacion.td_media_pct|+pct2}}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{{?replicacion.tracking_error_pct}}Error de seguimiento (1 año)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{{replicacion.tracking_error_pct|pct2}}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Préstamo de valores y contrapartes</w:t>
      </w:r>
    </w:p>
    <w:p>
      <w:pPr>
        <w:spacing w:after="100"/>
      </w:pPr>
      <w:r>
        <w:t xml:space="preserve">{{texto:replicacion.prestamo}}</w:t>
      </w:r>
    </w:p>
    <w:p>
      <w:pPr>
        <w:pStyle w:val="Heading1"/>
      </w:pPr>
      <w:r>
        <w:t xml:space="preserve">5. Composición de la cartera</w:t>
      </w:r>
    </w:p>
    <w:p>
      <w:pPr>
        <w:pStyle w:val="Confianza"/>
        <w:spacing w:after="100"/>
      </w:pPr>
      <w:r>
        <w:t xml:space="preserve">Confianza: {{composicion.confianza}}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{{?composicion.numero_posiciones}}Número de posiciones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{{composicion.numero_posiciones|0}}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{{?composicion.peso_top10_pct}}Peso de las 10 primeras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{{composicion.peso_top10_pct|pct}}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{{?composicion.fecha}}Fecha de la cartera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{{composicion.fecha|fecha}}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{{?composicion.top10[0].nombre,composicion.top10[0].peso_pct}}Mayor posición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{{composicion.top10[0].nombre}} ({{composicion.top10[0].peso_pct|pct}})</w:t>
            </w:r>
          </w:p>
        </w:tc>
      </w:tr>
    </w:tbl>
    <w:p>
      <w:pPr>
        <w:spacing w:after="1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7"/>
        <w:gridCol w:w="3804"/>
        <w:gridCol w:w="1268"/>
        <w:gridCol w:w="2536"/>
        <w:gridCol w:w="1523"/>
      </w:tblGrid>
      <w:tr>
        <w:trPr>
          <w:cantSplit/>
          <w:tblHeader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Posición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Peso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Sector / tipo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{{#}}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{{composicion.top10[].nombre}}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{{composicion.top10[].peso_pct|pct2}}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{{composicion.top10[].sector}}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{{composicion.top10[].pais}}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{{grafico:top10}}</w:t>
      </w:r>
    </w:p>
    <w:p>
      <w:pPr>
        <w:spacing w:after="100"/>
      </w:pPr>
      <w:r>
        <w:t xml:space="preserve">{{texto:composicion.concentracion}}</w:t>
      </w:r>
    </w:p>
    <w:p>
      <w:pPr>
        <w:pStyle w:val="Heading1"/>
      </w:pPr>
      <w:r>
        <w:t xml:space="preserve">6. Exposiciones</w:t>
      </w:r>
    </w:p>
    <w:p>
      <w:pPr>
        <w:pStyle w:val="Confianza"/>
        <w:spacing w:after="100"/>
      </w:pPr>
      <w:r>
        <w:t xml:space="preserve">Confianza: {{exposicion.confianza}}</w:t>
      </w:r>
    </w:p>
    <w:p>
      <w:pPr>
        <w:keepNext w:val="false"/>
        <w:spacing w:after="160" w:before="120"/>
        <w:jc w:val="center"/>
      </w:pPr>
      <w:r>
        <w:t xml:space="preserve">{{grafico:primaria}}</w:t>
      </w:r>
    </w:p>
    <w:p>
      <w:pPr>
        <w:keepNext w:val="false"/>
        <w:spacing w:after="160" w:before="120"/>
        <w:jc w:val="center"/>
      </w:pPr>
      <w:r>
        <w:t xml:space="preserve">{{grafico:geografica}}</w:t>
      </w:r>
    </w:p>
    <w:p>
      <w:pPr>
        <w:keepNext w:val="false"/>
        <w:spacing w:after="160" w:before="120"/>
        <w:jc w:val="center"/>
      </w:pPr>
      <w:r>
        <w:t xml:space="preserve">{{grafico:divisa}}</w:t>
      </w:r>
    </w:p>
    <w:p>
      <w:pPr>
        <w:keepNext w:val="false"/>
        <w:spacing w:after="160" w:before="120"/>
        <w:jc w:val="center"/>
      </w:pPr>
      <w:r>
        <w:t xml:space="preserve">{{grafico:secundaria}}</w:t>
      </w:r>
    </w:p>
    <w:p>
      <w:pPr>
        <w:spacing w:after="100"/>
      </w:pPr>
      <w:r>
        <w:t xml:space="preserve">{{texto:exposicion.comentario}}</w:t>
      </w:r>
    </w:p>
    <w:p>
      <w:pPr>
        <w:pStyle w:val="Heading1"/>
      </w:pPr>
      <w:r>
        <w:t xml:space="preserve">7. Características de la cartera</w:t>
      </w:r>
    </w:p>
    <w:p>
      <w:pPr>
        <w:pStyle w:val="Confianza"/>
        <w:spacing w:after="100"/>
      </w:pPr>
      <w:r>
        <w:t xml:space="preserve">Confianza: {{caracteristicas.confianza}}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5"/>
        <w:gridCol w:w="1235"/>
        <w:gridCol w:w="1235"/>
        <w:gridCol w:w="4203"/>
      </w:tblGrid>
      <w:tr>
        <w:trPr>
          <w:cantSplit/>
          <w:tblHeader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Métrica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Referencia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Referencia usada / lectura</w:t>
            </w:r>
          </w:p>
        </w:tc>
      </w:tr>
      <w:tr>
        <w:trPr>
          <w:cantSplit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{{caracteristicas.metricas[].metrica}}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{{caracteristicas.metricas[].etf}}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{{caracteristicas.metricas[].referencia}}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{{caracteristicas.metricas[].comentario}}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{{texto:caracteristicas.comentario}}</w:t>
      </w:r>
    </w:p>
    <w:p>
      <w:pPr>
        <w:pStyle w:val="Heading1"/>
      </w:pPr>
      <w:r>
        <w:t xml:space="preserve">8. Rentabilidad</w:t>
      </w:r>
    </w:p>
    <w:p>
      <w:pPr>
        <w:pStyle w:val="Confianza"/>
        <w:spacing w:after="100"/>
      </w:pPr>
      <w:r>
        <w:t xml:space="preserve">Confianza: {{rentabilidad.confianza}}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2"/>
        <w:gridCol w:w="2095"/>
        <w:gridCol w:w="2095"/>
        <w:gridCol w:w="2096"/>
      </w:tblGrid>
      <w:tr>
        <w:trPr>
          <w:cantSplit/>
          <w:tblHeader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Periodo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Índice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Categoría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{{rentabilidad.acumulada[].periodo}}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{{rentabilidad.acumulada[].etf_pct|+pct}}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{{rentabilidad.acumulada[].indice_pct|+pct}}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{{rentabilidad.acumulada[].categoria_pct|+pct}}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{{grafico:rent_anual}}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  <w:tblHeader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Año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Índice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Categoría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{{rentabilidad.anual[].anio}}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{{rentabilidad.anual[].etf_pct|+pct}}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{{rentabilidad.anual[].indice_pct|+pct}}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{{rentabilidad.anual[].categoria_pct|+pct}}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{{texto:rentabilidad.comentario}}</w:t>
      </w:r>
    </w:p>
    <w:p>
      <w:pPr>
        <w:pStyle w:val="Heading1"/>
      </w:pPr>
      <w:r>
        <w:t xml:space="preserve">9. Riesgo</w:t>
      </w:r>
    </w:p>
    <w:p>
      <w:pPr>
        <w:pStyle w:val="Confianza"/>
        <w:spacing w:after="100"/>
      </w:pPr>
      <w:r>
        <w:t xml:space="preserve">Confianza: {{riesgo.confianza}}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43"/>
        <w:gridCol w:w="1268"/>
        <w:gridCol w:w="1521"/>
        <w:gridCol w:w="3806"/>
      </w:tblGrid>
      <w:tr>
        <w:trPr>
          <w:cantSplit/>
          <w:tblHeader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Métrica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Periodo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{{riesgo.metricas[].metrica}}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{{riesgo.metricas[].valor}}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{{riesgo.metricas[].periodo}}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{{riesgo.metricas[].comentario}}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{{grafico:caidas}}</w:t>
      </w:r>
    </w:p>
    <w:p>
      <w:pPr>
        <w:spacing w:after="100"/>
      </w:pPr>
      <w:r>
        <w:t xml:space="preserve">{{texto:riesgo.comentario}}</w:t>
      </w:r>
    </w:p>
    <w:p>
      <w:pPr>
        <w:pStyle w:val="Heading1"/>
      </w:pPr>
      <w:r>
        <w:t xml:space="preserve">10. Alternativas</w:t>
      </w:r>
    </w:p>
    <w:p>
      <w:pPr>
        <w:pStyle w:val="Confianza"/>
        <w:spacing w:after="100"/>
      </w:pPr>
      <w:r>
        <w:t xml:space="preserve">Confianza: {{alternativas.confianza}}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5"/>
        <w:gridCol w:w="1732"/>
        <w:gridCol w:w="866"/>
        <w:gridCol w:w="1082"/>
        <w:gridCol w:w="1082"/>
        <w:gridCol w:w="1082"/>
        <w:gridCol w:w="979"/>
      </w:tblGrid>
      <w:tr>
        <w:trPr>
          <w:cantSplit/>
          <w:tblHeader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ISIN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TER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Patrimonio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Réplica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Rentas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Dif. seguim.</w:t>
            </w:r>
          </w:p>
        </w:tc>
      </w:tr>
      <w:tr>
        <w:trPr>
          <w:cantSplit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{{alternativas.etfs[].nombre}}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{{alternativas.etfs[].isin}}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{{alternativas.etfs[].ter_pct|pct2}}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{{alternativas.etfs[].aum|0}}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{{alternativas.etfs[].replicacion}}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{{alternativas.etfs[].distribucion}}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{{alternativas.etfs[].td_pct|+pct2}}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{{grafico:alternativas_ter}}</w:t>
      </w:r>
    </w:p>
    <w:p>
      <w:pPr>
        <w:spacing w:after="100"/>
      </w:pPr>
      <w:r>
        <w:t xml:space="preserve">{{texto:alternativas.comentario}}</w:t>
      </w:r>
    </w:p>
    <w:p>
      <w:pPr>
        <w:pStyle w:val="Heading1"/>
      </w:pPr>
      <w:r>
        <w:t xml:space="preserve">11. Fiscalidad y operativa para un inversor español</w:t>
      </w:r>
    </w:p>
    <w:p>
      <w:pPr>
        <w:pStyle w:val="Confianza"/>
        <w:spacing w:after="100"/>
      </w:pPr>
      <w:r>
        <w:t xml:space="preserve">Confianza: {{fiscalidad.confianza}}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{{?fiscalidad.registro_cnmv}}Registrado en la CNMV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{{fiscalidad.registro_cnmv}}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{{?fiscalidad.kid_espanol}}KID en español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{{fiscalidad.kid_espanol}}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{{?fiscalidad.traspasable}}Traspasable sin peaje fiscal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{{fiscalidad.traspasable}}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{{?fiscalidad.retencion_origen}}Retención en origen sobre dividendos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{{fiscalidad.retencion_origen}}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{{texto:fiscalidad.comentario}}</w:t>
      </w:r>
    </w:p>
    <w:p>
      <w:pPr>
        <w:pStyle w:val="Heading1"/>
      </w:pPr>
      <w:r>
        <w:t xml:space="preserve">12. Encaje en cartera y riesgos específicos</w:t>
      </w:r>
    </w:p>
    <w:p>
      <w:pPr>
        <w:pStyle w:val="Confianza"/>
        <w:spacing w:after="100"/>
      </w:pPr>
      <w:r>
        <w:t xml:space="preserve">Confianza: {{encaje.confianza}}</w:t>
      </w:r>
    </w:p>
    <w:p>
      <w:pPr>
        <w:spacing w:after="100"/>
      </w:pPr>
      <w:r>
        <w:t xml:space="preserve">{{texto:encaje.rol}}</w:t>
      </w:r>
    </w:p>
    <w:p>
      <w:pPr>
        <w:pStyle w:val="Heading2"/>
      </w:pPr>
      <w:r>
        <w:t xml:space="preserve">Correlación y solapamientos</w:t>
      </w:r>
    </w:p>
    <w:p>
      <w:pPr>
        <w:spacing w:after="100"/>
      </w:pPr>
      <w:r>
        <w:t xml:space="preserve">{{texto:encaje.correlaciones}}</w:t>
      </w:r>
    </w:p>
    <w:p>
      <w:pPr>
        <w:pStyle w:val="Heading2"/>
      </w:pPr>
      <w:r>
        <w:t xml:space="preserve">Riesgos específicos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8"/>
        <w:gridCol w:w="2440"/>
        <w:gridCol w:w="5490"/>
        <w:gridCol w:w="1220"/>
      </w:tblGrid>
      <w:tr>
        <w:trPr>
          <w:cantSplit/>
          <w:tblHeader/>
        </w:trPr>
        <w:tc>
          <w:tcPr>
            <w:tcW w:type="dxa" w:w="4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Riesgo</w:t>
            </w:r>
          </w:p>
        </w:tc>
        <w:tc>
          <w:tcPr>
            <w:tcW w:type="dxa" w:w="54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Descripción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Importancia</w:t>
            </w:r>
          </w:p>
        </w:tc>
      </w:tr>
      <w:tr>
        <w:trPr>
          <w:cantSplit/>
        </w:trPr>
        <w:tc>
          <w:tcPr>
            <w:tcW w:type="dxa" w:w="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{{#}}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{{encaje.riesgos[].riesgo}}</w:t>
            </w:r>
          </w:p>
        </w:tc>
        <w:tc>
          <w:tcPr>
            <w:tcW w:type="dxa" w:w="54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{{encaje.riesgos[].descripcion}}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{{encaje.riesgos[].importancia}}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Fuentes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3"/>
        <w:gridCol w:w="3706"/>
        <w:gridCol w:w="1482"/>
        <w:gridCol w:w="1019"/>
        <w:gridCol w:w="2968"/>
      </w:tblGrid>
      <w:tr>
        <w:trPr>
          <w:cantSplit/>
          <w:tblHeader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Ref.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Documento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Editor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Enlace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{{fuentes[].id}}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{{fuentes[].titulo}}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{{fuentes[].editor}}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{{fuentes[].fecha|fecha}}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{{fuentes[].url}}</w:t>
            </w:r>
          </w:p>
        </w:tc>
      </w:tr>
    </w:tbl>
    <w:p>
      <w:pPr>
        <w:spacing w:after="200" w:before="0"/>
      </w:pPr>
    </w:p>
    <w:p>
      <w:pPr>
        <w:pStyle w:val="Heading2"/>
      </w:pPr>
      <w:r>
        <w:t xml:space="preserve">Control de calidad del informe</w:t>
      </w:r>
    </w:p>
    <w:p>
      <w:pPr>
        <w:pStyle w:val="Nota"/>
        <w:spacing w:after="100"/>
      </w:pPr>
      <w:r>
        <w:t xml:space="preserve">Campos con dato: </w:t>
      </w:r>
      <w:r>
        <w:rPr>
          <w:b/>
          <w:bCs/>
        </w:rPr>
        <w:t xml:space="preserve">{{_meta.cobertura|pct}}</w:t>
      </w:r>
      <w:r>
        <w:t xml:space="preserve"> · Secciones con menos del 60 % de campos cubiertos: </w:t>
      </w:r>
      <w:r>
        <w:rPr>
          <w:b/>
          <w:bCs/>
        </w:rPr>
        <w:t xml:space="preserve">{{_meta.secciones_flojas}}</w:t>
      </w:r>
      <w:r>
        <w:t xml:space="preserve"> · Generado el {{_meta.generado|fecha}}.</w:t>
      </w:r>
    </w:p>
    <w:p>
      <w:pPr>
        <w:pStyle w:val="Nota"/>
        <w:spacing w:after="100"/>
      </w:pPr>
      <w:r>
        <w:t xml:space="preserve">{{texto:meta.limitaciones}}</w:t>
      </w:r>
    </w:p>
    <w:p>
      <w:pPr>
        <w:pStyle w:val="Nota"/>
        <w:spacing w:after="100"/>
      </w:pPr>
      <w:r>
        <w:t xml:space="preserve">Este documento es un análisis elaborado de forma automatizada a partir de fuentes públicas. No constituye una recomendación personalizada de inversión ni una oferta de compra o venta. Las cifras marcadas como estimación y los escenarios son hipótesis de trabajo y deben verificarse antes de tomar cualquier decisión.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134" w:right="1134" w:bottom="1134" w:left="1134" w:header="567" w:footer="567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8A8984"/>
        <w:sz w:val="15"/>
        <w:szCs w:val="15"/>
      </w:rPr>
      <w:t xml:space="preserve">Datos a {{meta.fecha_corte|fecha}} · No constituye recomendación de inversión</w:t>
    </w:r>
    <w:r>
      <w:rPr>
        <w:color w:val="8A8984"/>
        <w:sz w:val="15"/>
        <w:szCs w:val="15"/>
      </w:rPr>
      <w:t xml:space="preserve">	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8A8984"/>
        <w:sz w:val="15"/>
        <w:szCs w:val="15"/>
      </w:rPr>
      <w:t xml:space="preserve">No constituye recomendación de inversión.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638"/>
      </w:tabs>
    </w:pPr>
    <w:r>
      <w:rPr>
        <w:color w:val="8A8984"/>
        <w:sz w:val="16"/>
        <w:szCs w:val="16"/>
      </w:rPr>
      <w:t xml:space="preserve">{{identificacion.nombre}} ({{identificacion.isin}})</w:t>
    </w:r>
    <w:r>
      <w:rPr>
        <w:color w:val="8A8984"/>
        <w:sz w:val="16"/>
        <w:szCs w:val="16"/>
      </w:rPr>
      <w:t xml:space="preserve">	Análisis de ETF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  <w:rPr>
        <w:color w:val="2A78D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docVars>
    <w:docVar w:name="graficos" w:val="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"/>
  </w:docVar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3C"/>
        <w:sz w:val="20"/>
        <w:szCs w:val="20"/>
      </w:rPr>
    </w:rPrDefault>
    <w:pPrDefault>
      <w:pPr>
        <w:spacing w:line="264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Calibri" w:hAnsi="Calibri"/>
      <w:b/>
      <w:bCs/>
      <w:color w:val="1F3A5F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A78D6" w:sz="6" w:space="4"/>
      </w:pBdr>
      <w:spacing w:after="60" w:before="360"/>
      <w:outlineLvl w:val="0"/>
    </w:pPr>
    <w:rPr>
      <w:rFonts w:ascii="Calibri" w:cs="Calibri" w:eastAsia="Calibri" w:hAnsi="Calibri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80" w:before="220"/>
      <w:outlineLvl w:val="1"/>
    </w:pPr>
    <w:rPr>
      <w:rFonts w:ascii="Calibri" w:cs="Calibri" w:eastAsia="Calibri" w:hAnsi="Calibri"/>
      <w:b/>
      <w:bCs/>
      <w:color w:val="1F3A5F"/>
      <w:sz w:val="23"/>
      <w:szCs w:val="23"/>
    </w:rPr>
  </w:style>
  <w:style w:type="paragraph" w:styleId="Parte">
    <w:name w:val="Parte"/>
    <w:basedOn w:val="Normal"/>
    <w:next w:val="Normal"/>
    <w:pPr>
      <w:keepNext/>
      <w:pBdr>
        <w:bottom w:val="single" w:color="2A78D6" w:sz="12" w:space="6"/>
      </w:pBdr>
      <w:spacing w:after="400" w:before="2400"/>
      <w:outlineLvl w:val="0"/>
    </w:pPr>
    <w:rPr>
      <w:rFonts w:ascii="Calibri" w:cs="Calibri" w:eastAsia="Calibri" w:hAnsi="Calibri"/>
      <w:b/>
      <w:bCs/>
      <w:color w:val="2A78D6"/>
      <w:sz w:val="40"/>
      <w:szCs w:val="40"/>
    </w:rPr>
  </w:style>
  <w:style w:type="paragraph" w:styleId="Aviso">
    <w:name w:val="Aviso"/>
    <w:basedOn w:val="Normal"/>
    <w:next w:val="Normal"/>
    <w:pPr>
      <w:pBdr>
        <w:left w:val="single" w:color="D9772E" w:sz="24" w:space="8"/>
      </w:pBdr>
      <w:spacing w:after="200" w:before="120"/>
      <w:ind w:left="200"/>
    </w:pPr>
    <w:rPr>
      <w:b/>
      <w:bCs/>
      <w:color w:val="A3470F"/>
      <w:sz w:val="19"/>
      <w:szCs w:val="19"/>
    </w:rPr>
  </w:style>
  <w:style w:type="paragraph" w:styleId="Confianza">
    <w:name w:val="Confianza"/>
    <w:basedOn w:val="Normal"/>
    <w:next w:val="Normal"/>
    <w:pPr>
      <w:keepNext/>
      <w:spacing w:after="160" w:before="0"/>
    </w:pPr>
    <w:rPr>
      <w:i/>
      <w:iCs/>
      <w:color w:val="8A8984"/>
      <w:sz w:val="16"/>
      <w:szCs w:val="16"/>
    </w:rPr>
  </w:style>
  <w:style w:type="paragraph" w:styleId="Nota">
    <w:name w:val="Nota"/>
    <w:basedOn w:val="Normal"/>
    <w:next w:val="Normal"/>
    <w:pPr>
      <w:spacing w:after="80"/>
    </w:pPr>
    <w:rPr>
      <w:color w:val="52514E"/>
      <w:sz w:val="16"/>
      <w:szCs w:val="1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Análisis de ETF — plantilla</dc:title>
  <dc:creator>analisis-inversion</dc:creator>
  <cp:lastModifiedBy>Un-named</cp:lastModifiedBy>
  <cp:revision>1</cp:revision>
  <dcterms:created xsi:type="dcterms:W3CDTF">2026-10-07T08:00:09.657Z</dcterms:created>
  <dcterms:modified xsi:type="dcterms:W3CDTF">2026-10-07T08:00:09.657Z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