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IDEXX Laboratories, Inc.</w:t>
      </w:r>
    </w:p>
    <w:p>
      <w:pPr>
        <w:spacing w:after="60"/>
        <w:rPr>
          <w:color w:val="52514E"/>
          <w:sz w:val="22"/>
          <w:szCs w:val="22"/>
        </w:rPr>
      </w:pPr>
      <w:r>
        <w:rPr>
          <w:color w:val="52514E"/>
          <w:sz w:val="22"/>
          <w:szCs w:val="22"/>
        </w:rPr>
        <w:t xml:space="preserve">IDXX · Nasdaq Global Select · ISIN US45168D1046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520,31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641,39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+23,3 % (base +22,3 %)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260,83 USD · mercado 311,95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41.157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23,0x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IDEXX Laboratories,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IDXX / US45168D1046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sanitarios (diagnóstico veterinario)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Westbrook (Maine, EE. UU.) · 1983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https://www.idexx.com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520,31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500,61 – 769,98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41.157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41.929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298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641,39 USD</w:t>
      </w:r>
      <w:r>
        <w:t xml:space="preserve"> frente a 520,31 · Rentabilidad a 12 meses </w:t>
      </w:r>
      <w:r>
        <w:rPr>
          <w:b/>
          <w:bCs/>
        </w:rPr>
        <w:t xml:space="preserve">+23,3 % (base +22,3 %)</w:t>
      </w:r>
      <w:r>
        <w:t xml:space="preserve"> · Valor intrínseco 260,83 USD · con la prima implícita del mercado: 311,95 (-40,0 %) · Alcista / bajista -39,8 % / -63,5 %</w:t>
      </w:r>
    </w:p>
    <w:p>
      <w:pPr>
        <w:spacing w:after="100"/>
      </w:pPr>
      <w:r>
        <w:rPr>
          <w:b/>
        </w:rPr>
        <w:t xml:space="preserve">La recomendación y por qué.</w:t>
      </w:r>
      <w:r>
        <w:t xml:space="preserve"> Mantener, con convicción media. A 520,31 USD (13-oct-2026), el objetivo a 12 meses es de 641,39 USD: rentabilidad ponderada del +23,3 % y del +22,3 % en el base, con la regla v3; con la v2 de control, +15,0 % y +11,1 %. Pasaría para Comprar a 12 meses, pero el valor intrínseco es de 260,83 USD (−49,9 %), así que la regla da Mantener; el objetivo medio de los analistas (701,33) queda por encima de nuestro base (636,23). La convicción es media porque las dos reglas de valor dan Vender y la de 12 meses da Comprar: subiría si los tipos bajan (cada punto de WACC vale más de un 15 %) o si el 3T26 (3-nov) confirma un recurrente de EE. UU. por encima del +9 %; bajaría con visitas peores que −3 %.</w:t>
      </w:r>
    </w:p>
    <w:p>
      <w:pPr>
        <w:spacing w:after="100"/>
      </w:pPr>
      <w:r>
        <w:rPr>
          <w:b/>
        </w:rPr>
        <w:t xml:space="preserve">El negocio.</w:t>
      </w:r>
      <w:r>
        <w:t xml:space="preserve"> IDEXX es el líder mundial del diagnóstico de mascotas, con cerca de la mitad de un gasto de unos 6.500 M USD [7]: analizadores en la clínica que consumen reactivos, laboratorios de referencia, test rápidos y software. El 79 % de los ingresos es recurrente, el margen operativo es del 31,6 % y el ROIC del 48,6 %, unos 38 puntos sobre el WACC: calidad «Sí» por ROIC − WACC. La sostenibilidad del crecimiento es «Sí»: el 8,2 % anual proyectado apenas necesita capital (reinversión del 7 % del NOPAT) y se apoya en un poder de precios demostrado (≈ 4 % al año) y en que solo el 19 % de las visitas en EE. UU. incluye análisis de sangre [7].</w:t>
      </w:r>
    </w:p>
    <w:p>
      <w:pPr>
        <w:spacing w:after="100"/>
      </w:pPr>
      <w:r>
        <w:rPr>
          <w:b/>
        </w:rPr>
        <w:t xml:space="preserve">Sector y ciclo.</w:t>
      </w:r>
      <w:r>
        <w:t xml:space="preserve"> Las visitas a la clínica en EE. UU. caen desde 2023 (−2 % en 2025, −1,3 % en el 2T26, las de bienestar −3,4 %) [1, 8]. IDEXX crece igual porque vende más pruebas por visita: su recurrente de EE. UU. sube un 9,7 %. Es la variable que mueve la acción y el riesgo principal.</w:t>
      </w:r>
    </w:p>
    <w:p>
      <w:pPr>
        <w:spacing w:after="100"/>
      </w:pPr>
      <w:r>
        <w:rPr>
          <w:b/>
        </w:rPr>
        <w:t xml:space="preserve">Finanzas.</w:t>
      </w:r>
      <w:r>
        <w:t xml:space="preserve"> Ingresos de 4.304 M USD en 2025 (+10,4 %) y 4.553 M en los últimos 12 meses; BPA de 13,08 USD y guía de 14,69-14,94 para 2026. Conversión de caja del 110 % del beneficio; toda la caja va a recompras (1.217 M en 2025). Deuda neta de 0,5 veces el EBITDA. Cuentas limpias: Altman Z 19,53, Piotroski 8, Beneish −2,51.</w:t>
      </w:r>
    </w:p>
    <w:p>
      <w:pPr>
        <w:spacing w:after="100"/>
      </w:pPr>
      <w:r>
        <w:rPr>
          <w:b/>
        </w:rPr>
        <w:t xml:space="preserve">Equipo y gobierno.</w:t>
      </w:r>
      <w:r>
        <w:t xml:space="preserve"> Relevo ordenado: Mike Erickson es consejero delegado desde mayo y Mazelsky presidente ejecutivo hasta mayo de 2027 [17]. Consejo independiente en un 82 %, una acción un voto, consejo desclasificado en 2026 [18]. Resta algo: ventas de directivos por 37,7 M USD en 12 meses y ninguna compra [20].</w:t>
      </w:r>
    </w:p>
    <w:p>
      <w:pPr>
        <w:spacing w:after="100"/>
      </w:pPr>
      <w:r>
        <w:rPr>
          <w:b/>
        </w:rPr>
        <w:t xml:space="preserve">Valoración.</w:t>
      </w:r>
      <w:r>
        <w:t xml:space="preserve"> El DCF da 269,23 USD con un WACC del 10,57 % y 327,43 con la prima del mercado; los escenarios van de 190,01 a 313,34 y los comparables por PER de 235,25. El DCF inverso pide un crecimiento del 19,0 % anual en 2027-2032 frente al 7,9 % de nuestro base, o acepta una rentabilidad del 7,1 % anual. Barata frente a su historia (31,7 veces el BPA de 2027 frente a una mediana de 43,2), cara frente al coste de capital.</w:t>
      </w:r>
    </w:p>
    <w:p>
      <w:pPr>
        <w:spacing w:after="100"/>
      </w:pPr>
      <w:r>
        <w:rPr>
          <w:b/>
        </w:rPr>
        <w:t xml:space="preserve">Riesgos y catalizadores.</w:t>
      </w:r>
      <w:r>
        <w:t xml:space="preserve"> Visitas que siguen cayendo (bajista a 12 meses de 451,14 USD, −13 %), una nueva rebaja del múltiplo del sector como la de Zoetis y la presión de los grandes grupos de clínicas. El riesgo de que la IA se coma el negocio es bajo: afecta al software y a la lectura de imágenes (unos 9 % de los ingresos), no a los análisis de sangre, y IDEXX la usa a su favor (inVue Dx, CoVetAI) [12]. Catalizadores: 3T26 el 3-nov, guía de 2027 en febrero y bajadas de tipos.</w:t>
      </w:r>
    </w:p>
    <w:p>
      <w:pPr>
        <w:spacing w:after="100"/>
      </w:pPr>
      <w:r>
        <w:rPr>
          <w:b/>
        </w:rPr>
        <w:t xml:space="preserve">Qué cambiaría la decisión.</w:t>
      </w:r>
      <w:r>
        <w:t xml:space="preserve"> Comprar por debajo de 260,83 USD (valor intrínseco); vender por encima de 712,66 USD. Pasaríamos a Vender si la guía de 2027 baja del 8 % orgánico o el recurrente de EE. UU. crece menos del 7 %.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641,39 USD</w:t>
      </w:r>
      <w:r>
        <w:t xml:space="preserve"> (rentabilidad +23,3 % (base +22,3 %)) · Valor intrínseco: 260,83 USD (-49,9 % sobre 520,31) · con la prima implícita del mercado: 311,95 (-40,0 %)</w:t>
      </w:r>
    </w:p>
    <w:p>
      <w:pPr>
        <w:spacing w:after="100"/>
      </w:pPr>
      <w:r>
        <w:t xml:space="preserve">IDEXX vende el diagnóstico que el veterinario usa en cada visita: analizadores Catalyst, ProCyte e inVue Dx que consumen reactivos, laboratorios de referencia, test SNAP y software. Con un 79 % de ingresos recurrentes, margen operativo del 31,6 % y ROIC del 48,6 %, es uno de los mejores negocios del sector salud [1]. Ha crecido un 10 % orgánico anual en 2020-2025 sin capital y devuelve la caja con recompras.</w:t>
      </w:r>
    </w:p>
    <w:p>
      <w:pPr>
        <w:spacing w:after="100"/>
      </w:pPr>
      <w:r>
        <w:t xml:space="preserve">El precio (520,31 USD, −23 % en el año) descuenta, con nuestro WACC del 10,57 %, un crecimiento del 19,0 % anual en 2027-2032, o una rentabilidad del 7,1 % anual con nuestras cifras. A 31,7 veces el BPA de 2027 está en el mínimo de su historia, pero la historia se hizo con tipos del 1-2 %.</w:t>
      </w:r>
    </w:p>
    <w:p>
      <w:pPr>
        <w:spacing w:after="100"/>
      </w:pPr>
      <w:r>
        <w:t xml:space="preserve">El mercado acierta en que las visitas caen y en que el múltiplo de 2021 no vuelve. Puede equivocarse en la duración del crecimiento: solo el 19 % de las visitas en EE. UU. lleva análisis de sangre y la empresa crece 11 puntos por encima de las visitas [7, 8]. Para invertir hay que creer que crecerá cerca del 10 % durante más de una década y que el coste de capital bajará; a 12 meses basta con que el BPA crezca un 11 % y el múltiplo no caiga más.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641,39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 × 16,17 = 451,14 · 34,9x × 18,23 = 636,23 · 43,2x × 19,49 = 841,97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 / 22,3 %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701,33 (nuestro base -9,3 %)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260,83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-39,8 % / -63,5 %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 frente a 10,6 % y 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311,95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 frente a 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260,83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260,83 y 712,66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712,66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260,83 USD (valor intrínseco): Comprar si se mantiene la tesis.</w:t>
      </w:r>
    </w:p>
    <w:p>
      <w:pPr>
        <w:pStyle w:val="ListParagraph"/>
        <w:numPr>
          <w:ilvl w:val="0"/>
          <w:numId w:val="2"/>
        </w:numPr>
        <w:spacing w:after="60"/>
      </w:pPr>
      <w:r>
        <w:t xml:space="preserve">Precio por encima de 712,66 USD: Vender.</w:t>
      </w:r>
    </w:p>
    <w:p>
      <w:pPr>
        <w:pStyle w:val="ListParagraph"/>
        <w:numPr>
          <w:ilvl w:val="0"/>
          <w:numId w:val="2"/>
        </w:numPr>
        <w:spacing w:after="60"/>
      </w:pPr>
      <w:r>
        <w:t xml:space="preserve">Guía de crecimiento orgánico de 2027 por debajo del 8 %: pasaríamos a Vender.</w:t>
      </w:r>
    </w:p>
    <w:p>
      <w:pPr>
        <w:pStyle w:val="ListParagraph"/>
        <w:numPr>
          <w:ilvl w:val="0"/>
          <w:numId w:val="2"/>
        </w:numPr>
        <w:spacing w:after="60"/>
      </w:pPr>
      <w:r>
        <w:t xml:space="preserve">Visitas en EE. UU. por debajo de −3 % dos trimestres seguidos: revisar el bajista.</w:t>
      </w:r>
    </w:p>
    <w:p>
      <w:pPr>
        <w:pStyle w:val="ListParagraph"/>
        <w:numPr>
          <w:ilvl w:val="0"/>
          <w:numId w:val="2"/>
        </w:numPr>
        <w:spacing w:after="60"/>
      </w:pPr>
      <w:r>
        <w:t xml:space="preserve">Bono a 10 años por debajo del 4 %: el valor intrínseco subiría más de un 30 % y se acercaría al precio.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IDEXX sigue siendo un compounder de calidad, pero que las visitas a la clínica en EE. UU. no se recuperan y que el sector de salud animal merece un múltiplo menor, como Zoetis. Paga 32 veces el BPA de los próximos 12 meses, la mitad que en 2021.</w:t>
      </w:r>
    </w:p>
    <w:p>
      <w:pPr>
        <w:keepNext/>
        <w:spacing w:after="100"/>
      </w:pPr>
      <w:r>
        <w:rPr>
          <w:b/>
          <w:bCs/>
        </w:rPr>
        <w:t xml:space="preserve">Lo que creemos nosotros.</w:t>
      </w:r>
    </w:p>
    <w:p>
      <w:pPr>
        <w:spacing w:after="100"/>
      </w:pPr>
      <w:r>
        <w:t xml:space="preserve">Coincidimos en el negocio (9 % de crecimiento, margen al alza) y discrepamos en la tasa: con un WACC del 10,57 %, 32 veces el beneficio sigue siendo mucho. Nuestro objetivo a 12 meses (+23 %) solo supone que el múltiplo no baja; el valor intrínseco (260,83) está muy por debajo.</w:t>
      </w:r>
    </w:p>
    <w:p>
      <w:pPr>
        <w:keepNext/>
        <w:spacing w:after="100"/>
      </w:pPr>
      <w:r>
        <w:rPr>
          <w:b/>
          <w:bCs/>
        </w:rPr>
        <w:t xml:space="preserve">Por qué podemos tener razón.</w:t>
      </w:r>
    </w:p>
    <w:p>
      <w:pPr>
        <w:spacing w:after="100"/>
      </w:pPr>
      <w:r>
        <w:t xml:space="preserve">Porque el valor de IDEXX está casi todo en el crecimiento más allá de 2030, y ese crecimiento se descuenta con un bono al 5,2 %. Si los tipos no bajan, el múltiplo tiene más camino hacia abajo que hacia arriba aunque el negocio cumpla.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520,3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Calidad excepcional</w:t>
      </w:r>
      <w:r>
        <w:t xml:space="preserve">: ROIC del 48,6 % y margen operativo del 31,6 %, subiendo 50-100 pb al año.</w:t>
      </w:r>
    </w:p>
    <w:p>
      <w:pPr>
        <w:pStyle w:val="ListParagraph"/>
        <w:numPr>
          <w:ilvl w:val="0"/>
          <w:numId w:val="2"/>
        </w:numPr>
        <w:spacing w:after="60"/>
      </w:pPr>
      <w:r>
        <w:rPr>
          <w:b/>
        </w:rPr>
        <w:t xml:space="preserve">Crecimiento independiente de las visitas</w:t>
      </w:r>
      <w:r>
        <w:t xml:space="preserve">: recurrente de EE. UU. +9,7 % con visitas −1,3 % en el 2T26.</w:t>
      </w:r>
    </w:p>
    <w:p>
      <w:pPr>
        <w:pStyle w:val="ListParagraph"/>
        <w:numPr>
          <w:ilvl w:val="0"/>
          <w:numId w:val="2"/>
        </w:numPr>
        <w:spacing w:after="60"/>
      </w:pPr>
      <w:r>
        <w:rPr>
          <w:b/>
        </w:rPr>
        <w:t xml:space="preserve">Recorrido</w:t>
      </w:r>
      <w:r>
        <w:t xml:space="preserve">: solo el 19 % de las visitas en EE. UU. y el 8 % fuera incluyen análisis de sangre.</w:t>
      </w:r>
    </w:p>
    <w:p>
      <w:pPr>
        <w:pStyle w:val="ListParagraph"/>
        <w:numPr>
          <w:ilvl w:val="0"/>
          <w:numId w:val="2"/>
        </w:numPr>
        <w:spacing w:after="60"/>
      </w:pPr>
      <w:r>
        <w:rPr>
          <w:b/>
        </w:rPr>
        <w:t xml:space="preserve">Múltiplo en mínimos</w:t>
      </w:r>
      <w:r>
        <w:t xml:space="preserve">: 31,7 veces el BPA de 2027 frente a una mediana adelantada de 43,2.</w:t>
      </w:r>
    </w:p>
    <w:p>
      <w:pPr>
        <w:pStyle w:val="ListParagraph"/>
        <w:numPr>
          <w:ilvl w:val="0"/>
          <w:numId w:val="2"/>
        </w:numPr>
        <w:spacing w:after="60"/>
      </w:pPr>
      <w:r>
        <w:rPr>
          <w:b/>
        </w:rPr>
        <w:t xml:space="preserve">Guía al alza</w:t>
      </w:r>
      <w:r>
        <w:t xml:space="preserve">: BPA 2026 subido dos veces, a 14,69-14,94 USD.</w:t>
      </w:r>
    </w:p>
    <w:p>
      <w:pPr>
        <w:pStyle w:val="Heading2"/>
      </w:pPr>
      <w:r>
        <w:t xml:space="preserve">En contra</w:t>
      </w:r>
    </w:p>
    <w:p>
      <w:pPr>
        <w:pStyle w:val="ListParagraph"/>
        <w:numPr>
          <w:ilvl w:val="0"/>
          <w:numId w:val="2"/>
        </w:numPr>
        <w:spacing w:after="60"/>
      </w:pPr>
      <w:r>
        <w:rPr>
          <w:b/>
        </w:rPr>
        <w:t xml:space="preserve">Valor intrínseco muy por debajo</w:t>
      </w:r>
      <w:r>
        <w:t xml:space="preserve">: 260,83 USD, un 49,9 % bajo el precio.</w:t>
      </w:r>
    </w:p>
    <w:p>
      <w:pPr>
        <w:pStyle w:val="ListParagraph"/>
        <w:numPr>
          <w:ilvl w:val="0"/>
          <w:numId w:val="2"/>
        </w:numPr>
        <w:spacing w:after="60"/>
      </w:pPr>
      <w:r>
        <w:rPr>
          <w:b/>
        </w:rPr>
        <w:t xml:space="preserve">El precio pide un 19,0 % de crecimiento anual</w:t>
      </w:r>
      <w:r>
        <w:t xml:space="preserve"> con nuestro WACC del 10,57 %.</w:t>
      </w:r>
    </w:p>
    <w:p>
      <w:pPr>
        <w:pStyle w:val="ListParagraph"/>
        <w:numPr>
          <w:ilvl w:val="0"/>
          <w:numId w:val="2"/>
        </w:numPr>
        <w:spacing w:after="60"/>
      </w:pPr>
      <w:r>
        <w:rPr>
          <w:b/>
        </w:rPr>
        <w:t xml:space="preserve">Visitas en caída</w:t>
      </w:r>
      <w:r>
        <w:t xml:space="preserve"> tres años seguidos (−2 % en 2025).</w:t>
      </w:r>
    </w:p>
    <w:p>
      <w:pPr>
        <w:pStyle w:val="ListParagraph"/>
        <w:numPr>
          <w:ilvl w:val="0"/>
          <w:numId w:val="2"/>
        </w:numPr>
        <w:spacing w:after="60"/>
      </w:pPr>
      <w:r>
        <w:rPr>
          <w:b/>
        </w:rPr>
        <w:t xml:space="preserve">Sector desrateado</w:t>
      </w:r>
      <w:r>
        <w:t xml:space="preserve">: Zoetis cotiza a 12,6 veces el BPA.</w:t>
      </w:r>
    </w:p>
    <w:p>
      <w:pPr>
        <w:pStyle w:val="ListParagraph"/>
        <w:numPr>
          <w:ilvl w:val="0"/>
          <w:numId w:val="2"/>
        </w:numPr>
        <w:spacing w:after="60"/>
      </w:pPr>
      <w:r>
        <w:rPr>
          <w:b/>
        </w:rPr>
        <w:t xml:space="preserve">Ventas de directivos</w:t>
      </w:r>
      <w:r>
        <w:t xml:space="preserve"> por 37,7 M USD en 12 meses, sin compras.</w:t>
      </w:r>
    </w:p>
    <w:p>
      <w:pPr>
        <w:pStyle w:val="Heading2"/>
      </w:pPr>
      <w:r>
        <w:t xml:space="preserve">Qué tiene que pasar para que la tesis funcione</w:t>
      </w:r>
    </w:p>
    <w:p>
      <w:pPr>
        <w:spacing w:after="100"/>
      </w:pPr>
      <w:r>
        <w:t xml:space="preserve">La tesis depende de que IDEXX siga creciendo unos 10 puntos por encima de las visitas en EE. UU. La señal de que falla: el recurrente de diagnóstico de EE. UU. por debajo del +7 % con visitas a −2 %, o la mejora de precio por debajo del 3 %. El 3T26 (3-nov) y la guía de 2027 (febrero) son las dos pruebas.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Recurrente de diagnóstico CAG en EE. UU. (orgánico)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Visitas en las mismas clínicas de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principal.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neta de precio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Mitad del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Colocaciones de inVue Dx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1.000 por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Consumibles futuros.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32,3-32,5 %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Expansión &lt; 50 pb</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Sostiene el BPA.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26,0x / 23,0x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36,6x / 32,0x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 · 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IDEXX nació en 1983 en Westbrook (Maine) con test de diagnóstico para animales y salió a bolsa en el Nasdaq en 1991 [1]. Su primer gran producto fue el test rápido SNAP en la clínica; después construyó una red mundial de laboratorios de referencia y los analizadores de clínica (Catalyst, ProCyte), que generan ingresos recurrentes de consumibles. Con Jon Ayers (2002-2019) pasó del 10 % al 30 % de margen operativo y a vender software de gestión de clínicas; con Jay Mazelsky (2019-2026) lanzó inVue Dx (citología sin portaobjetos con IA) y Cancer Dx. Desde mayo de 2026 la dirige Mike Erickson, que venía de la división de pruebas en clínica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Maine.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1990s</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Test rápidos SNAP para la clínica; entrada en agua (Colilert).</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Analizadores Catalyst y ProCyte: modelo de consumibles recurrentes.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Abandona los distribuidores en EE. UU. y vende directamente a las clínicas.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ezyVet: software de gestión en la nube.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IDEXX inVue Dx (6.400 colocados en el año).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Mike Erickson, consejero delegado; día del inversor con meta de crecimiento orgánico ≥ 10 %; compra de CoVetAI (escribano con IA) [7, 12].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IDEXX vende diagnóstico veterinario. El 92 % de los ingresos (3.953 M USD en 2025) es el grupo de mascotas (CAG): consumibles para sus analizadores de clínica (Catalyst de química, ProCyte de hematología, SediVue de orina e inVue Dx de citología con IA), análisis en su red mundial de laboratorios de referencia, test rápidos SNAP, servicio de los instrumentos y software de gestión de clínicas e imagen digital (Cornerstone, ezyVet, Neo, Vello) [1, 2]. El resto es agua (Colilert, 201 M), ganado, aves y leche (132 M) y diagnóstico humano (17 M) [1]. Vende directamente a unas clínicas de más de 175 países; el 64 % de los ingresos es de EE. UU. [1].</w:t>
      </w:r>
    </w:p>
    <w:p>
      <w:pPr>
        <w:pStyle w:val="Heading2"/>
      </w:pPr>
      <w:r>
        <w:t xml:space="preserve">Cómo gana dinero</w:t>
      </w:r>
    </w:p>
    <w:p>
      <w:pPr>
        <w:spacing w:after="100"/>
      </w:pPr>
      <w:r>
        <w:t xml:space="preserve">Es un modelo de «cuchilla y hoja»: coloca el analizador (a menudo con incentivos y contratos de compra de consumibles) y cobra cada prueba durante años. Los ingresos recurrentes de diagnóstico (consumibles, laboratorio, test rápidos y servicio) fueron 3.407 M USD en 2025, el 79 % del total, más el software recurrente [1]. El margen depende de volumen de pruebas (visitas × pruebas por visita) y de precio: IDEXX sube precios en torno a un 4 % al año [8]. Alto apalancamiento operativo: el margen bruto es del 63,7 % y el operativo pasó del 23,0 % en 2019 al 31,6 % en 2025 [2, 5]. Poca estacionalidad (el 2T y el 3T son más fuertes por las parasitosis).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Companion Animal Group (CAG)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Water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Livestock, Poultry and Dairy (LPD)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Companion Animal Group (CAG)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Water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Livestock, Poultry and Dairy (LPD)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Clínicas veterinarias de mascotas, independientes y grupos corporativos (el 10-K no señala ninguna concentración de clientes relevante) [1]. Los contratos de consumibles con incentivos iniciales atan al cliente varios años, y la integración con el software de gestión de la clínica sube el coste de cambio. Poder de precios demostrado: mejora neta de precio de un 4 % en 2026 sin perder volumen, con el recurrente de EE. UU. creciendo un 9,7 % mientras las visitas caían un 1,3 % [2, 8]. El riesgo de concentración crece con la consolidación en grupos (Mars, NVA), que negocian precio.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los ingresos recurrentes de diagnóstico CAG</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+9,5 % a +10,7 % orgánico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Visitas clínicas en EE. UU. (mismas clínicas)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caída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de bienestar (wellness) caen un 3,4 % en el 2T26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diagnóstico por clínica en EE. UU. (mismas clínicas)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Frente a un +2 % de los ingresos totales de las clínicas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Parque instalado de IDEXX inVue Dx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lanzamiento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9.000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1.600 colocaciones en el 2T26; objetivo de 5.500 en 2026 [2,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neta de precio global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4 %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línea con lo esperado para el año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32,3-32,5 % (guía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plurianual: +50 a +100 pb al año [2,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gasto mundial en diagnóstico de mascotas a precio de fabricante: laboratorios de referencia, analizadores y consumibles de clínica, test rápidos y telemedicina, sin software ni ecografía. IDEXX lo cifra en 6.500 M USD en 2025, frente a 4.100 M en 2019 (≈ 8 % anual) [7]. Contraste: el mercado de salud animal completo (fármacos, vacunas y diagnóstico de mascotas y ganado) es de unos 40.100 M USD según IMARC y 38.600 M según HealthforAnimals [9, 10]; el diagnóstico de mascotas es un 16 % de esa cifra. Usamos la cifra de IDEXX porque es la única con el perímetro de la cuota y avisamos de que es de parte interesada.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6.500 M USD en 2025 (gasto mundial en diagnóstico de mascotas a precio de fabricante) [7]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pruebas por visita (penetración del análisis de sangre)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el 19 % de las visitas clínicas en EE. UU. y el 13 % de las de bienestar incluyen análisis de sangre; IDEXX modeliza un 34 % en 2050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Visitas clínicas a la clínica veterinaria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visitas en las mismas clínicas de EE. UU. cayeron un 2 % en 2025 y un 1,3 % en el 2T26 (las de bienestar, −3,4 %) [1,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Población y envejecimiento de las mascotas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M mascotas más en EE. UU. desde 2019 (≈ 2,5 % anual) y más visitas y pruebas en mayores de cinco años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Mejora neta de precio de IDEXX ≈ 4 % en 2026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Internacional por penetrar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el 8 % de las visitas internacionales lleva análisis de sangre; el sector crecería ≥ 10 % fuera de EE. UU. [7].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actores reales (IDEXX, Antech-Heska de Mars y Zoetis con 434 M USD de diagnóstico); IDEXX gana cuota con márgenes del 31,6 % [1,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cadenas de clínicas (Mars, consolidadores) negocian; pero las independientes siguen siendo mayoría y el coste del diagnóstico es pequeño en la factura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y reactivos sin proveedor dominante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red de laboratorios, parque instalado e integración con el software de la clínica; los nuevos (Zomedica, SignalPET) son pequeños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lee imágenes y escribe historias clínicas, pero no sustituye a la química, la hematología ni la citología física [7, 12].</w:t>
            </w:r>
          </w:p>
        </w:tc>
      </w:tr>
    </w:tbl>
    <w:p>
      <w:pPr>
        <w:spacing w:after="160" w:before="0"/>
      </w:pPr>
    </w:p>
    <w:p>
      <w:pPr>
        <w:pStyle w:val="Heading2"/>
      </w:pPr>
      <w:r>
        <w:t xml:space="preserve">Ciclo</w:t>
      </w:r>
    </w:p>
    <w:p>
      <w:pPr>
        <w:spacing w:after="100"/>
      </w:pPr>
      <w:r>
        <w:t xml:space="preserve">Las visitas en EE. UU. caen desde 2023 por falta de capacidad de las clínicas y precio; aun así el diagnóstico crece por utilización y precio [1]. En 2008-09 IDEXX bajó ventas un 2 %; en 2020 el sector se aceleró con el aumento de mascotas y en 2022 se frenó (crecimiento de IDEXX del 4,7 %) [1].</w:t>
      </w:r>
    </w:p>
    <w:p>
      <w:pPr>
        <w:pStyle w:val="Heading2"/>
      </w:pPr>
      <w:r>
        <w:t xml:space="preserve">Regulación</w:t>
      </w:r>
    </w:p>
    <w:p>
      <w:pPr>
        <w:spacing w:after="100"/>
      </w:pPr>
      <w:r>
        <w:t xml:space="preserve">Poca regulación directa: los test veterinarios en EE. UU. dependen del USDA (biológicos) y no de la FDA; el agua y la leche, de la EPA y de los programas de control. Riesgos: aranceles sobre componentes y cambios fiscales internacionales (Pilar 2) [1].</w:t>
      </w:r>
    </w:p>
    <w:p>
      <w:pPr>
        <w:pStyle w:val="Heading2"/>
      </w:pPr>
      <w:r>
        <w:t xml:space="preserve">Tendencias y disrupción</w:t>
      </w:r>
    </w:p>
    <w:p>
      <w:pPr>
        <w:spacing w:after="100"/>
      </w:pPr>
      <w:r>
        <w:t xml:space="preserve">Tres tendencias: consolidación de clínicas en grupos (Mars, NVA, IVC Evidensia), que negocian precio y pueden integrar su propio laboratorio (Mars con Antech y Heska); la IA aplicada a imagen, citología y documentación, que IDEXX incorpora (inVue Dx, CoVetAI) [7, 12]; y el software de gestión en la nube, donde IDEXX compite con ezyVet y Neo [1]. La empresa gana con las dos últimas y la consolidación es el riesgo.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diagnóstico de mascotas: 3.407 M USD de ingresos recurrentes de diagnóstico CAG en 2025 sobre un gasto del sector de unos 6.500 M (estimación propia) [1,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Antech Diagnostics (Mars Petcare, con Heska)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Mars compró Heska por 120 USD por acción en 2023 y la integró con Antech; ventaja de clientes cautivos en sus clínicas (Banfield, VCA)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Zoetis (diagnóstico)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ZTS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Vetscan (antigua Abaxis); 434 M USD en 2025, pequeño dentro de sus 9.467 M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Elanco Animal Health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ELAN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Fármacos, no diagnóstico: comparable de cliente (la clínica)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TMO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44.556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Diagnóstico y herramientas de laboratorio humano; comparable de modelo de reactivos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Danaher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24.568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Diagnóstico humano (Beckman, Cepheid, Radiometer); comparable de modelo de reactivos [14].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miles de clínicas (Practice Intelligence) que alimentan productos y la IA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Parque instalado de analizadores con contratos de compra de consumibles, integrados con el software de la clínica; recurrente de diagnóstico = 79 % de los ingresos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SDMA, Fecal Dx, inVue Dx, Cancer Dx: menú propio que los rivales no tienen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63,7 % en el 1S26 por escala de laboratorios y consumibles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mundial de laboratorios y venta directa: margen operativo 31,6 % frente a 17-19 % de Thermo y Danaher [2, 8].</w:t>
            </w:r>
          </w:p>
        </w:tc>
      </w:tr>
    </w:tbl>
    <w:p>
      <w:pPr>
        <w:spacing w:after="160" w:before="0"/>
      </w:pPr>
    </w:p>
    <w:p>
      <w:pPr>
        <w:pStyle w:val="Heading2"/>
      </w:pPr>
      <w:r>
        <w:t xml:space="preserve">Amenazas</w:t>
      </w:r>
    </w:p>
    <w:p>
      <w:pPr>
        <w:spacing w:after="100"/>
      </w:pPr>
      <w:r>
        <w:t xml:space="preserve">Tres amenazas. La más probable es la consolidación de clínicas: si Mars, NVA o un fondo deciden llevar el laboratorio a casa, IDEXX pierde volumen y precio (probabilidad media). La segunda, una caída prolongada de las visitas por precio y falta de veterinarios, que ya dura tres años [1]. La tercera, la IA: algoritmos de lectura de radiografías y de citología y software de clínica nativo en IA pueden quitar margen al software y a la telemedicina (≈ 9 % de los ingresos), pero no a los análisis de sangre (probabilidad baja de daño grave) [7, 12].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t xml:space="preserve">Crecimiento anual compuesto 2019-2025: ingresos </w:t>
      </w:r>
      <w:r>
        <w:rPr>
          <w:b/>
          <w:bCs/>
        </w:rPr>
        <w:t xml:space="preserve">10,2 %</w:t>
      </w:r>
      <w:r>
        <w:t xml:space="preserve">, EBITDA </w:t>
      </w:r>
      <w:r>
        <w:rPr>
          <w:b/>
          <w:bCs/>
        </w:rPr>
        <w:t xml:space="preserve">15,2 %</w:t>
      </w:r>
      <w:r>
        <w:t xml:space="preserve">, BPA </w:t>
      </w:r>
      <w:r>
        <w:rPr>
          <w:b/>
          <w:bCs/>
        </w:rPr>
        <w:t xml:space="preserve">17,8 %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IDEXX ha crecido de 2.407 M USD en 2019 a 4.304 M en 2025, casi todo orgánico: las compras de 2021-2025 suman menos de 270 M USD [1, 5]. En 2025 los ingresos subieron un 10,4 % (9,6 % orgánico), con el recurrente de diagnóstico de mascotas +8,1 % orgánico y los instrumentos +49 % por el lanzamiento de inVue Dx [1]. El margen operativo pasó del 23,0 % de 2019 al 31,6 % de 2025: margen bruto al 61,8 % por precio (≈4-5 % al año) y por la mezcla de consumibles, y gastos que crecen menos que los ingresos [1, 5]. 2022 es el año flojo (EBIT −3,5 %) por la caída de visitas tras la pandemia y el dólar fuerte. En el 1S26 los ingresos suben un 11,8 % y el EBIT un 14,3 % [2].</w:t>
      </w:r>
    </w:p>
    <w:p>
      <w:pPr>
        <w:pStyle w:val="Heading2"/>
      </w:pPr>
      <w:r>
        <w:t xml:space="preserve">Ajustes y partidas no recurrentes</w:t>
      </w:r>
    </w:p>
    <w:p>
      <w:pPr>
        <w:spacing w:after="100"/>
      </w:pPr>
      <w:r>
        <w:t xml:space="preserve">Usamos cifras publicadas (US GAAP). IDEXX no publica EBITDA ni BPA ajustado en la cuenta; su BPA «comparable» solo quita divisa y el beneficio fiscal de los pagos en acciones, que en 2025 fue de unos 28 M USD (0,35 USD por acción) [1, 4]. No recurrentes: un litigio de regalías de una licencia caducada costó 61,5 M USD en gastos generales de 2024 y se revirtieron unos 9 M en el 1T25; los ponemos en no_recurrentes_en_ebitda (61,5 en 2024 y −9 en 2025) [1]. La sentencia se pagó en abril de 2025 (80 M USD)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(4-ago) la dirección, ya con Mike Erickson como consejero delegado, repitió el mensaje del 1T: el crecimiento sale de más pruebas por visita y no de más visitas. Las visitas de las mismas clínicas en EE. UU. cayeron un 1,3 % y las de bienestar un 3,4 %, pero el recurrente de diagnóstico de EE. UU. creció un 9,7 %, unos 11 puntos por encima de las visitas [2, 8]. Los consumibles VetLab subieron un 14 % orgánico por inVue Dx (más de 9.000 instalados) y el test de páncreas en Catalyst; los test rápidos solo un 1 %, porque parte de esa prueba se ha ido a Catalyst [2]. La guía subió en el punto medio: ingresos de 4.700-4.745 M USD, margen del 32,3-32,5 % y BPA de 14,69-14,94 USD [2]. Los analistas preguntaron por las visitas (qué haría volver a crecer las de bienestar, clínicas de grupos frente a independientes, la opinión de un antiguo directivo de que la presión seguirá), por el ritmo de colocaciones de inVue, por la capacidad de lanzar otra plataforma (Multi-Q) y por el reparto entre recompras y compras de empresas [8]. La dirección no dio el reparto de colocaciones por trimestre ni la mezcla EE. UU./internacional del segundo semestre, contestó de forma indirecta a la pregunta sobre la presión de visitas y no habló de 2027, que remitió al día del inversor del 13-ago [8]. Allí fijó metas plurianuales de crecimiento orgánico del 10 % o más, +50-100 pb de margen al año y BPA comparable +15 % o más [7].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apenas se mueve (848 M USD en 2025, 969 M en jun-26) porque IDEXX usa la línea de crédito para recomprar acciones: 1.217 M en 2025 y 698 M en el 1S26 [1, 2]. La deuda neta es de unas 0,5 veces el EBITDA. El patrimonio es pequeño (1.605 M) porque las recompras acumuladas suman 6.561 M de autocartera [1]. El circulante sube con los clientes (días de cobro de 44,7 a 46,2 entre jun-25 y jun-26) y con los activos de contrato de inVue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4.441</w:t>
      </w:r>
      <w:r>
        <w:t xml:space="preserve">, conversión </w:t>
      </w:r>
      <w:r>
        <w:rPr>
          <w:b/>
          <w:bCs/>
        </w:rPr>
        <w:t xml:space="preserve">85 %</w:t>
      </w:r>
      <w:r>
        <w:t xml:space="preserve"> del beneficio neto; adquisiciones 313, dividendos 0, recompras 4.177.</w:t>
      </w:r>
    </w:p>
    <w:p>
      <w:pPr>
        <w:spacing w:after="100"/>
      </w:pPr>
      <w:r>
        <w:t xml:space="preserve">La conversión es alta y estable: flujo operativo de 1.182 M USD en 2025, el 112 % del beneficio, y caja libre de unos 1.040 M tras inversiones de 138 M más 10 M de instrumentos cedidos a clientes [1]. 2022 fue el año débil (flujo operativo de 543 M) por existencias e impuestos [5]. El capex de mantenimiento no se publica; estimación propia: unos 2,5-3 % de las ventas (la amortización es el 3,4 %), y el resto amplía laboratorios de referencia y fábricas. La guía de 2026 prevé capex de unos 180 M y caja libre del 90-100 % del beneficio [2]. En el 1S26 la caja libre fue de 557 M frente a 360 M un año antes [2].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limpias: auditor desde 2002 con opinión favorable; la cuestión clave de auditoría es el reconocimiento de ingresos de productos y servicios [1]. Tres puntos a vigilar. (1) Incentivos a clientes: IDEXX paga por adelantado a las clínicas (descuentos y bonos por compromisos de compra) y lo capitaliza como coste de captación de clientes; el pasivo fiscal diferido asociado sube de 46,9 a 62,6 M USD en 2025 [1]. (2) Instrumentos en arrendamiento operativo y en programas de alquiler con reactivos: pasan de existencias a inmovilizado (9,9 M en 2025) y no están en el capex del estado de flujos; los sumamos [1]. (3) Pagos en acciones de 60 M USD (1,4 % de los ingresos) y beneficio fiscal de las opciones de 28 M en 2025, que baja el tipo efectivo [1, 5]. El BPA publicado no tiene ajustes: la empresa no presenta BPA ajustado.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captación de clientes capitalizados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Crecen con los acuerdos de inVue; adelantan descuentos que se amortizan contra ingresos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fiscal de las opciones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0,24-0,35 USD por acción al año; depende del precio de la acción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Línea de crédito en pasivo corriente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prudente; la línea vence en 2030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54,7 % · </w:t>
      </w:r>
      <w:r>
        <w:rPr>
          <w:b/>
          <w:bCs/>
        </w:rPr>
        <w:t xml:space="preserve">WACC</w:t>
      </w:r>
      <w:r>
        <w:t xml:space="preserve">: 10,6 %.</w:t>
      </w:r>
    </w:p>
    <w:p>
      <w:pPr>
        <w:spacing w:after="100"/>
      </w:pPr>
      <w:r>
        <w:t xml:space="preserve">IDEXX crea mucho valor: ROIC del 48,6 % en 2025 frente a un WACC del 10,57 %, unos 38 puntos de diferencia; sin el fondo de comercio y los intangibles de compras (524 M USD) superaría el 60 %. El ROIC se mueve con el margen (margen neto del 24,6 %) más que con la rotación (1,3 veces). El ROIC incremental histórico es del 54,7 %: cada dólar invertido en el crecimiento reciente rinde más que el capital antiguo. Frente a sus comparables está en otra liga: Zoetis 29 %, Thermo Fisher 7,3 %, Danaher 5,5 % y Elanco 3,3 % [11, 26]. El ROE del 66 % está inflado por las recompras, que dejan el patrimonio en 1.605 M USD.</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197 M USD y unos 480 M disponibles en la línea de crédito de 1.000 M (dispuestos 519 M, de ellos 250 M del préstamo a plazo, en jun-26) [1,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(deuda colocada en privado)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pensiones relevantes. Arrendamientos operativos de 128 M USD (US GAAP: no van a la deuda) [1]. Único covenant: deuda/EBITDA ajustado ≤ 3,5 veces, con mucha holgura (≈ 0,6 veces) [1]. Litigio de regalías cerrado en abril de 2025 con un pago de 80 M USD [1]. Compromisos de compra de 207 M en 2026 y 137 M después [1]. La línea de crédito se presenta como pasivo corriente porque cada disposición vence en menos de un año y tiene cláusula de cambio adverso, aunque la línea vence en noviembre de 2030 [1]. Activos por costes de captación de clientes (incentivos iniciales capitalizados) dentro de otros activos a largo plazo: pasivo fiscal diferido de 62,6 M USD por este concepto [1].</w:t>
      </w:r>
    </w:p>
    <w:p>
      <w:pPr>
        <w:pStyle w:val="Heading1"/>
      </w:pPr>
      <w:r>
        <w:t xml:space="preserve">12. Asignación de capital</w:t>
      </w:r>
    </w:p>
    <w:p>
      <w:pPr>
        <w:pStyle w:val="Confianza"/>
        <w:spacing w:after="100"/>
      </w:pPr>
      <w:r>
        <w:t xml:space="preserve">Confianza: Alta</w:t>
      </w:r>
    </w:p>
    <w:p>
      <w:pPr>
        <w:spacing w:after="100"/>
      </w:pPr>
      <w:r>
        <w:t xml:space="preserve">IDEXX no paga dividendo. Toda la caja libre que no se invierte se dedica a recomprar acciones, con un objetivo de reducir las acciones diluidas un 1,5-2 % en 2026 [2]. En 2025 recompró por 1.217 M USD (más que su caja libre, con deuda de la línea de crédito) y en el 1S26 por 693 M a 592 USD de media [1, 2]. Las compras de empresas son pequeñas y de software o tecnología (ezyVet, Vello, CoVetAI en sep-26)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ezyVet y otras (software de gestión en la nube)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software y los servicios crecen un 11-12 % en 2026; sin deterioros del fondo de comercio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pequeñas (software y diagnóstico)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de 414 M USD en total, sin deterioros [1].</w:t>
            </w:r>
          </w:p>
        </w:tc>
      </w:tr>
    </w:tbl>
    <w:p>
      <w:pPr>
        <w:spacing w:after="160" w:before="0"/>
      </w:pPr>
    </w:p>
    <w:p>
      <w:pPr>
        <w:spacing w:after="100"/>
      </w:pPr>
      <w:r>
        <w:t xml:space="preserve">Asignación de capital disciplinada y sencilla: casi todo el crecimiento es orgánico y la caja va a recompras. Las acciones diluidas bajaron de 87,5 M en 2019 a 81,0 M en 2025 (−1,1 % al año) [5]. El punto débil es el precio de las recompras: en 2025 compró a una media de unos 500 USD y en el 1S26 a 592 USD, por encima del precio actual (520 USD) [1, 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G. Erickson, PhD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IDEXX desde 2013; dirigía la división de diagnóstico en clínica (Point-of-Care), donde lanzó inVue Dx [16,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Jonathan J. (Jay) Mazelsky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del consejo (hasta mayo de 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2019-2026: ingresos de 2.407 a 4.304 M USD y margen operativo del 23 % al 31,6 %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Emerson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2025, tras la salida de Brian McKeon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Lawrence D. Kingsley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 (antes 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presidente y consejero delegado de Pall Corporation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George Fennell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 con ventas de acciones por 7,3 M USD en 12 meses [20].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 (feb)</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inicial: ingresos 4.632-4.720 M USD (orgánico +7 % a +9 %) y BPA 14,29-14,80 USD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en mayo a 14,45-14,90 y en agosto a 14,69-14,94; 7,74 USD en el 1S26 (+17 %)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 (may)</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orgánicos +7,7 % a +9,7 %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en agosto a +8,5 % a +9,7 %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anual 2025 (no leída en fuente primaria)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4.304 M USD (+10 %); BPA 13,08 USD (+23 %, +14 % comparable)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sucesión ordenada: el relevo de Mazelsky por Erickson se anunció en enero con cuatro meses de transición y un año de presidente ejecutivo [17]. En 2026 la guía de BPA ha subido dos veces (de 14,29-14,80 USD en febrero a 14,69-14,94 en agosto) [2]; no hemos leído las guías de 2022-2025 en fuente primaria. Señal a vigilar: la salida de la responsable de estrategia y comercial en abril de 2026 [19] y las ventas de acciones de la cúpula (37,7 M USD en 12 meses, ninguna compra) [20].</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Jonathan J. Mazelsky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G. Erickson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Lawrence D. Kingsley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Irene Chang Britt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Bruce L. Claflin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Stuart M. Essig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Finanzas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L. Hooley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M. Junius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Peacock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 Samad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Sophie V. Vandebroek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 Finanzas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36,75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nov-24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abr-25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netas en 12 meses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28,7 M de acciones sobre 108,4 M emitidas (dic-25)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1"/>
        <w:gridCol w:w="3381"/>
        <w:gridCol w:w="1521"/>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Lawrence D. Kingsley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G. Erickson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Jonathan J. Mazelsky (presidente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Nimrata Hunt (ex vicepresidenta ejecutiva)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George Fennell (vicepresidente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7,34</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14,58 M USD en 2025: 1,15 M de fijo, 2,59 M de bonus anual y 10,8 M en opciones y acciones a largo plazo, 218 veces el empleado mediano [16]. El bonus depende de ingresos, BPA y objetivos no financieros; el largo plazo, de opciones y acciones restringidas por tiempo y de acciones por desempeño, sin una métrica de ROIC o TSR como eje (no marcamos variable ligado a rentabilidad) [16]. El voto a favor de la remuneración fue del 94 % en 2025 y del 94,1 % en 2026 [16, 18].</w:t>
      </w:r>
    </w:p>
    <w:p>
      <w:pPr>
        <w:pStyle w:val="Heading2"/>
      </w:pPr>
      <w:r>
        <w:t xml:space="preserve">Operaciones vinculadas, estructura de control y defensas</w:t>
      </w:r>
    </w:p>
    <w:p>
      <w:pPr>
        <w:spacing w:after="100"/>
      </w:pPr>
      <w:r>
        <w:t xml:space="preserve">Sin accionista de control: Vanguard (12,2 %) y BlackRock (9,6 %) son pasivos [16]. Una acción, un voto. En la junta de 2026 se aprobó desclasificar el consejo (99,9 %) y dar a los accionistas con el 25 % el derecho a convocar junta; la propuesta de un accionista de bajarlo fue rechazada (41 % a favor) [18]. Sin operaciones vinculadas relevantes [16].</w:t>
      </w:r>
    </w:p>
    <w:p>
      <w:pPr>
        <w:pStyle w:val="Heading2"/>
      </w:pPr>
      <w:r>
        <w:t xml:space="preserve">Señales de alerta</w:t>
      </w:r>
    </w:p>
    <w:p>
      <w:pPr>
        <w:pStyle w:val="ListParagraph"/>
        <w:numPr>
          <w:ilvl w:val="0"/>
          <w:numId w:val="2"/>
        </w:numPr>
        <w:spacing w:after="60"/>
      </w:pPr>
      <w:r>
        <w:t xml:space="preserve">Ventas de acciones de directivos por 37,7 M USD en 12 meses, sin compras; un consejero vendió en el mínimo de 52 semanas (sep-26) [20].</w:t>
      </w:r>
    </w:p>
    <w:p>
      <w:pPr>
        <w:pStyle w:val="ListParagraph"/>
        <w:numPr>
          <w:ilvl w:val="0"/>
          <w:numId w:val="2"/>
        </w:numPr>
        <w:spacing w:after="60"/>
      </w:pPr>
      <w:r>
        <w:t xml:space="preserve">Salida de la vicepresidenta ejecutiva de estrategia y comercial en abril de 2026 [19].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(4-ago-2026): ingresos de 4.700-4.745 M USD (+9,1 % a +10,3 %; orgánico +8,5 % a +9,7 %), recurrente de diagnóstico CAG +9,5 % a +10,7 % orgánico, margen operativo del 32,3-32,5 % y BPA de 14,69-14,94 USD; capex de unos 180 M y caja libre del 90-100 % del beneficio. La guía prevé que las visitas en EE. UU. caigan como en 2025 (≈ −2 %). Metas plurianuales del día del inversor (13-ago): crecimiento orgánico ≥ 10 %, +50-100 pb de margen al año y BPA comparable +15 % o más.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[22]; Stock Analysis da 14,83 USD con 12 analistas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[22]; Stock Analysis 16,74 USD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5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701,33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470,00 – 805,00</w:t>
            </w:r>
          </w:p>
        </w:tc>
      </w:tr>
    </w:tbl>
    <w:p>
      <w:pPr>
        <w:spacing w:after="160" w:before="0"/>
      </w:pPr>
    </w:p>
    <w:p>
      <w:pPr>
        <w:pStyle w:val="Heading2"/>
      </w:pPr>
      <w:r>
        <w:t xml:space="preserve">Revisiones de estimaciones</w:t>
      </w:r>
    </w:p>
    <w:p>
      <w:pPr>
        <w:spacing w:after="100"/>
      </w:pPr>
      <w:r>
        <w:t xml:space="preserve">El BPA de 2026 del consenso (14,77-14,83 USD) está en la guía subida en agosto [22, 23]. Los objetivos se han mantenido o recortado poco: UBS 670 (Mantener, 16-sep), BofA 660 → 665 y Stifel 675 tras el 2T (14-ago); KeyBanc empieza con Mantener el 12-oct. El número de «compra fuerte» baja de 5 a 4 entre mayo y octubre [23]. Solo hay una fuente con estimaciones completas a tres años (MarketScreener); contrastamos BPA y objetivos con Stock Analysis.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-51,3 %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IDEXX ha perdido un 23,1 % en 2026 frente a un +15 % del S&amp;P 500, y en cinco años un −3,7 % anual: el múltiplo bajó de unas 80 veces el BPA en 2021 a unas 35 veces hoy, mientras el BPA pasaba de 8,60 a 14,23 USD [21, 22]. Las caídas de 2026 coinciden con la guía de febrero (visitas −2 %) y con la presión general sobre salud animal (Zoetis −25 % en el año) [21]. Máximo de 769,98 USD el 26-nov-2025 y mínimo de 500,61 el 11-sep-2026 [21].</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IDEXX cotiza a 36,6 veces el beneficio de los últimos 12 meses frente a una media de 51,7 veces al cierre de 2021-2025, y a 26,0 veces el EBITDA frente a 37,1: un descuento de casi el 30 % y el mínimo de los cinco cierres (excluidos 2020 y 2021, de burbuja). El cambio estructural no está en el negocio, que crece igual que antes, sino en los tipos: el bono a 10 años está en el 5,2 % frente al 1-2 % de 2019-2021, y en el miedo a que las visitas no vuelvan [1, 24].</w:t>
      </w:r>
    </w:p>
    <w:p>
      <w:pPr>
        <w:pStyle w:val="Heading1"/>
      </w:pPr>
      <w:r>
        <w:t xml:space="preserve">18. Comparables cotizados</w:t>
      </w:r>
    </w:p>
    <w:p>
      <w:pPr>
        <w:pStyle w:val="Confianza"/>
        <w:spacing w:after="100"/>
      </w:pPr>
      <w:r>
        <w:t xml:space="preserve">Confianza: Media</w:t>
      </w:r>
    </w:p>
    <w:p>
      <w:pPr>
        <w:spacing w:after="100"/>
      </w:pPr>
      <w:r>
        <w:t xml:space="preserve">Salud animal cotizada (Zoetis, Elanco, Phibro, Neogen, Virbac, Vetoquinol), con cifras del análisis de Zoetis del 7-oct (MarketScreener) llevadas al cierre del 13-oct con la variación de precio [11, 27], y dos diagnósticos humanos de modelo de reactivos (Thermo Fisher y Danaher) del 14-oct [26]. Antech-Heska (Mars) no cotiza. Elanco va sin PER porque su BPA contable lleva 540 M USD de amortización de intangibles (PER de 77 veces); Neogen no tiene PER por pérdidas. Ninguno tiene el crecimiento ni el ROIC de IDEXX: la mediana es un suelo, no una referencia.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IDEXX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Zoetis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Elanco Animal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Phibro Animal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Neogen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Virbac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Vetoquinol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Danaher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156.627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 / 9,3x / 12,8x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283,81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 / 12,7x / 19,6x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389,85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 / 14,4x / 22,1x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359,38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 / 3,3x / 4,6x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11,3 + -0,23 × crecimiento; R² = 0,03. El crecimiento explica poco los múltiplos de estos comparables (R² &lt; 0,3): la regresión no se usa en la valoración.</w:t>
      </w:r>
    </w:p>
    <w:p>
      <w:pPr>
        <w:spacing w:after="100"/>
      </w:pPr>
      <w:r>
        <w:t xml:space="preserve">IDEXX cotiza a 32,0 veces el BPA de los próximos 12 meses y 23,0 veces el EBITDA, con una prima enorme sobre la salud animal (Zoetis 12,6 veces, Virbac 14,5, Vetoquinol 14,4, Phibro 11,6) y sobre el diagnóstico humano (Thermo Fisher 24,6, Danaher 26,1) [11, 26, 27]. La prima se justifica en parte: crece el doble que Thermo y Danaher y con un ROIC seis veces mayor. Pero el sector se ha desrateado (Zoetis cotiza a la mitad del PER de hace dos años) y la mediana de los comparables da 235,25 USD por acción por PER. Usaríamos el PER, no el EV/EBITDA, y con poco peso.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Heska (diagnóstico veterinario)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 USD por acción; valor estimado sobre 10,9 M de acciones y ventas de 257 M USD en 2022 (estimación del análisis de Zoetis) [11, 13].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Abaxis (diagnóstico veterinario)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83 USD por acción, menos la caja, sobre 244,7 M de ventas [11, 28].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Dechra Pharmaceuticals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EQT y ADIA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25,9 veces el EBITDA de 2022; fármacos veterinarios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Sasaeah (Japón)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Virbac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Vacunas y fármacos de ganado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Aditivos medicados de Zoetis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Phibro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maduro de ganado; fuera de la media [31].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Covetrus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CD&amp;R y TPG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Distribución veterinaria de margen bajo; fuera de la media [32].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244,09 – 350,01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Los dos negocios de diagnóstico veterinario comprados (Abaxis y Heska) se pagaron a 5-7 veces las ventas [13, 28], muy por debajo de las 9,2 veces las ventas a las que cotiza IDEXX, porque eran segundos o terceros del mercado con márgenes de un dígito o bajos. Con 42.000 M USD de valor empresa y accionariado disperso, una opa sobre IDEXX es improbable: solo Mars o una gran farmacéutica podrían, y Mars ya tiene Antech. No damos peso a este método.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+9,7 % en 2026 (centro de la guía de 4.700-4.745 M USD, con 0,6 puntos de divisa) [2]. Después +9 % en 2027-2028, por debajo de la meta plurianual de un 10 % o más de crecimiento orgánico [7], y bajada lineal al 6 % en 2032. La historia 2020-2025 es de un 10 % orgánico anual [7]; el consenso espera +8,8 % en 2027 y +9,1 % en 2028 [22]. Restamos algo a la meta de la empresa porque las visitas en EE. UU. llevan tres años cayendo [1].</w:t>
      </w:r>
    </w:p>
    <w:p>
      <w:pPr>
        <w:keepNext/>
        <w:spacing w:after="100"/>
      </w:pPr>
      <w:r>
        <w:rPr>
          <w:b/>
          <w:bCs/>
        </w:rPr>
        <w:t xml:space="preserve">Márgenes.</w:t>
      </w:r>
    </w:p>
    <w:p>
      <w:pPr>
        <w:spacing w:after="100"/>
      </w:pPr>
      <w:r>
        <w:t xml:space="preserve">Margen EBITDA del 35,8 % en 2026 (margen operativo del 32,4 % de la guía más una amortización del 3,4 %) [2], que sube 0,6 puntos al año hasta el 37,0 % en 2028 y se aplana en el 38,0 % en 2032. Es el extremo bajo de la meta de +50-100 pb de margen operativo al año [7] y sigue la tendencia de 2019-2025 (del 26,6 % al 35,0 %) [5]. El consenso de MarketScreener tiene un 36,8 % en 2028 [22].</w:t>
      </w:r>
    </w:p>
    <w:p>
      <w:pPr>
        <w:keepNext/>
        <w:spacing w:after="100"/>
      </w:pPr>
      <w:r>
        <w:rPr>
          <w:b/>
          <w:bCs/>
        </w:rPr>
        <w:t xml:space="preserve">Inversión y circulante.</w:t>
      </w:r>
    </w:p>
    <w:p>
      <w:pPr>
        <w:spacing w:after="100"/>
      </w:pPr>
      <w:r>
        <w:t xml:space="preserve">Capex del 4,0 % de las ventas (guía de unos 180 M USD en 2026 más los instrumentos cedidos a clientes) frente a una amortización del 3,4 % [1, 2]. Circulante comercial del 19 % de las ventas, el de 2025 [1]. La reinversión es pequeña: el crecimiento sale de precio y de más pruebas por visita, no de capital.</w:t>
      </w:r>
    </w:p>
    <w:p>
      <w:pPr>
        <w:keepNext/>
        <w:spacing w:after="100"/>
      </w:pPr>
      <w:r>
        <w:rPr>
          <w:b/>
          <w:bCs/>
        </w:rPr>
        <w:t xml:space="preserve">Coste del capital.</w:t>
      </w:r>
    </w:p>
    <w:p>
      <w:pPr>
        <w:spacing w:after="100"/>
      </w:pPr>
      <w:r>
        <w:t xml:space="preserve">Tasa libre del 5,24 % (bono del Tesoro a 10 años, FRED, 9-oct-2026) [24]; beta de 1,0, entre la semanal de 2 años (0,85) y la ajustada semanal de 5 años (1,15); descartamos la mensual de 5 años (1,56) porque recoge la burbuja de 2020-2021 [21]. Prima de mercado del 5,5 %; deuda al 5,0 % antes de impuestos con un peso del 2,5 % a valor de mercado. WACC del 10,57 %. Con la prima implícita del mercado (4,2 %) baja al 9,3 % [25]. La recomendación depende mucho de esta tasa: cada punto menos de WACC sube el valor más de un 15 %.</w:t>
      </w:r>
    </w:p>
    <w:p>
      <w:pPr>
        <w:keepNext/>
        <w:spacing w:after="100"/>
      </w:pPr>
      <w:r>
        <w:rPr>
          <w:b/>
          <w:bCs/>
        </w:rPr>
        <w:t xml:space="preserve">Valor terminal.</w:t>
      </w:r>
    </w:p>
    <w:p>
      <w:pPr>
        <w:spacing w:after="100"/>
      </w:pPr>
      <w:r>
        <w:t xml:space="preserve">Gordon con un 3,0 %, entre la inflación esperada en USD y la tasa libre menos medio punto, tras cinco años de transición. El valor terminal es el 48 % del valor. Múltiplo de salida de contraste de 22 veces el EBITDA, por debajo de las 26,0 veces de hoy.</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Etapa de transición (DCF en tres etapas)</w:t>
      </w:r>
    </w:p>
    <w:p>
      <w:pPr>
        <w:spacing w:after="100"/>
      </w:pPr>
      <w:r>
        <w:t xml:space="preserve">Con la etapa de transición de 5 años el DCF da 269,23 por acción; sin ella (crecimiento terminal desde 2032e), 251,52.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0,509</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816</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IDEXX crece por encima del 6 % del último año explícito durante más tiempo que la proyección: solo el 19 % de las visitas clínicas en EE. UU. y el 8 % de las internacionales incluyen análisis de sangre, y la propia empresa modeliza que el gasto en diagnóstico de mascotas crezca un 7,5-8,5 % anual en EE. UU. y más de un 10 % fuera hasta 2050 [7]. La ventaja se refuerza con la escala: parque instalado de analizadores con contratos de consumibles, red de laboratorios y menú propio (SDMA, inVue Dx, Cancer Dx) [1, 7]. Con un ROIC del 48,6 %, muy por encima del WACC, crecer crea valor. Usamos cinco años de transición hasta el 3 % terminal.</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(5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253,46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322,84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 M (7 % del NOPAT)</w:t>
            </w:r>
          </w:p>
        </w:tc>
      </w:tr>
    </w:tbl>
    <w:p>
      <w:pPr>
        <w:spacing w:after="160" w:before="0"/>
      </w:pPr>
    </w:p>
    <w:p>
      <w:pPr>
        <w:spacing w:after="100"/>
      </w:pPr>
      <w:r>
        <w:t xml:space="preserve">La proyección apenas necesita inversión neta de la amortización (reinversión acumulada de 812 M, el 7 % del NOPAT, con un capex bruto medio del 4,0 % de las ventas). En un negocio de activos ligeros, el crecimiento medio del 8,2 %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+4,5 % (más pruebas por visita con visitas en EE. UU. a −2 %, inVue Dx y nuevos clientes), precio +4,5 % (mejora neta de unos 4 % más mezcla) y divisa +0,7 % [2,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+5 % por utilización e internacional; precio +4 %, el de 2026 [7,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 la meta de la empresa es un 10 % o más; dejamos 1 punto de margen por las visitas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+4,5 % y precio +4 %.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+4,5 % y precio +3,5 %: el precio se modera a medida que sube la penetración.</w:t>
            </w:r>
          </w:p>
        </w:tc>
      </w:tr>
    </w:tbl>
    <w:p>
      <w:pPr>
        <w:spacing w:after="160" w:before="0"/>
      </w:pPr>
    </w:p>
    <w:p>
      <w:pPr>
        <w:spacing w:after="100"/>
      </w:pPr>
      <w:r>
        <w:t xml:space="preserve">Sí. El crecimiento proyectado (8,2 % anual) no necesita capital: la reinversión es el 7 % del NOPAT y el ROIC es del 48,6 %, con un ROIC incremental histórico del 54,7 %. La prueba es el poder de precios y la cuota, y las dos pasan. Precio: IDEXX ha subido precios en torno a un 4 % al año sin perder volumen [8]. Cuota: hoy unos 3.407 M USD de recurrente de diagnóstico sobre un sector de unos 6.500 M (52 %); en 2031 serían unos 5.900 M sobre unos 10.700 M si el sector crece al 8,5 % (55 %), 1,06 veces la cuota actual (prueba hecha a mano porque la cuota es de un segmento) [7]. El riesgo es de demanda (visitas), no de capacidad.</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19,0 % (base: 7,9 %)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67,8 % (base: 38,0 %)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 (WACC: 10,6 %)</w:t>
            </w:r>
          </w:p>
        </w:tc>
      </w:tr>
    </w:tbl>
    <w:p>
      <w:pPr>
        <w:spacing w:after="160" w:before="0"/>
      </w:pPr>
    </w:p>
    <w:p>
      <w:pPr>
        <w:spacing w:after="100"/>
      </w:pPr>
      <w:r>
        <w:t xml:space="preserve">El DCF da 269,23 USD por acción, un 48,3 % por debajo del precio, con el valor terminal en el 48 % del total. El DCF inverso dice que a 520,31 USD el mercado descuenta un crecimiento del 19,0 % anual en 2027-2032 con nuestros márgenes, frente al 7,9 % de nuestro caso base, o una rentabilidad anual implícita del 7,1 % frente a un WACC del 10,57 % y un 9,3 % con la prima del mercado. Dicho de otro modo: el precio no es exigente en el negocio, sino en la tasa. Un inversor que compra hoy acepta un 7 % anual, por debajo de lo que pide el mercado a una acción de beta 1. Con la prima implícita del mercado el DCF sube a 327,43 USD, aún un 37 % bajo el precio. Aunque IDEXX ha caído un 23 % en el año, sigue sin cuadrar con un coste de capital de 9-10 %: hace falta creer en crecimientos de dos dígitos durante más de diez años.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visitas en EE. UU. siguen cayendo un 2-3 % al año, las cadenas de clínicas presionan el precio y Antech gana clientes en grupos: el crecimiento baja al 6 % y el margen se estanca 2 puntos por debajo del base, como en 2022, cuando el EBIT cayó un 3,5 %.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269,23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9 % con visitas planas o en ligera caída, compensadas por más pruebas por visita, inVue Dx e internacional; margen operativo +60 pb al año.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313,34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visitas vuelven a crecer y la penetración del análisis de sangre en bienestar se acelera: crecimiento del 11 % y margen 1 punto mejor, en línea con las metas del día del inversor.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520,3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260,45 USD (-49,9 %).</w:t>
      </w:r>
    </w:p>
    <w:p>
      <w:pPr>
        <w:spacing w:after="100"/>
      </w:pPr>
      <w:r>
        <w:t xml:space="preserve">Los tres escenarios del DCF quedan por debajo del precio (bajista 190,01, base 269,23 y alcista 313,34 USD): con nuestro WACC no hay escenario que justifique 520 USD. A 12 meses la lectura es otra: con el PER de la regla común, el objetivo ponderado es de 641,39 USD (+23,3 %), porque el BPA crece un 11 % anual y el múltiplo ya está en su mínimo de cinco años. La asimetría es buena a 12 meses (bajista 451,14 USD, −13 %; alcista 841,97, +62 %) y mala a largo plazo. Esa contradicción es la tesis.</w:t>
      </w:r>
    </w:p>
    <w:p>
      <w:pPr>
        <w:pStyle w:val="Heading1"/>
      </w:pPr>
      <w:r>
        <w:t xml:space="preserve">22. Suma de partes</w:t>
      </w:r>
    </w:p>
    <w:p>
      <w:pPr>
        <w:pStyle w:val="Confianza"/>
        <w:spacing w:after="100"/>
      </w:pPr>
      <w:r>
        <w:t xml:space="preserve">Confianza: Alta</w:t>
      </w:r>
    </w:p>
    <w:p>
      <w:pPr>
        <w:spacing w:after="100"/>
      </w:pPr>
      <w:r>
        <w:t xml:space="preserve">No aplica: el diagnóstico de mascotas (CAG) es el 92 % de los ingresos y casi todo el beneficio [1]; agua y ganado son pequeños y no cambian el valor.</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520,3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283,81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303,57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522,91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260,83 USD (-49,9 % sobre 520,31).</w:t>
      </w:r>
    </w:p>
    <w:p>
      <w:pPr>
        <w:spacing w:after="100"/>
      </w:pPr>
      <w:r>
        <w:t xml:space="preserve">El DCF pesa un 50 % y los escenarios un 40 % porque el valor depende de cuánto dura el crecimiento y de la tasa de descuento, que es lo que esos métodos recogen. Los comparables pesan un 10 %: las farmacéuticas veterinarias cotizan a 12-15 veces y el diagnóstico humano a 25, y ninguno tiene el ROIC del 48,6 % ni el crecimiento del 9-10 % de IDEXX. No damos peso a las transacciones (Abaxis y Heska, a 5-7 veces las ventas, eran negocios peores). La dispersión es enorme: todos los métodos están entre 190 y 360 USD por acción, muy por debajo de los 520 del precio. El valor intrínseco (260,83 USD) es la referencia de largo plazo; la decisión a 12 meses la toma la regla de múltiplos.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451,14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(31.7x) × 1.1 (tope: la mediana de 5 años, 43.2x,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636,23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841,97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+61,8 %</w:t>
            </w:r>
          </w:p>
        </w:tc>
      </w:tr>
    </w:tbl>
    <w:p>
      <w:pPr>
        <w:spacing w:after="160" w:before="0"/>
      </w:pPr>
    </w:p>
    <w:p>
      <w:pPr>
        <w:spacing w:after="100"/>
      </w:pPr>
      <w:r>
        <w:rPr>
          <w:b/>
          <w:bCs/>
        </w:rPr>
        <w:t xml:space="preserve">Objetivo a 12 meses (ponderado):</w:t>
      </w:r>
      <w:r>
        <w:t xml:space="preserve"> 641,39 USD · rentabilidad +23,3 % (base +22,3 %) · señal Mantener.</w:t>
      </w:r>
    </w:p>
    <w:p>
      <w:pPr>
        <w:spacing w:after="100"/>
      </w:pPr>
      <w:r>
        <w:t xml:space="preserve">Para comparar, con la regla v2 (historia al cierre, mismo precio): 26,9x / 31,7x / 41,2x, 15,0 % Mantener; con el tope anterior del base (×1,3, 14-oct mediodía): 28,3 %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2028e base (18,23 USD) está un 3,6 % por debajo del consenso (18,91) [22] porque no suponemos recompras no anunciadas: con la reducción de acciones del 1,5-2 % anual que la empresa practica, coincidiríamos. Ventas y márgenes van en línea con el consenso (5.609 frente a 5.606 M). El precio base (636,23 USD) queda un 9,3 % por debajo del objetivo medio de los analistas (701,33), que aplican un PER más alto, cerca de la mediana histórica.</w:t>
      </w:r>
    </w:p>
    <w:p>
      <w:pPr>
        <w:keepNext/>
        <w:spacing w:after="100"/>
      </w:pPr>
      <w:r>
        <w:rPr>
          <w:b/>
          <w:bCs/>
        </w:rPr>
        <w:t xml:space="preserve">Del valor intrínseco al objetivo a 12 meses.</w:t>
      </w:r>
    </w:p>
    <w:p>
      <w:pPr>
        <w:spacing w:after="100"/>
      </w:pPr>
      <w:r>
        <w:t xml:space="preserve">El objetivo a 12 meses (641,39 USD) está 2,5 veces por encima del valor intrínseco (260,83). La distancia no se cierra en un año: la regla de múltiplos supone que el PER de 31,7 veces se mantiene o sube algo hacia su mediana (43,2 veces), mientras que el DCF con un WACC del 10,57 % justificaría unas 16 veces el BPA. Lo que cerraría la distancia a favor del precio es que los tipos bajen (cada punto de WACC vale más de un 15 %) o que IDEXX demuestre años de crecimiento de dos dígitos; en contra, una nueva rebaja del múltiplo del sector, como la que ya sufrió Zoetis (12 veces).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3-nov-2026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Visitas en EE. UU., colocaciones de inVue y si la guía de BPA (14,69-14,94 USD) sube otra vez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guía de crecimiento orgánico queda por debajo del 9 %, la meta del 10 % pierde credibilidad.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 (VMX)</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test y plataformas (Multi-Q, aspirado con aguja fina en inVue)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menú en la clínica; refuerza el consumo por instrumento [7].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Retiro de Mazelsky como presidente ejecutivo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Erickson toma el control pleno; cambio de prioridades posible [17].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Bajadas de tipos de la Reserva Federal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menos de tasa libre sube el DCF más de un 15 %; es el catalizador de múltiplo.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Zoetis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Termómetro de las visitas y del sentimiento del sector.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Las visitas a la clínica en EE. UU. siguen cayendo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 a 12 meses (bajista 451,14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pruebas por visita: el recurrente de EE. UU. crece 11 puntos por encima de las visitas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Visitas en las mismas clínicas por debajo de −3 % o recurrente de EE. UU. por debajo del +7 %.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 rebaja del múltiplo (sector y tipos)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(PER de 25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cotiza en su mínimo de cinco años.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 o Zoetis por debajo de 10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Las cadenas de clínicas llevan el laboratorio a casa o presionan el precio (Mars-Antech)</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Menú propio y parque instalado; la mayoría de clínicas siguen siendo independientes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Mejora de precio por debajo del 3 % o pérdida de un gran grupo.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erosiona el software y la lectura de imágenes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e imagen son el 9 % de los ingresos; los análisis de sangre y la citología física no se sustituyen con IA; IDEXX usa IA propia (inVue Dx, CoVetAI) [2,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recurrente de software por debajo del 5 % o pérdida de clínicas de ezyVet/Cornerstone.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inVue Dx no repite: menos colocaciones y canibalización de laboratorios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9.000 instalados y consumibles +14 %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Colocaciones de inVue por debajo de 1.000 por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de consejero delegado y salidas de directivos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 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Sucesión interna y presidente ejecutivo hasta mayo de 2027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del director financiero o recorte de las metas plurianuales.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caras con deuda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de 0,5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por encima de 1,5 veces el EBITDA.</w:t>
            </w:r>
          </w:p>
        </w:tc>
      </w:tr>
    </w:tbl>
    <w:p>
      <w:pPr>
        <w:spacing w:after="160" w:before="0"/>
      </w:pPr>
    </w:p>
    <w:p>
      <w:pPr>
        <w:pStyle w:val="Heading2"/>
      </w:pPr>
      <w:r>
        <w:t xml:space="preserve">Pre-mortem</w:t>
      </w:r>
    </w:p>
    <w:p>
      <w:pPr>
        <w:spacing w:after="100"/>
      </w:pPr>
      <w:r>
        <w:t xml:space="preserve">Octubre de 2029: la acción ha perdido un 40 %. Las visitas en EE. UU. siguieron cayendo un 2-3 % al año hasta 2028 porque las clínicas no encontraron veterinarios y el precio de la consulta siguió subiendo; los dueños espaciaron las revisiones de bienestar, que es donde IDEXX vende el análisis de sangre preventivo. Mars, NVA y otros grupos, que ya concentran un tercio de las clínicas, renegociaron contratos y llevaron parte de las pruebas a Antech; la mejora de precio bajó del 4 % al 2 %. El crecimiento orgánico cayó al 5-6 % y el mercado dejó de pagar una prima de compounder: el PER pasó de 32 a 22 veces, el de una empresa de diagnóstico humano. La IA no fue la causa, pero las nuevas herramientas de lectura de imágenes y los escribanos con IA restaron crecimiento al software. Las señales que lo habrían anticipado: la diferencia entre el crecimiento del recurrente de EE. UU. y las visitas cayendo por debajo de 8 puntos, la mejora de precio por debajo del 3 % y la guía de 2027 por debajo del 8 % orgánico.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las cifras es la seguridad de los productos de diagnóstico (fiabilidad de resultados), la ciberseguridad del software y de los datos de las clínicas, y el bienestar animal. IDEXX no tiene emisiones relevantes para su coste [1].</w:t>
      </w:r>
    </w:p>
    <w:p>
      <w:pPr>
        <w:pStyle w:val="Heading2"/>
      </w:pPr>
      <w:r>
        <w:t xml:space="preserve">Controversias</w:t>
      </w:r>
    </w:p>
    <w:p>
      <w:pPr>
        <w:spacing w:after="100"/>
      </w:pPr>
      <w:r>
        <w:t xml:space="preserve">Sin sanciones relevantes en tres años. Litigio civil de regalías perdido y pagado en 2025 (80 M USD)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Visitas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caída de visitas de bienestar es falta de capacidad de las clínicas y qué parte es precio para el dueño?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caída es cíclica o estructural.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 mejora de precio del 4 % es lista y cuánto mezcla, y cómo reaccionan los grandes grupos?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es casi la mitad de nuestro crecimiento.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 las lecturas de radiología y citología ya hace la IA, y cómo se cobra?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IA es una amenaza al margen o una palanca.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Grupos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del recurrente viene de grupos corporativos y cuántos contratos vencen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concentración y de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recomprar con deuda por encima de 590 USD y no esperar?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Disciplina de precio en las recompras.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CoVetAI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se pagó por CoVetAI y qué ingresos tiene?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compra de Erickson; marca la política de compras.</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artículos de agosto se reparten entre «vale la prima» y «la valoración pesa sobre la ejecución»; uno de julio defiende que IDEXX no necesita más visitas sino más pruebas por visita [33].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debate; destacan los nuevos mínimos de 52 semanas, la venta de un consejero en mínimos y que IDEXX y Zoetis no ven recuperación del mercado veterinario en agosto [34].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(blog con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es por visitas, no por el negocio: el recurrente crece un 10 % y el riesgo es solo el múltiplo de 35 veces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Wealth Awesome (prensa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Atribuye la debilidad a la caída de las visitas de bienestar en EE. UU. y a la divisa [36].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visitas a la clínica en EE. UU.</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en el dato (visitas −2 % en 2025 y −1,3 % en el 2T26) [1, 8], pero el recurrente de diagnóstico de EE. UU. crece un 9,7 %: el negocio no depende de las visitas sino de las pruebas por visita.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¿35 veces el BPA es barato para IDEXX?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31,7 veces el BPA de 2027 es el mínimo de su historia adelantada; pero el DCF con un WACC del 10,57 % da 269,23 USD. Barato frente a sí misma, caro frente al coste de capital.</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inVue Dx y más pruebas por visita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respaldan: consumibles VetLab +14 % orgánico en el 2T26 y más de 9.000 inVue Dx instalados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 directivos y cambio de consejero delegado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37,7 M USD en 12 meses y ninguna compra [20]; el relevo fue ordenado [17]. Señal débil, no determinante.</w:t>
            </w:r>
          </w:p>
        </w:tc>
      </w:tr>
    </w:tbl>
    <w:p>
      <w:pPr>
        <w:spacing w:after="160" w:before="0"/>
      </w:pPr>
    </w:p>
    <w:p>
      <w:pPr>
        <w:spacing w:after="100"/>
      </w:pPr>
      <w:r>
        <w:t xml:space="preserve">El sentimiento acompaña la caída sin capitulación: los particulares hablan de mínimos de 52 semanas y de visitas que no se recuperan, mientras los artículos de análisis defienden que el negocio crece igual y que el problema es el precio de partida. Coincide con los analistas, que mantienen un objetivo medio de 701 USD con más «comprar» que «mantener». No señala un riesgo que el informe no recoja; confirma que la visita a la clínica es el dato que mueve la acción. Sobre la IA no hay debate apreciable en los foros.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2 explicados. Fuentes: 36 (19 primarias); citas distintas en el texto: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19,0 % frente a 20,0 % real: genera una variación de circulante de 37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48,6 % frente a WACC 10,6 %: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0,03: el crecimiento no explica los múltiplos de estos comparables; no uses el valor de la regresión. Explicación: Con farmacéuticas veterinarias y diagnóstico humano, el crecimiento no explica los múltiplos; no usamos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8,5x a 10,2x según qué comparable se quite (185,95 a 225,09 por acción): la muestra es frágil; explícalo y no le des mucho peso. Explicación: La muestra es heterogénea y ninguno tiene el ROIC ni el crecimiento de IDEXX; por eso los comparables pesan solo un 10 % en la síntesis.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 fuentes (19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 6, 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 y consenso previo de 2024-2025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trimestrales (no publican EBITDA); 2) XBRL de los 10-Q (amortización solo acumulada); 3) MarketScreener (sin histórico de sorpresas gratis)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por segmento de 2023 y segmentos de 2019-2022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(solo 2024-2025 de resultado por segmento); 2) XBRL companyfacts (sin dimensiones); 3) 10-K anteriores no descargados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e informe de sostenibilidad (no las publican); 2) MSCI y Sustainalytics (de pago); 3) búsqueda en prensa (sin fecha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cuota de Antech-Heska (Mars)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Mars no publica cuentas; 2) último 10-K de Heska (2022, 257 M USD); 3) estimaciones de prensa sin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guías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 febrero de cada año (no descargadas por tiempo); 2) 10-K (no recogen la guía); 3) prensa (cifras sin documento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Nasdaq short interest (no abre sin navegador); 2) Stock Analysis (no recogido);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devuelve 403; 2) búsqueda de hilos recientes (sin resultados con fecha); 3) Stocktwits y Seeking Alpha en su lugar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IDEXX Laboratories, Form 10-K del ejercicio 2025 (cuentas, notas de deuda, segmentos, arrendamientos, litigios)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IDEXX Laboratories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https://www.sec.gov/Archives/edgar/data/874716/000087471626000038/idxx-20251231.htm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IDEXX Laboratories Announces Second Quarter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IDEXX Laboratories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https://www.sec.gov/Archives/edgar/data/874716/000110465926090033/tm2622041d1_ex99-1.htm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Announces First Quarter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https://www.sec.gov/Archives/edgar/data/874716/000110465926055203/tm2613510d1_ex99-1.htm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Announces Fourth Quarter and Full Year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https://www.sec.gov/Archives/edgar/data/874716/000110465926008904/tm264623d1_ex99-1.htm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datos XBRL de los 10-K 2016-2025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https://data.sec.gov/api/xbrl/companyfacts/CIK0000874716.json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Form 10-Q del 2T26 (amortizaciones, acciones en circulación)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https://www.sec.gov/Archives/edgar/data/874716/000087471626000123/idxx-20260630.htm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2026 Investor Day (presentación, 13-ago-2026)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https://d1io3yog0oux5.cloudfront.net/_4feecb8c3cc72308dfec28f53409c771/idexx/db/3715/35333/pdf/2026+Investor+Day.pdf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(IDXX)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https://www.fool.com/earnings/call-transcripts/2026/08/11/idexx-idxx-q2-2026-earnings-call-transcript/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Economic Value of the Animal Health Sector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HealthforAnimals (con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https://healthforanimals.org/reports/economic-value-of-the-animal-health-sector/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Animal Health Market Size, Share, Trends and Forecast 2026-2034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https://www.imarcgroup.com/animal-health-market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Zoetis (repositorio, 7-oct-2026): ingresos y márgenes de competidores de sus cuentas (Zoetis diagnóstico 434 M USD, Elanco, Virbac, Vetoquinol)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informes/zoetis-2026-10-07/datos-v4.json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Acquires CoVetAI to Advance Veterinary Workflow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https://secure.businesswire.com/news/home/20260916581543/en/IDEXX-Laboratories-Acquires-CoVetAI-to-Advance-Veterinary-Workflow-Intelligence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 to Acquire Heska (8-K de Heska,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Heska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https://www.sec.gov/Archives/edgar/data/1038133/000114036123015841/brhc10050787_ex99-2.htm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Thermo Fisher y Danaher (repositorio, 14-oct-2026): ingresos y márgenes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informes/thermo-fisher-2026-10-14/datos-v2.json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salud animal, diagnóstico y fármacos veterinarios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sectores/salud-animal-2026-10-14.md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https://www.sec.gov/Archives/edgar/data/874716/000087471626000064/idxx-20260327.htm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transición de consejero delegado (Mazelsky a presidente ejecutivo; Erickson consejero delegado)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https://www.sec.gov/Archives/edgar/data/874716/000110465926003103/tm262817d1_8k.htm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resultados de la junta de 2026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https://www.sec.gov/Archives/edgar/data/874716/000087471626000110/idxx-20260512.htm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salida de Nimrata Hunt (vicepresidenta ejecutiva de estrategia y comercial)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https://www.sec.gov/Archives/edgar/data/874716/000110465926034906/tm269826d1_8k.htm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IDEXX, 14-oct-2025 a 14-oct-2026 (herramienta 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https://www.sec.gov/cgi-bin/browse-edgar?action=getcompany&amp;CIK=0000874716&amp;type=4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(IDXX, SPY, XLV) hasta el 13-oct-2026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https://finance.yahoo.com/quote/IDXX/history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estimaciones financieras anuales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https://www.marketscreener.com/quote/stock/IDEXX-LABORATORIES-INC-9641/finances/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(IDXX)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https://stockanalysis.com/stocks/idxx/forecast/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Thermo Fisher y Danaher (repositorio, 14-oct-2026): múltiplos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informes/danaher-2026-10-14/datos-v2.json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cierres del 6 y 13-oct-2026 de ZTS, ELAN, PAHC, NEOG, VIRP.PA, VETO.PA, TMO y DHR (API de gráficos)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https://query1.finance.yahoo.com/v8/finance/chart/ZTS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and Abaxis announce definitive merger agreement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https://www.sec.gov/Archives/edgar/data/1555280/000155528018000179/ex99-12018mergerpressrelea.htm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Recommended Cash Offer for Dechra Pharmaceuticals PLC (Regla 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EQT / Dechra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https://www.investegate.co.uk/announcement/7556360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to take a leading position in Japan through the acquisition of Sasaeah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https://www.investegate.co.uk/announcement/gnw/virbac-sa--0nm7/virbac-to-take-a-leading-position-in-japan-th-/8073275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Phibro to acquire Zoetis medicated feed additive portfolio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Phibro Animal Health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https://www.sec.gov/Archives/edgar/data/1069899/000110465924053265/tm2412927d1_ex99-1.htm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Covetrus to Be Acquired by Clayton, Dubilier &amp; Rice and TPG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Covetrus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https://www.sec.gov/Archives/edgar/data/1752836/000119312522159139/d290661dex991.htm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y artículos de IDXX (RSS), jul-sep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https://seekingalpha.com/api/sa/combined/IDXX.xml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corriente de mensajes de $IDXX (ago-oct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https://api.stocktwits.com/api/2/streams/symbol/IDXX.json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is down 28% from its peak: the business hasn't noticed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https://www.tikr.com/blog/idexx-is-down-28-from-its-peak-the-business-hasnt-noticed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IDEXX stock is tanking today (24-sep-2026)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Wealth Awesome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https://wealthawesome.com/why-idexx-stock-is-tanking-today-09242026</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93,5 %</w:t>
      </w:r>
      <w:r>
        <w:t xml:space="preserve"> · Secciones con menos del 60 % de campos cubiertos: </w:t>
      </w:r>
      <w:r>
        <w:rPr>
          <w:b/>
          <w:bCs/>
        </w:rPr>
        <w:t xml:space="preserve">ninguna</w:t>
      </w:r>
      <w:r>
        <w:t xml:space="preserve"> · Generado el 14 oct 2026.</w:t>
      </w:r>
    </w:p>
    <w:p>
      <w:pPr>
        <w:pStyle w:val="Nota"/>
        <w:spacing w:after="100"/>
      </w:pPr>
      <w:r>
        <w:t xml:space="preserve">Precio: cierre del 13-oct-2026 (520,31 USD), porque la sesión del 14-oct no había cerrado al hacer el análisis. Cuentas del XBRL de la SEC comprobadas con el 10-K 2025; la deuda financiera suma la línea de crédito (que la herramienta no recogía) y los arrendamientos operativos no van a la deuda (US GAAP). Segmentos solo de 2023-2025 (resultado de 2024-2025). Comparables de salud animal del análisis de Zoetis del 7-oct llevados al 13-oct con la variación de precio; Thermo Fisher y Danaher de sus análisis del 14-oct. Consenso de una sola fuente completa (MarketScreener), contrastado con Stock Analysis. El tamaño del mercado de diagnóstico de mascotas es una estimación de la propia IDEXX.</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IDEXX Laboratories, Inc. (IDXX)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520,31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(500,61 – 769,98)</c:v>
                </c:pt>
                <c:pt idx="1">
                  <c:v>Precio objetivo de los analistas (470,00 – 805,00)</c:v>
                </c:pt>
                <c:pt idx="2">
                  <c:v>Comparables: EV/EBITDA NTM (182,50 – 283,81)</c:v>
                </c:pt>
                <c:pt idx="3">
                  <c:v>Comparables: PER NTM (212,45 – 359,38)</c:v>
                </c:pt>
                <c:pt idx="4">
                  <c:v>Transacciones precedentes (EV/ventas) (244,09 – 350,01)</c:v>
                </c:pt>
                <c:pt idx="5">
                  <c:v>DCF (WACC y g ± 0,5) (242,69 – 303,57)</c:v>
                </c:pt>
                <c:pt idx="6">
                  <c:v>Escenarios (bajista – alcista) (190,01 – 313,34)</c:v>
                </c:pt>
                <c:pt idx="7">
                  <c:v>DCF con la prima implícita del mercado (4,2 %)</c:v>
                </c:pt>
                <c:pt idx="8">
                  <c:v>Precio actual (520,31)</c:v>
                </c:pt>
              </c:strCache>
            </c:strRef>
          </c:cat>
          <c:val>
            <c:numRef>
              <c:f>Hoja1!$B$2:$B$10</c:f>
              <c:numCache>
                <c:formatCode>#,##0</c:formatCode>
                <c:ptCount val="9"/>
                <c:pt idx="0">
                  <c:v>500.61</c:v>
                </c:pt>
                <c:pt idx="1">
                  <c:v>470</c:v>
                </c:pt>
                <c:pt idx="2">
                  <c:v>182.5</c:v>
                </c:pt>
                <c:pt idx="3">
                  <c:v>212.45</c:v>
                </c:pt>
                <c:pt idx="4">
                  <c:v>244.09</c:v>
                </c:pt>
                <c:pt idx="5">
                  <c:v>242.69</c:v>
                </c:pt>
                <c:pt idx="6">
                  <c:v>190.01</c:v>
                </c:pt>
                <c:pt idx="7">
                  <c:v>301.84</c:v>
                </c:pt>
                <c:pt idx="8">
                  <c:v>517.71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(500,61 – 769,98)</c:v>
                </c:pt>
                <c:pt idx="1">
                  <c:v>Precio objetivo de los analistas (470,00 – 805,00)</c:v>
                </c:pt>
                <c:pt idx="2">
                  <c:v>Comparables: EV/EBITDA NTM (182,50 – 283,81)</c:v>
                </c:pt>
                <c:pt idx="3">
                  <c:v>Comparables: PER NTM (212,45 – 359,38)</c:v>
                </c:pt>
                <c:pt idx="4">
                  <c:v>Transacciones precedentes (EV/ventas) (244,09 – 350,01)</c:v>
                </c:pt>
                <c:pt idx="5">
                  <c:v>DCF (WACC y g ± 0,5) (242,69 – 303,57)</c:v>
                </c:pt>
                <c:pt idx="6">
                  <c:v>Escenarios (bajista – alcista) (190,01 – 313,34)</c:v>
                </c:pt>
                <c:pt idx="7">
                  <c:v>DCF con la prima implícita del mercado (4,2 %)</c:v>
                </c:pt>
                <c:pt idx="8">
                  <c:v>Precio actual (520,31)</c:v>
                </c:pt>
              </c:strCache>
            </c:strRef>
          </c:cat>
          <c:val>
            <c:numRef>
              <c:f>Hoja1!$C$2:$C$10</c:f>
              <c:numCache>
                <c:formatCode>#,##0</c:formatCode>
                <c:ptCount val="9"/>
                <c:pt idx="0">
                  <c:v>269.37</c:v>
                </c:pt>
                <c:pt idx="1">
                  <c:v>335</c:v>
                </c:pt>
                <c:pt idx="2">
                  <c:v>101.31</c:v>
                </c:pt>
                <c:pt idx="3">
                  <c:v>146.93</c:v>
                </c:pt>
                <c:pt idx="4">
                  <c:v>105.91999999999999</c:v>
                </c:pt>
                <c:pt idx="5">
                  <c:v>60.879999999999995</c:v>
                </c:pt>
                <c:pt idx="6">
                  <c:v>123.32999999999998</c:v>
                </c:pt>
                <c:pt idx="7">
                  <c:v>55.660000000000025</c:v>
                </c:pt>
                <c:pt idx="8">
                  <c:v>5.199999999999932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Companion Animal Group (CAG)</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3352.4</c:v>
                </c:pt>
                <c:pt idx="1">
                  <c:v>3574</c:v>
                </c:pt>
                <c:pt idx="2">
                  <c:v>3953.3</c:v>
                </c:pt>
              </c:numCache>
            </c:numRef>
          </c:val>
        </c:ser>
        <c:ser>
          <c:idx val="1"/>
          <c:order val="1"/>
          <c:tx>
            <c:strRef>
              <c:f>Hoja1!$C$1</c:f>
              <c:strCache>
                <c:ptCount val="1"/>
                <c:pt idx="0">
                  <c:v>Water</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168.1</c:v>
                </c:pt>
                <c:pt idx="1">
                  <c:v>185.1</c:v>
                </c:pt>
                <c:pt idx="2">
                  <c:v>201.1</c:v>
                </c:pt>
              </c:numCache>
            </c:numRef>
          </c:val>
        </c:ser>
        <c:ser>
          <c:idx val="2"/>
          <c:order val="2"/>
          <c:tx>
            <c:strRef>
              <c:f>Hoja1!$D$1</c:f>
              <c:strCache>
                <c:ptCount val="1"/>
                <c:pt idx="0">
                  <c:v>Livestock, Poultry and Dairy (LPD)</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121.7</c:v>
                </c:pt>
                <c:pt idx="1">
                  <c:v>122.1</c:v>
                </c:pt>
                <c:pt idx="2">
                  <c:v>131.8</c:v>
                </c:pt>
              </c:numCache>
            </c:numRef>
          </c:val>
        </c:ser>
        <c:ser>
          <c:idx val="3"/>
          <c:order val="3"/>
          <c:tx>
            <c:strRef>
              <c:f>Hoja1!$E$1</c:f>
              <c:strCache>
                <c:ptCount val="1"/>
                <c:pt idx="0">
                  <c:v>Otros</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18.8</c:v>
                </c:pt>
                <c:pt idx="1">
                  <c:v>16.3</c:v>
                </c:pt>
                <c:pt idx="2">
                  <c:v>17.5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Companion Animal Group (CAG)</c:v>
                </c:pt>
                <c:pt idx="1">
                  <c:v>Water</c:v>
                </c:pt>
                <c:pt idx="2">
                  <c:v>Livestock, Poultry and Dairy (LPD)</c:v>
                </c:pt>
                <c:pt idx="3">
                  <c:v>Otros</c:v>
                </c:pt>
              </c:strCache>
            </c:strRef>
          </c:cat>
          <c:val>
            <c:numRef>
              <c:f>Hoja1!$B$2:$B$5</c:f>
              <c:numCache>
                <c:formatCode>General</c:formatCode>
                <c:ptCount val="4"/>
                <c:pt idx="0">
                  <c:v>91.9</c:v>
                </c:pt>
                <c:pt idx="1">
                  <c:v>4.7</c:v>
                </c:pt>
                <c:pt idx="2">
                  <c:v>3.1</c:v>
                </c:pt>
                <c:pt idx="3">
                  <c:v>0.4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Internacional</c:v>
                </c:pt>
              </c:strCache>
            </c:strRef>
          </c:cat>
          <c:val>
            <c:numRef>
              <c:f>Hoja1!$B$2:$B$3</c:f>
              <c:numCache>
                <c:formatCode>0"%"</c:formatCode>
                <c:ptCount val="2"/>
                <c:pt idx="0">
                  <c:v>64</c:v>
                </c:pt>
                <c:pt idx="1">
                  <c:v>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2019</c:v>
                </c:pt>
                <c:pt idx="1">
                  <c:v>2025</c:v>
                </c:pt>
                <c:pt idx="2">
                  <c:v>2030e</c:v>
                </c:pt>
              </c:strCache>
            </c:strRef>
          </c:cat>
          <c:val>
            <c:numRef>
              <c:f>Hoja1!$B$2:$B$4</c:f>
              <c:numCache>
                <c:formatCode>#,##0</c:formatCode>
                <c:ptCount val="3"/>
                <c:pt idx="0">
                  <c:v>4100</c:v>
                </c:pt>
                <c:pt idx="1">
                  <c:v>6500</c:v>
                </c:pt>
                <c:pt idx="2">
                  <c:v>9800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1</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IDEXX</c:v>
                </c:pt>
                <c:pt idx="1">
                  <c:v>Antech Diagnostics (Mars Petcare, con Heska)</c:v>
                </c:pt>
                <c:pt idx="2">
                  <c:v>Zoetis (diagnóstico)</c:v>
                </c:pt>
                <c:pt idx="3">
                  <c:v>Elanco Animal Health</c:v>
                </c:pt>
                <c:pt idx="4">
                  <c:v>Thermo Fisher</c:v>
                </c:pt>
                <c:pt idx="5">
                  <c:v>Danaher</c:v>
                </c:pt>
              </c:strCache>
            </c:strRef>
          </c:cat>
          <c:val>
            <c:numRef>
              <c:f>Hoja1!$B$2:$B$7</c:f>
              <c:numCache>
                <c:formatCode>0.0"%"</c:formatCode>
                <c:ptCount val="6"/>
                <c:pt idx="0">
                  <c:v>31.4</c:v>
                </c:pt>
                <c:pt idx="3">
                  <c:v>0.3</c:v>
                </c:pt>
                <c:pt idx="4">
                  <c:v>17.4</c:v>
                </c:pt>
                <c:pt idx="5">
                  <c:v>19.1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5</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strCache>
            </c:strRef>
          </c:cat>
          <c:val>
            <c:numRef>
              <c:f>Hoja1!$B$2:$B$15</c:f>
              <c:numCache>
                <c:formatCode>#,##0</c:formatCode>
                <c:ptCount val="14"/>
                <c:pt idx="0">
                  <c:v>2406.9</c:v>
                </c:pt>
                <c:pt idx="1">
                  <c:v>2706.7</c:v>
                </c:pt>
                <c:pt idx="2">
                  <c:v>3215.4</c:v>
                </c:pt>
                <c:pt idx="3">
                  <c:v>3367.3</c:v>
                </c:pt>
                <c:pt idx="4">
                  <c:v>3661</c:v>
                </c:pt>
                <c:pt idx="5">
                  <c:v>3897.5</c:v>
                </c:pt>
                <c:pt idx="6">
                  <c:v>4303.7</c:v>
                </c:pt>
                <c:pt idx="7">
                  <c:v>4721</c:v>
                </c:pt>
                <c:pt idx="8">
                  <c:v>5146</c:v>
                </c:pt>
                <c:pt idx="9">
                  <c:v>5609</c:v>
                </c:pt>
                <c:pt idx="10">
                  <c:v>6086</c:v>
                </c:pt>
                <c:pt idx="11">
                  <c:v>6573</c:v>
                </c:pt>
                <c:pt idx="12">
                  <c:v>7033</c:v>
                </c:pt>
                <c:pt idx="13">
                  <c:v>7455</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strCache>
            </c:strRef>
          </c:cat>
          <c:val>
            <c:numRef>
              <c:f>Hoja1!$C$2:$C$15</c:f>
              <c:numCache>
                <c:formatCode>#,##0</c:formatCode>
                <c:ptCount val="14"/>
                <c:pt idx="0">
                  <c:v>640.8</c:v>
                </c:pt>
                <c:pt idx="1">
                  <c:v>790.5</c:v>
                </c:pt>
                <c:pt idx="2">
                  <c:v>1036.6</c:v>
                </c:pt>
                <c:pt idx="3">
                  <c:v>1010.7</c:v>
                </c:pt>
                <c:pt idx="4">
                  <c:v>1212</c:v>
                </c:pt>
                <c:pt idx="5">
                  <c:v>1319.7</c:v>
                </c:pt>
                <c:pt idx="6">
                  <c:v>1496.2</c:v>
                </c:pt>
                <c:pt idx="7">
                  <c:v>1690</c:v>
                </c:pt>
                <c:pt idx="8">
                  <c:v>1873</c:v>
                </c:pt>
                <c:pt idx="9">
                  <c:v>2075</c:v>
                </c:pt>
                <c:pt idx="10">
                  <c:v>2276</c:v>
                </c:pt>
                <c:pt idx="11">
                  <c:v>2478</c:v>
                </c:pt>
                <c:pt idx="12">
                  <c:v>2665</c:v>
                </c:pt>
                <c:pt idx="13">
                  <c:v>2833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56.7</c:v>
                </c:pt>
                <c:pt idx="1">
                  <c:v>58</c:v>
                </c:pt>
                <c:pt idx="2">
                  <c:v>58.8</c:v>
                </c:pt>
                <c:pt idx="3">
                  <c:v>59.5</c:v>
                </c:pt>
                <c:pt idx="4">
                  <c:v>59.8</c:v>
                </c:pt>
                <c:pt idx="5">
                  <c:v>61</c:v>
                </c:pt>
                <c:pt idx="6">
                  <c:v>61.8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26.6</c:v>
                </c:pt>
                <c:pt idx="1">
                  <c:v>29.2</c:v>
                </c:pt>
                <c:pt idx="2">
                  <c:v>32.2</c:v>
                </c:pt>
                <c:pt idx="3">
                  <c:v>30</c:v>
                </c:pt>
                <c:pt idx="4">
                  <c:v>33.1</c:v>
                </c:pt>
                <c:pt idx="5">
                  <c:v>33.9</c:v>
                </c:pt>
                <c:pt idx="6">
                  <c:v>34.8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23</c:v>
                </c:pt>
                <c:pt idx="1">
                  <c:v>25.7</c:v>
                </c:pt>
                <c:pt idx="2">
                  <c:v>29</c:v>
                </c:pt>
                <c:pt idx="3">
                  <c:v>26.7</c:v>
                </c:pt>
                <c:pt idx="4">
                  <c:v>30</c:v>
                </c:pt>
                <c:pt idx="5">
                  <c:v>30.5</c:v>
                </c:pt>
                <c:pt idx="6">
                  <c:v>31.4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17.8</c:v>
                </c:pt>
                <c:pt idx="1">
                  <c:v>21.5</c:v>
                </c:pt>
                <c:pt idx="2">
                  <c:v>23.2</c:v>
                </c:pt>
                <c:pt idx="3">
                  <c:v>20.2</c:v>
                </c:pt>
                <c:pt idx="4">
                  <c:v>23.1</c:v>
                </c:pt>
                <c:pt idx="5">
                  <c:v>22.8</c:v>
                </c:pt>
                <c:pt idx="6">
                  <c:v>24.6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6.6</c:v>
                </c:pt>
                <c:pt idx="1">
                  <c:v>5.8</c:v>
                </c:pt>
                <c:pt idx="2">
                  <c:v>3.6</c:v>
                </c:pt>
                <c:pt idx="3">
                  <c:v>10.6</c:v>
                </c:pt>
                <c:pt idx="4">
                  <c:v>13.3</c:v>
                </c:pt>
                <c:pt idx="5">
                  <c:v>14.3</c:v>
                </c:pt>
                <c:pt idx="6">
                  <c:v>14.3</c:v>
                </c:pt>
                <c:pt idx="7">
                  <c:v>9.7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7">
                  <c:v>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41</c:v>
                </c:pt>
                <c:pt idx="1">
                  <c:v>45</c:v>
                </c:pt>
                <c:pt idx="2">
                  <c:v>42</c:v>
                </c:pt>
                <c:pt idx="3">
                  <c:v>43</c:v>
                </c:pt>
                <c:pt idx="4">
                  <c:v>46</c:v>
                </c:pt>
                <c:pt idx="5">
                  <c:v>44</c:v>
                </c:pt>
                <c:pt idx="6">
                  <c:v>47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68</c:v>
                </c:pt>
                <c:pt idx="1">
                  <c:v>67</c:v>
                </c:pt>
                <c:pt idx="2">
                  <c:v>74</c:v>
                </c:pt>
                <c:pt idx="3">
                  <c:v>98</c:v>
                </c:pt>
                <c:pt idx="4">
                  <c:v>94</c:v>
                </c:pt>
                <c:pt idx="5">
                  <c:v>92</c:v>
                </c:pt>
                <c:pt idx="6">
                  <c:v>84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25</c:v>
                </c:pt>
                <c:pt idx="1">
                  <c:v>24</c:v>
                </c:pt>
                <c:pt idx="2">
                  <c:v>32</c:v>
                </c:pt>
                <c:pt idx="3">
                  <c:v>30</c:v>
                </c:pt>
                <c:pt idx="4">
                  <c:v>27</c:v>
                </c:pt>
                <c:pt idx="5">
                  <c:v>27</c:v>
                </c:pt>
                <c:pt idx="6">
                  <c:v>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304</c:v>
                </c:pt>
                <c:pt idx="1">
                  <c:v>540.5</c:v>
                </c:pt>
                <c:pt idx="2">
                  <c:v>636</c:v>
                </c:pt>
                <c:pt idx="3">
                  <c:v>384.2</c:v>
                </c:pt>
                <c:pt idx="4">
                  <c:v>758.3</c:v>
                </c:pt>
                <c:pt idx="5">
                  <c:v>783.9</c:v>
                </c:pt>
                <c:pt idx="6">
                  <c:v>1033.7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427.7</c:v>
                </c:pt>
                <c:pt idx="1">
                  <c:v>581.8</c:v>
                </c:pt>
                <c:pt idx="2">
                  <c:v>744.8</c:v>
                </c:pt>
                <c:pt idx="3">
                  <c:v>679.1</c:v>
                </c:pt>
                <c:pt idx="4">
                  <c:v>845</c:v>
                </c:pt>
                <c:pt idx="5">
                  <c:v>887.9</c:v>
                </c:pt>
                <c:pt idx="6">
                  <c:v>1059.5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42.1</c:v>
                </c:pt>
                <c:pt idx="1">
                  <c:v>54.7</c:v>
                </c:pt>
                <c:pt idx="2">
                  <c:v>58.6</c:v>
                </c:pt>
                <c:pt idx="3">
                  <c:v>47.6</c:v>
                </c:pt>
                <c:pt idx="4">
                  <c:v>50</c:v>
                </c:pt>
                <c:pt idx="5">
                  <c:v>45.8</c:v>
                </c:pt>
                <c:pt idx="6">
                  <c:v>48.6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10.6</c:v>
                </c:pt>
                <c:pt idx="1">
                  <c:v>10.6</c:v>
                </c:pt>
                <c:pt idx="2">
                  <c:v>10.6</c:v>
                </c:pt>
                <c:pt idx="3">
                  <c:v>10.6</c:v>
                </c:pt>
                <c:pt idx="4">
                  <c:v>10.6</c:v>
                </c:pt>
                <c:pt idx="5">
                  <c:v>10.6</c:v>
                </c:pt>
                <c:pt idx="6">
                  <c:v>10.6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241</c:v>
                </c:pt>
                <c:pt idx="1">
                  <c:v>143.7</c:v>
                </c:pt>
                <c:pt idx="2">
                  <c:v>112.7</c:v>
                </c:pt>
                <c:pt idx="3">
                  <c:v>104.6</c:v>
                </c:pt>
                <c:pt idx="4">
                  <c:v>80.7</c:v>
                </c:pt>
                <c:pt idx="5">
                  <c:v>57.7</c:v>
                </c:pt>
                <c:pt idx="6">
                  <c:v>66.2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1.4</c:v>
                </c:pt>
                <c:pt idx="1">
                  <c:v>0.66</c:v>
                </c:pt>
                <c:pt idx="2">
                  <c:v>0.75</c:v>
                </c:pt>
                <c:pt idx="3">
                  <c:v>0.9</c:v>
                </c:pt>
                <c:pt idx="4">
                  <c:v>0.41</c:v>
                </c:pt>
                <c:pt idx="5">
                  <c:v>0.44</c:v>
                </c:pt>
                <c:pt idx="6">
                  <c:v>0.45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75</c:v>
                </c:pt>
                <c:pt idx="1">
                  <c:v>75</c:v>
                </c:pt>
                <c:pt idx="2">
                  <c:v>250</c:v>
                </c:pt>
                <c:pt idx="3">
                  <c:v>100</c:v>
                </c:pt>
                <c:pt idx="4">
                  <c:v>348</c:v>
                </c:pt>
                <c:pt idx="5">
                  <c:v>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50.3</c:v>
                </c:pt>
                <c:pt idx="1">
                  <c:v>1.5</c:v>
                </c:pt>
                <c:pt idx="2">
                  <c:v>173.4</c:v>
                </c:pt>
                <c:pt idx="3">
                  <c:v>11.5</c:v>
                </c:pt>
                <c:pt idx="4">
                  <c:v>0</c:v>
                </c:pt>
                <c:pt idx="5">
                  <c:v>76.7</c:v>
                </c:pt>
                <c:pt idx="6">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0</c:v>
                </c:pt>
                <c:pt idx="1">
                  <c:v>0</c:v>
                </c:pt>
                <c:pt idx="2">
                  <c:v>0</c:v>
                </c:pt>
                <c:pt idx="3">
                  <c:v>0</c:v>
                </c:pt>
                <c:pt idx="4">
                  <c:v>0</c:v>
                </c:pt>
                <c:pt idx="5">
                  <c:v>0</c:v>
                </c:pt>
                <c:pt idx="6">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301.7</c:v>
                </c:pt>
                <c:pt idx="1">
                  <c:v>182.8</c:v>
                </c:pt>
                <c:pt idx="2">
                  <c:v>746.8</c:v>
                </c:pt>
                <c:pt idx="3">
                  <c:v>819.7</c:v>
                </c:pt>
                <c:pt idx="4">
                  <c:v>71.9</c:v>
                </c:pt>
                <c:pt idx="5">
                  <c:v>837</c:v>
                </c:pt>
                <c:pt idx="6">
                  <c:v>1217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The Vanguard Group</c:v>
                </c:pt>
                <c:pt idx="1">
                  <c:v>BlackRock</c:v>
                </c:pt>
                <c:pt idx="2">
                  <c:v>Consejeros y directivos</c:v>
                </c:pt>
                <c:pt idx="3">
                  <c:v>Autocartera</c:v>
                </c:pt>
              </c:strCache>
            </c:strRef>
          </c:cat>
          <c:val>
            <c:numRef>
              <c:f>Hoja1!$B$2:$B$5</c:f>
              <c:numCache>
                <c:formatCode>0.0"%"</c:formatCode>
                <c:ptCount val="4"/>
                <c:pt idx="0">
                  <c:v>12.2</c:v>
                </c:pt>
                <c:pt idx="1">
                  <c:v>9.56</c:v>
                </c:pt>
                <c:pt idx="2">
                  <c:v>0.3</c:v>
                </c:pt>
                <c:pt idx="3">
                  <c:v>26.4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60.8</c:v>
                </c:pt>
                <c:pt idx="1">
                  <c:v>33.4</c:v>
                </c:pt>
                <c:pt idx="2">
                  <c:v>19</c:v>
                </c:pt>
                <c:pt idx="3">
                  <c:v>40.4</c:v>
                </c:pt>
                <c:pt idx="4">
                  <c:v>91.4</c:v>
                </c:pt>
                <c:pt idx="5">
                  <c:v>31.7</c:v>
                </c:pt>
                <c:pt idx="6">
                  <c:v>-38</c:v>
                </c:pt>
                <c:pt idx="7">
                  <c:v>36.1</c:v>
                </c:pt>
                <c:pt idx="8">
                  <c:v>-25.5</c:v>
                </c:pt>
                <c:pt idx="9">
                  <c:v>63.6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37.1</c:v>
                </c:pt>
                <c:pt idx="1">
                  <c:v>55.5</c:v>
                </c:pt>
                <c:pt idx="2">
                  <c:v>55.8</c:v>
                </c:pt>
                <c:pt idx="3">
                  <c:v>35</c:v>
                </c:pt>
                <c:pt idx="4">
                  <c:v>38.9</c:v>
                </c:pt>
                <c:pt idx="5">
                  <c:v>26.5</c:v>
                </c:pt>
                <c:pt idx="6">
                  <c:v>37.1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37.1</c:v>
                </c:pt>
                <c:pt idx="1">
                  <c:v>37.1</c:v>
                </c:pt>
                <c:pt idx="2">
                  <c:v>37.1</c:v>
                </c:pt>
                <c:pt idx="3">
                  <c:v>37.1</c:v>
                </c:pt>
                <c:pt idx="4">
                  <c:v>37.1</c:v>
                </c:pt>
                <c:pt idx="5">
                  <c:v>37.1</c:v>
                </c:pt>
                <c:pt idx="6">
                  <c:v>37.1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IDEXX</c:v>
                </c:pt>
                <c:pt idx="1">
                  <c:v>Zoetis</c:v>
                </c:pt>
                <c:pt idx="2">
                  <c:v>Elanco Animal Health</c:v>
                </c:pt>
                <c:pt idx="3">
                  <c:v>Phibro Animal Health</c:v>
                </c:pt>
                <c:pt idx="4">
                  <c:v>Neogen</c:v>
                </c:pt>
                <c:pt idx="5">
                  <c:v>Virbac</c:v>
                </c:pt>
                <c:pt idx="6">
                  <c:v>Vetoquinol</c:v>
                </c:pt>
                <c:pt idx="7">
                  <c:v>Thermo Fisher</c:v>
                </c:pt>
                <c:pt idx="8">
                  <c:v>Danaher</c:v>
                </c:pt>
              </c:strCache>
            </c:strRef>
          </c:cat>
          <c:val>
            <c:numRef>
              <c:f>Hoja1!$B$2:$B$10</c:f>
              <c:numCache>
                <c:formatCode>0.0"x"</c:formatCode>
                <c:ptCount val="9"/>
                <c:pt idx="0">
                  <c:v>23</c:v>
                </c:pt>
                <c:pt idx="1">
                  <c:v>10.2</c:v>
                </c:pt>
                <c:pt idx="2">
                  <c:v>13.6</c:v>
                </c:pt>
                <c:pt idx="3">
                  <c:v>8.3</c:v>
                </c:pt>
                <c:pt idx="4">
                  <c:v>17.2</c:v>
                </c:pt>
                <c:pt idx="5">
                  <c:v>8.5</c:v>
                </c:pt>
                <c:pt idx="6">
                  <c:v>5.7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IDEXX</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8.4</c:v>
                </c:pt>
              </c:numCache>
            </c:numRef>
          </c:xVal>
          <c:yVal>
            <c:numRef>
              <c:f>Hoja1!$C$2</c:f>
              <c:numCache>
                <c:formatCode>0.0"x"</c:formatCode>
                <c:ptCount val="1"/>
                <c:pt idx="0">
                  <c:v>23</c:v>
                </c:pt>
              </c:numCache>
            </c:numRef>
          </c:yVal>
          <c:smooth val="0"/>
        </c:ser>
        <c:ser>
          <c:idx val="1"/>
          <c:order val="1"/>
          <c:tx>
            <c:strRef>
              <c:f>Hoja1!$A$3</c:f>
              <c:strCache>
                <c:ptCount val="1"/>
                <c:pt idx="0">
                  <c:v>Zoetis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-0.9</c:v>
                </c:pt>
              </c:numCache>
            </c:numRef>
          </c:xVal>
          <c:yVal>
            <c:numRef>
              <c:f>Hoja1!$C$3</c:f>
              <c:numCache>
                <c:formatCode>0.0"x"</c:formatCode>
                <c:ptCount val="1"/>
                <c:pt idx="0">
                  <c:v>10.2</c:v>
                </c:pt>
              </c:numCache>
            </c:numRef>
          </c:yVal>
          <c:smooth val="0"/>
        </c:ser>
        <c:ser>
          <c:idx val="2"/>
          <c:order val="2"/>
          <c:tx>
            <c:strRef>
              <c:f>Hoja1!$A$4</c:f>
              <c:strCache>
                <c:ptCount val="1"/>
                <c:pt idx="0">
                  <c:v>Elanco Animal Health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6.6</c:v>
                </c:pt>
              </c:numCache>
            </c:numRef>
          </c:xVal>
          <c:yVal>
            <c:numRef>
              <c:f>Hoja1!$C$4</c:f>
              <c:numCache>
                <c:formatCode>0.0"x"</c:formatCode>
                <c:ptCount val="1"/>
                <c:pt idx="0">
                  <c:v>13.6</c:v>
                </c:pt>
              </c:numCache>
            </c:numRef>
          </c:yVal>
          <c:smooth val="0"/>
        </c:ser>
        <c:ser>
          <c:idx val="3"/>
          <c:order val="3"/>
          <c:tx>
            <c:strRef>
              <c:f>Hoja1!$A$5</c:f>
              <c:strCache>
                <c:ptCount val="1"/>
                <c:pt idx="0">
                  <c:v>Phibro Animal Health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3.8</c:v>
                </c:pt>
              </c:numCache>
            </c:numRef>
          </c:xVal>
          <c:yVal>
            <c:numRef>
              <c:f>Hoja1!$C$5</c:f>
              <c:numCache>
                <c:formatCode>0.0"x"</c:formatCode>
                <c:ptCount val="1"/>
                <c:pt idx="0">
                  <c:v>8.3</c:v>
                </c:pt>
              </c:numCache>
            </c:numRef>
          </c:yVal>
          <c:smooth val="0"/>
        </c:ser>
        <c:ser>
          <c:idx val="4"/>
          <c:order val="4"/>
          <c:tx>
            <c:strRef>
              <c:f>Hoja1!$A$6</c:f>
              <c:strCache>
                <c:ptCount val="1"/>
                <c:pt idx="0">
                  <c:v>Neogen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0.4</c:v>
                </c:pt>
              </c:numCache>
            </c:numRef>
          </c:xVal>
          <c:yVal>
            <c:numRef>
              <c:f>Hoja1!$C$6</c:f>
              <c:numCache>
                <c:formatCode>0.0"x"</c:formatCode>
                <c:ptCount val="1"/>
                <c:pt idx="0">
                  <c:v>17.2</c:v>
                </c:pt>
              </c:numCache>
            </c:numRef>
          </c:yVal>
          <c:smooth val="0"/>
        </c:ser>
        <c:ser>
          <c:idx val="5"/>
          <c:order val="5"/>
          <c:tx>
            <c:strRef>
              <c:f>Hoja1!$A$7</c:f>
              <c:strCache>
                <c:ptCount val="1"/>
                <c:pt idx="0">
                  <c:v>Virbac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6</c:v>
                </c:pt>
              </c:numCache>
            </c:numRef>
          </c:xVal>
          <c:yVal>
            <c:numRef>
              <c:f>Hoja1!$C$7</c:f>
              <c:numCache>
                <c:formatCode>0.0"x"</c:formatCode>
                <c:ptCount val="1"/>
                <c:pt idx="0">
                  <c:v>8.5</c:v>
                </c:pt>
              </c:numCache>
            </c:numRef>
          </c:yVal>
          <c:smooth val="0"/>
        </c:ser>
        <c:ser>
          <c:idx val="6"/>
          <c:order val="6"/>
          <c:tx>
            <c:strRef>
              <c:f>Hoja1!$A$8</c:f>
              <c:strCache>
                <c:ptCount val="1"/>
                <c:pt idx="0">
                  <c:v>Vetoquinol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2.5</c:v>
                </c:pt>
              </c:numCache>
            </c:numRef>
          </c:xVal>
          <c:yVal>
            <c:numRef>
              <c:f>Hoja1!$C$8</c:f>
              <c:numCache>
                <c:formatCode>0.0"x"</c:formatCode>
                <c:ptCount val="1"/>
                <c:pt idx="0">
                  <c:v>5.7</c:v>
                </c:pt>
              </c:numCache>
            </c:numRef>
          </c:yVal>
          <c:smooth val="0"/>
        </c:ser>
        <c:axId val="10"/>
        <c:axId val="20"/>
      </c:scatterChart>
      <c:valAx>
        <c:axId val="10"/>
        <c:scaling>
          <c:orientation val="minMax"/>
          <c:max val="11"/>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Heska (diagnóstico veterinario)</c:v>
                </c:pt>
                <c:pt idx="1">
                  <c:v>Abaxis (diagnóstico veterinario)</c:v>
                </c:pt>
                <c:pt idx="2">
                  <c:v>Dechra Pharmaceuticals</c:v>
                </c:pt>
                <c:pt idx="3">
                  <c:v>Sasaeah (Japón)</c:v>
                </c:pt>
                <c:pt idx="4">
                  <c:v>Aditivos medicados de Zoetis</c:v>
                </c:pt>
                <c:pt idx="5">
                  <c:v>Covetrus</c:v>
                </c:pt>
              </c:strCache>
            </c:strRef>
          </c:cat>
          <c:val>
            <c:numRef>
              <c:f>Hoja1!$B$2:$B$7</c:f>
              <c:numCache>
                <c:formatCode>0.0"x"</c:formatCode>
                <c:ptCount val="6"/>
                <c:pt idx="2">
                  <c:v>25.9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1139</c:v>
                </c:pt>
                <c:pt idx="1">
                  <c:v>1213</c:v>
                </c:pt>
                <c:pt idx="2">
                  <c:v>1348</c:v>
                </c:pt>
                <c:pt idx="3">
                  <c:v>1487</c:v>
                </c:pt>
                <c:pt idx="4">
                  <c:v>1627</c:v>
                </c:pt>
                <c:pt idx="5">
                  <c:v>1763</c:v>
                </c:pt>
                <c:pt idx="6">
                  <c:v>1887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6914</c:v>
                </c:pt>
                <c:pt idx="1">
                  <c:v>4600</c:v>
                </c:pt>
                <c:pt idx="2">
                  <c:v>10554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520,31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190.01</c:v>
                </c:pt>
                <c:pt idx="1">
                  <c:v>269.23</c:v>
                </c:pt>
                <c:pt idx="2">
                  <c:v>313.34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520,31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(500,61 – 769,98)</c:v>
                </c:pt>
                <c:pt idx="1">
                  <c:v>Precio objetivo de los analistas (470,00 – 805,00)</c:v>
                </c:pt>
                <c:pt idx="2">
                  <c:v>Comparables: EV/EBITDA NTM (182,50 – 283,81)</c:v>
                </c:pt>
                <c:pt idx="3">
                  <c:v>Comparables: PER NTM (212,45 – 359,38)</c:v>
                </c:pt>
                <c:pt idx="4">
                  <c:v>Transacciones precedentes (EV/ventas) (244,09 – 350,01)</c:v>
                </c:pt>
                <c:pt idx="5">
                  <c:v>DCF (WACC y g ± 0,5) (242,69 – 303,57)</c:v>
                </c:pt>
                <c:pt idx="6">
                  <c:v>Escenarios (bajista – alcista) (190,01 – 313,34)</c:v>
                </c:pt>
                <c:pt idx="7">
                  <c:v>DCF con la prima implícita del mercado (4,2 %)</c:v>
                </c:pt>
                <c:pt idx="8">
                  <c:v>Precio actual (520,31)</c:v>
                </c:pt>
              </c:strCache>
            </c:strRef>
          </c:cat>
          <c:val>
            <c:numRef>
              <c:f>Hoja1!$B$2:$B$10</c:f>
              <c:numCache>
                <c:formatCode>#,##0</c:formatCode>
                <c:ptCount val="9"/>
                <c:pt idx="0">
                  <c:v>500.61</c:v>
                </c:pt>
                <c:pt idx="1">
                  <c:v>470</c:v>
                </c:pt>
                <c:pt idx="2">
                  <c:v>182.5</c:v>
                </c:pt>
                <c:pt idx="3">
                  <c:v>212.45</c:v>
                </c:pt>
                <c:pt idx="4">
                  <c:v>244.09</c:v>
                </c:pt>
                <c:pt idx="5">
                  <c:v>242.69</c:v>
                </c:pt>
                <c:pt idx="6">
                  <c:v>190.01</c:v>
                </c:pt>
                <c:pt idx="7">
                  <c:v>301.84</c:v>
                </c:pt>
                <c:pt idx="8">
                  <c:v>517.71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(500,61 – 769,98)</c:v>
                </c:pt>
                <c:pt idx="1">
                  <c:v>Precio objetivo de los analistas (470,00 – 805,00)</c:v>
                </c:pt>
                <c:pt idx="2">
                  <c:v>Comparables: EV/EBITDA NTM (182,50 – 283,81)</c:v>
                </c:pt>
                <c:pt idx="3">
                  <c:v>Comparables: PER NTM (212,45 – 359,38)</c:v>
                </c:pt>
                <c:pt idx="4">
                  <c:v>Transacciones precedentes (EV/ventas) (244,09 – 350,01)</c:v>
                </c:pt>
                <c:pt idx="5">
                  <c:v>DCF (WACC y g ± 0,5) (242,69 – 303,57)</c:v>
                </c:pt>
                <c:pt idx="6">
                  <c:v>Escenarios (bajista – alcista) (190,01 – 313,34)</c:v>
                </c:pt>
                <c:pt idx="7">
                  <c:v>DCF con la prima implícita del mercado (4,2 %)</c:v>
                </c:pt>
                <c:pt idx="8">
                  <c:v>Precio actual (520,31)</c:v>
                </c:pt>
              </c:strCache>
            </c:strRef>
          </c:cat>
          <c:val>
            <c:numRef>
              <c:f>Hoja1!$C$2:$C$10</c:f>
              <c:numCache>
                <c:formatCode>#,##0</c:formatCode>
                <c:ptCount val="9"/>
                <c:pt idx="0">
                  <c:v>269.37</c:v>
                </c:pt>
                <c:pt idx="1">
                  <c:v>335</c:v>
                </c:pt>
                <c:pt idx="2">
                  <c:v>101.31</c:v>
                </c:pt>
                <c:pt idx="3">
                  <c:v>146.93</c:v>
                </c:pt>
                <c:pt idx="4">
                  <c:v>105.91999999999999</c:v>
                </c:pt>
                <c:pt idx="5">
                  <c:v>60.879999999999995</c:v>
                </c:pt>
                <c:pt idx="6">
                  <c:v>123.32999999999998</c:v>
                </c:pt>
                <c:pt idx="7">
                  <c:v>55.660000000000025</c:v>
                </c:pt>
                <c:pt idx="8">
                  <c:v>5.199999999999932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