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Baycurrent, Inc.</w:t>
      </w:r>
    </w:p>
    <w:p>
      <w:pPr>
        <w:spacing w:after="60"/>
        <w:rPr>
          <w:color w:val="52514E"/>
          <w:sz w:val="22"/>
          <w:szCs w:val="22"/>
        </w:rPr>
      </w:pPr>
      <w:r>
        <w:rPr>
          <w:color w:val="52514E"/>
          <w:sz w:val="22"/>
          <w:szCs w:val="22"/>
        </w:rPr>
        <w:t xml:space="preserve">6532.T · Bolsa de Tokio (Prime) · ISIN n.d. · Servicios profesionales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10.740,00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11.463,30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+7,8 % (base +22,8 %)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8.256,99 JPY · mercado 9.956,32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1.578.565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Baycurrent,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6532.T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profesionales / Consultoría de gestión y tecnología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Tokio · 1998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https://www.baycurrent.co.jp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10.740,00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3.780,00 – 10.740,00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1.578.565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1.539.489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9565 M JPY/día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11.463,30 JPY</w:t>
      </w:r>
      <w:r>
        <w:t xml:space="preserve"> frente a 10.740,00 · Rentabilidad a 12 meses </w:t>
      </w:r>
      <w:r>
        <w:rPr>
          <w:b/>
          <w:bCs/>
        </w:rPr>
        <w:t xml:space="preserve">+7,8 % (base +22,8 %)</w:t>
      </w:r>
      <w:r>
        <w:t xml:space="preserve"> · Valor intrínseco 8.256,99 JPY · con la prima implícita del mercado: 9.956,32 (-7,3 %) · Alcista / bajista +3,8 % / -54,5 %</w:t>
      </w:r>
    </w:p>
    <w:p>
      <w:pPr>
        <w:spacing w:after="100"/>
      </w:pPr>
      <w:r>
        <w:rPr>
          <w:b/>
        </w:rPr>
        <w:t xml:space="preserve">La recomendación y por qué.</w:t>
      </w:r>
      <w:r>
        <w:t xml:space="preserve"> Mantener, con convicción baja. El objetivo a 12 meses es de 11.463 JPY (nuestro BPA de FY2028e × el PER de la regla común, ponderado 25/50/25): +7,8 % con el dividendo y +22,8 % en el caso base, frente a un precio de 10.740 JPY (cierre del 19-oct-2026 en Tokio). La ponderada no llega al 15 % que pide un Comprar y el valor intrínseco (8.257 JPY) queda un 23,1 % por debajo del precio. La razón: BayCurrent es un negocio excelente (ROIC del 81 %, sin deuda, crecimiento del 28 % anual), pero el precio ha subido un 184 % desde el mínimo de febrero y ya descuenta buena parte del plan de 2030; si la IA reduce las horas que compran los clientes, el bajista pierde la mitad. La convicción es baja porque las reglas discrepan (Vender con nuestro WACC, Mantener con la prima del mercado) y porque el riesgo de la IA es difícil de medir.</w:t>
      </w:r>
    </w:p>
    <w:p>
      <w:pPr>
        <w:spacing w:after="100"/>
      </w:pPr>
      <w:r>
        <w:rPr>
          <w:b/>
        </w:rPr>
        <w:t xml:space="preserve">El negocio.</w:t>
      </w:r>
      <w:r>
        <w:t xml:space="preserve"> Consultora japonesa para grandes empresas y administraciones: estrategia, IA, ciberseguridad y defensa [5]. Vende horas de 6.339 consultores en un único «pool», con ocupación del 80-90 % y un margen EBITDA del ≈ 35 % [4]. Ningún cliente pesa más del 10 % [5]. Calidad «Sí»: ROIC del 81,1 % frente a un WACC del 9,4 %. Sostenibilidad del crecimiento «Sí»: proyectamos un 15,4 % anual, la mitad del histórico, sin necesidad de capital.</w:t>
      </w:r>
    </w:p>
    <w:p>
      <w:pPr>
        <w:spacing w:after="100"/>
      </w:pPr>
      <w:r>
        <w:rPr>
          <w:b/>
        </w:rPr>
        <w:t xml:space="preserve">Finanzas.</w:t>
      </w:r>
      <w:r>
        <w:t xml:space="preserve"> Ingresos de 148.332 M JPY en FY2025 (+27,8 %) y de 92.913 M en el primer semestre de FY2026 (+35,7 %); BPA de 249,16 JPY en FY2025 y guía de 323,79 para FY2026, que la empresa dice que superará [1, 3]. Caja neta de ≈ 48.600 M a agosto de 2026 tras una recompra de 30.000 M [3]. El flujo libre fue de 32.893 M en FY2025, el 22 % de las ventas [1].</w:t>
      </w:r>
    </w:p>
    <w:p>
      <w:pPr>
        <w:spacing w:after="100"/>
      </w:pPr>
      <w:r>
        <w:rPr>
          <w:b/>
        </w:rPr>
        <w:t xml:space="preserve">Equipo y gobierno.</w:t>
      </w:r>
      <w:r>
        <w:t xml:space="preserve"> Yoshiyuki Abe (consejero delegado desde 2016) y su equipo han cumplido la guía inicial en cuatro de cinco años [1]. Debilidades: la sucesión falló en 2025, Abe preside el consejo y la comisión de nombramientos, y el fundador ha vendido la mitad de su participación en un año [18, 20].</w:t>
      </w:r>
    </w:p>
    <w:p>
      <w:pPr>
        <w:spacing w:after="100"/>
      </w:pPr>
      <w:r>
        <w:rPr>
          <w:b/>
        </w:rPr>
        <w:t xml:space="preserve">Valoración.</w:t>
      </w:r>
      <w:r>
        <w:t xml:space="preserve"> El DCF da 8.840 JPY (−17,7 %) y el DCF inverso descuenta un 17,1 % de crecimiento anual frente al 13,0 % de nuestro base (o un margen del 44,5 %). Con la prima del mercado el DCF vale 10.784 JPY: precio justo, sin margen. La regla a 12 meses lleva el PER de 28,6 a 27,0 veces en el base y a 13,8 en el bajista (el de febrero de 2026).</w:t>
      </w:r>
    </w:p>
    <w:p>
      <w:pPr>
        <w:spacing w:after="100"/>
      </w:pPr>
      <w:r>
        <w:rPr>
          <w:b/>
        </w:rPr>
        <w:t xml:space="preserve">Riesgos y catalizadores.</w:t>
      </w:r>
      <w:r>
        <w:t xml:space="preserve"> El riesgo central es la IA: que los clientes compren menos horas o paguen por resultado (bajista −51 % a 12 meses). Después, el múltiplo, la contratación de ≈ 2.000 consultores al año, las primeras compras del plan nuevo y las ventas del fundador. Catalizador: resultados de los nueve meses a mediados de enero de 2027. Sentimiento eufórico tras el stop-high del 16-oct.</w:t>
      </w:r>
    </w:p>
    <w:p>
      <w:pPr>
        <w:spacing w:after="100"/>
      </w:pPr>
      <w:r>
        <w:rPr>
          <w:b/>
        </w:rPr>
        <w:t xml:space="preserve">Qué cambiaría la decisión.</w:t>
      </w:r>
      <w:r>
        <w:t xml:space="preserve"> Comprar si el precio baja hasta el valor intrínseco (≈ 8.250 JPY) con el negocio intacto; vender por encima de ≈ 12.900 JPY. Un ingreso por consultor por debajo del +3 % o la ocupación bajo el 80 % empeorarían la tesis; una guía de FY2027 por encima del +25 % con margen estable la mejoraría.</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11.463,30 JPY</w:t>
      </w:r>
      <w:r>
        <w:t xml:space="preserve"> (rentabilidad +7,8 % (base +22,8 %)) · Valor intrínseco: 8.256,99 JPY (-23,1 % sobre 10.740,00) · con la prima implícita del mercado: 9.956,32 (-7,3 %)</w:t>
      </w:r>
    </w:p>
    <w:p>
      <w:pPr>
        <w:spacing w:after="100"/>
      </w:pPr>
      <w:r>
        <w:t xml:space="preserve">BayCurrent es la consultora japonesa que más crece: ingresos +28 % anual desde 2020 sin una sola compra, margen EBITDA del 35 %, ROIC del 81 % y caja neta [1]. Su modelo de un único «pool» de consultores generalistas, asignados a grandes clientes, mantiene la ocupación alta y la deja ganar cuota en un mercado de ≈ 2 billones de JPY que crece un 10 % al año [2].</w:t>
      </w:r>
    </w:p>
    <w:p>
      <w:pPr>
        <w:spacing w:after="100"/>
      </w:pPr>
      <w:r>
        <w:t xml:space="preserve">El precio ya descuenta mucho: 28,6 veces el BPA de los próximos 12 meses tras subir un 184 % desde febrero, y el DCF inverso pide un 17 % de crecimiento anual durante siete años. En ocho meses el mercado ha pasado de temer que la IA destruya el negocio (13,8 veces) a pagarle casi el plan de 2030.</w:t>
      </w:r>
    </w:p>
    <w:p>
      <w:pPr>
        <w:spacing w:after="100"/>
      </w:pPr>
      <w:r>
        <w:t xml:space="preserve">El mercado acierta en que el negocio es excelente y en que la IA hoy le da trabajo, pero el modelo sigue siendo vender horas de personas. Con la regla común, el caso base gana un 23 %, pero el bajista pierde la mitad y la ponderada se queda en un 8 %: no hay margen para el riesgo central.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11.463,30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372,26 = 5.137,19 · 27,0x × 484,15 = 13.072,05 · 27,0x × 539,70 = 14.571,90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 22,8 %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9.341,54 (nuestro base +39,9 %)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8.256,99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 / -54,5 %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9,4 %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9.956,32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 frente a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(15,4 %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8.256,99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8.256,99 y 12.864,78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12.864,78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 8.250 JPY (valor intrínseco) con el negocio intacto: Comprar.</w:t>
      </w:r>
    </w:p>
    <w:p>
      <w:pPr>
        <w:pStyle w:val="ListParagraph"/>
        <w:numPr>
          <w:ilvl w:val="0"/>
          <w:numId w:val="2"/>
        </w:numPr>
        <w:spacing w:after="60"/>
      </w:pPr>
      <w:r>
        <w:t xml:space="preserve">Precio por encima de ≈ 12.900 JPY: Vender.</w:t>
      </w:r>
    </w:p>
    <w:p>
      <w:pPr>
        <w:pStyle w:val="ListParagraph"/>
        <w:numPr>
          <w:ilvl w:val="0"/>
          <w:numId w:val="2"/>
        </w:numPr>
        <w:spacing w:after="60"/>
      </w:pPr>
      <w:r>
        <w:t xml:space="preserve">Ingreso por consultor por debajo del +3 % u ocupación bajo el 80 %: rebajar.</w:t>
      </w:r>
    </w:p>
    <w:p>
      <w:pPr>
        <w:pStyle w:val="ListParagraph"/>
        <w:numPr>
          <w:ilvl w:val="0"/>
          <w:numId w:val="2"/>
        </w:numPr>
        <w:spacing w:after="60"/>
      </w:pPr>
      <w:r>
        <w:t xml:space="preserve">Guía de FY2027 por encima del +25 % con margen estable y sin compras caras: revisar al alza.</w:t>
      </w:r>
    </w:p>
    <w:p>
      <w:pPr>
        <w:pStyle w:val="ListParagraph"/>
        <w:numPr>
          <w:ilvl w:val="0"/>
          <w:numId w:val="2"/>
        </w:numPr>
        <w:spacing w:after="60"/>
      </w:pPr>
      <w:r>
        <w:t xml:space="preserve">Una compra grande en el extranjero a múltiplos altos: rebajar.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BayCurrent cumple en gran parte el plan de 2030 (≈ 25 % anual de crecimiento y margen hacia el 40 %) y que el miedo a la IA de febrero fue exagerado; los analistas suben objetivos tras el semestre.</w:t>
      </w:r>
    </w:p>
    <w:p>
      <w:pPr>
        <w:keepNext/>
        <w:spacing w:after="100"/>
      </w:pPr>
      <w:r>
        <w:rPr>
          <w:b/>
          <w:bCs/>
        </w:rPr>
        <w:t xml:space="preserve">Lo que creemos nosotros.</w:t>
      </w:r>
    </w:p>
    <w:p>
      <w:pPr>
        <w:spacing w:after="100"/>
      </w:pPr>
      <w:r>
        <w:t xml:space="preserve">Coincidimos en el BPA de los dos próximos años (325,57 y 404,20 JPY frente a 326,07 y 408,81) y en que el negocio es excelente; discrepamos en el riesgo: la IA puede reducir las horas que se facturan antes de 2030, y el precio no deja margen para ello.</w:t>
      </w:r>
    </w:p>
    <w:p>
      <w:pPr>
        <w:keepNext/>
        <w:spacing w:after="100"/>
      </w:pPr>
      <w:r>
        <w:rPr>
          <w:b/>
          <w:bCs/>
        </w:rPr>
        <w:t xml:space="preserve">Por qué podemos tener razón.</w:t>
      </w:r>
    </w:p>
    <w:p>
      <w:pPr>
        <w:spacing w:after="100"/>
      </w:pPr>
      <w:r>
        <w:t xml:space="preserve">El ingreso por consultor solo sube un 6 % al año: el crecimiento depende de contratar. Si la IA hace que un equipo de cinco consultores pase a tres, el volumen cae aunque la demanda de proyectos crezca. La caída del 57 % de 2025-2026 muestra cuánto puede pagar menos el mercado.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10.74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orgánico</w:t>
      </w:r>
      <w:r>
        <w:t xml:space="preserve">: ingresos +28 % anual desde 2020 y +35,7 % en el 1S FY2026, sin compras.</w:t>
      </w:r>
    </w:p>
    <w:p>
      <w:pPr>
        <w:pStyle w:val="ListParagraph"/>
        <w:numPr>
          <w:ilvl w:val="0"/>
          <w:numId w:val="2"/>
        </w:numPr>
        <w:spacing w:after="60"/>
      </w:pPr>
      <w:r>
        <w:rPr>
          <w:b/>
        </w:rPr>
        <w:t xml:space="preserve">Rentabilidad</w:t>
      </w:r>
      <w:r>
        <w:t xml:space="preserve">: ROIC del 81 %, margen EBITDA del 35 % y caja neta.</w:t>
      </w:r>
    </w:p>
    <w:p>
      <w:pPr>
        <w:pStyle w:val="ListParagraph"/>
        <w:numPr>
          <w:ilvl w:val="0"/>
          <w:numId w:val="2"/>
        </w:numPr>
        <w:spacing w:after="60"/>
      </w:pPr>
      <w:r>
        <w:rPr>
          <w:b/>
        </w:rPr>
        <w:t xml:space="preserve">Guía fiable</w:t>
      </w:r>
      <w:r>
        <w:t xml:space="preserve">: cumplida en cuatro de cinco años; la de FY2026 se superará.</w:t>
      </w:r>
    </w:p>
    <w:p>
      <w:pPr>
        <w:pStyle w:val="ListParagraph"/>
        <w:numPr>
          <w:ilvl w:val="0"/>
          <w:numId w:val="2"/>
        </w:numPr>
        <w:spacing w:after="60"/>
      </w:pPr>
      <w:r>
        <w:rPr>
          <w:b/>
        </w:rPr>
        <w:t xml:space="preserve">La IA hoy da trabajo</w:t>
      </w:r>
      <w:r>
        <w:t xml:space="preserve">: 50-60 % de los ingresos; ciberseguridad y defensa crecen.</w:t>
      </w:r>
    </w:p>
    <w:p>
      <w:pPr>
        <w:pStyle w:val="ListParagraph"/>
        <w:numPr>
          <w:ilvl w:val="0"/>
          <w:numId w:val="2"/>
        </w:numPr>
        <w:spacing w:after="60"/>
      </w:pPr>
      <w:r>
        <w:rPr>
          <w:b/>
        </w:rPr>
        <w:t xml:space="preserve">Clientes diversificados</w:t>
      </w:r>
      <w:r>
        <w:t xml:space="preserve">: ninguno supera el 10 % de los ingresos.</w:t>
      </w:r>
    </w:p>
    <w:p>
      <w:pPr>
        <w:pStyle w:val="Heading2"/>
      </w:pPr>
      <w:r>
        <w:t xml:space="preserve">En contra</w:t>
      </w:r>
    </w:p>
    <w:p>
      <w:pPr>
        <w:pStyle w:val="ListParagraph"/>
        <w:numPr>
          <w:ilvl w:val="0"/>
          <w:numId w:val="2"/>
        </w:numPr>
        <w:spacing w:after="60"/>
      </w:pPr>
      <w:r>
        <w:rPr>
          <w:b/>
        </w:rPr>
        <w:t xml:space="preserve">Riesgo de la IA</w:t>
      </w:r>
      <w:r>
        <w:t xml:space="preserve">: vende horas de consultores; el bajista pierde la mitad.</w:t>
      </w:r>
    </w:p>
    <w:p>
      <w:pPr>
        <w:pStyle w:val="ListParagraph"/>
        <w:numPr>
          <w:ilvl w:val="0"/>
          <w:numId w:val="2"/>
        </w:numPr>
        <w:spacing w:after="60"/>
      </w:pPr>
      <w:r>
        <w:rPr>
          <w:b/>
        </w:rPr>
        <w:t xml:space="preserve">Precio</w:t>
      </w:r>
      <w:r>
        <w:t xml:space="preserve">: 28,6 veces el BPA de los próximos 12 meses, +184 % desde febrero, avisos P1 y P2.</w:t>
      </w:r>
    </w:p>
    <w:p>
      <w:pPr>
        <w:pStyle w:val="ListParagraph"/>
        <w:numPr>
          <w:ilvl w:val="0"/>
          <w:numId w:val="2"/>
        </w:numPr>
        <w:spacing w:after="60"/>
      </w:pPr>
      <w:r>
        <w:rPr>
          <w:b/>
        </w:rPr>
        <w:t xml:space="preserve">Valor real</w:t>
      </w:r>
      <w:r>
        <w:t xml:space="preserve">: el valor intrínseco (8.257 JPY) queda un 23 % bajo el precio.</w:t>
      </w:r>
    </w:p>
    <w:p>
      <w:pPr>
        <w:pStyle w:val="ListParagraph"/>
        <w:numPr>
          <w:ilvl w:val="0"/>
          <w:numId w:val="2"/>
        </w:numPr>
        <w:spacing w:after="60"/>
      </w:pPr>
      <w:r>
        <w:rPr>
          <w:b/>
        </w:rPr>
        <w:t xml:space="preserve">Contratación</w:t>
      </w:r>
      <w:r>
        <w:t xml:space="preserve">: ≈ 2.000 consultores al año con costes un 30 % sobre el plan.</w:t>
      </w:r>
    </w:p>
    <w:p>
      <w:pPr>
        <w:pStyle w:val="ListParagraph"/>
        <w:numPr>
          <w:ilvl w:val="0"/>
          <w:numId w:val="2"/>
        </w:numPr>
        <w:spacing w:after="60"/>
      </w:pPr>
      <w:r>
        <w:rPr>
          <w:b/>
        </w:rPr>
        <w:t xml:space="preserve">Gobierno</w:t>
      </w:r>
      <w:r>
        <w:t xml:space="preserve">: sucesión fallida en 2025 y ventas del fundador.</w:t>
      </w:r>
    </w:p>
    <w:p>
      <w:pPr>
        <w:pStyle w:val="Heading2"/>
      </w:pPr>
      <w:r>
        <w:t xml:space="preserve">Qué tiene que pasar para que la tesis funcione</w:t>
      </w:r>
    </w:p>
    <w:p>
      <w:pPr>
        <w:spacing w:after="100"/>
      </w:pPr>
      <w:r>
        <w:t xml:space="preserve">La tesis depende de que la IA siga creando proyectos sin reducir el tamaño de los equipos ni el precio por consultor. La señal en contra sería un ingreso por consultor creciendo menos del 3 %, la ocupación bajo el 80 % o los proyectos creciendo menos que los consultores en los resultados de enero o abril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consultor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(1S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de la hora frente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del 80-90 %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exceso de plantilla.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Proyectos frente a consultores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 frente a +30,9 %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Proyectos &lt; consultores − 10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equipos se encogen, el volumen no llega.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6.339 (ago-26)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7.000 en el 3T</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 (1S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de contratación y precio.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37,8x / 28,3x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(FY2020-FY2025)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BayCurrent nace en marzo de 1998 en Fujisawa (Kanagawa) como PC Works, una pequeña empresa de consultoría de gestión y TI, sistemas y externalización; en 2006 toma el nombre de Baycurrent Consulting [5]. En 2014 sus directivos la compran al fundador con el apoyo de un fondo (MBO a través de Byron Holdings, que la absorbe); de ahí viene el fondo de comercio de 19.187 M JPY [5]. Sale a bolsa en la Mothers de Tokio en septiembre de 2016, pasa a la primera sección en 2018 y a Prime en 2022 [5]. Con Yoshiyuki Abe al frente desde 2016, deja la parte de sistemas y se convierte en consultora generalista para grandes empresas, con un único «pool» de consultores: los ingresos pasan de ≈ 20.000 M JPY a 148.332 M en FY2025 [1]. En 2024 se traslada a Azabudai y pasa a holding [5]. En 2025 falla la sucesión del consejero delegado [18]; en febrero de 2026 la acción cae a la mitad por el miedo a la IA y en octubre presenta un plan para llegar a 500.000 M de ingresos en 2030 [10,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PC Works en Fujisawa (consultoría de gestión y TI, sistemas, externalización).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Baycurrent Consulting.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por los directivos con un fondo (Byron Holdings); fondo de comercio de 19.187 M JPY.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Mothers de Tokio; Yoshiyuki Abe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sección (2018) y mercado Prime (2022); split 10:1 en noviembre de 2022.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Sede en Azabudai y paso a holding (Baycurrent, Inc.)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Daisuke Kitakaze consejero delegado en mayo; dimite por salud en noviembre y vuelve Abe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«Sacudida Anthropic» (−57 % desde octubre de 2025); recompra de 30.000 M; plan a 2030 de 500.000 M de ingresos [10, 12,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BayCurrent es una consultora japonesa que asesora a grandes empresas y administraciones en estrategia, transformación digital e IA, ciberseguridad, defensa y operaciones [5]. Tiene 6.339 consultores (agosto de 2026) en un único «pool»: los consultores no se dividen por sector ni por servicio, sino que se asignan a cada proyecto, lo que mantiene la ocupación alta [4]. Vende casi todo en Japón y no tiene segmentos [5].</w:t>
      </w:r>
    </w:p>
    <w:p>
      <w:pPr>
        <w:pStyle w:val="Heading2"/>
      </w:pPr>
      <w:r>
        <w:t xml:space="preserve">Cómo gana dinero</w:t>
      </w:r>
    </w:p>
    <w:p>
      <w:pPr>
        <w:spacing w:after="100"/>
      </w:pPr>
      <w:r>
        <w:t xml:space="preserve">Cobra por consultor y mes de trabajo en proyectos para grandes empresas japonesas: ingresos = consultores × ocupación (80-90 %) × precio por consultor [4]. Crece contratando consultores (≈ 30 % al año) y subiendo el precio por consultor (+5-7 % al año) [4]. El margen EBITDA del 35 % viene de la alta ocupación, de tarifas altas para proyectos de dirección general y de no tener oficinas en el extranjero ni compras [2]. El riesgo del modelo es que vende horas de personas: la IA puede reducir las horas que el cliente necesita [15].</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Consultoría (segmento único)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Consultoría (segmento único)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(nota de segmentos del yuho), y la empresa no publica el peso de sus mayores clientes [5]. Su estrategia es de «clientes clave» (core clients): las empresas líderes de cada sector con las que amplía contratos; no da cuántos son ni qué parte de las ventas suman [2, 14]. Clientes: grandes empresas japonesas de finanzas, industria, telecomunicaciones, energía y la administración (Ministerio de Defensa) [4]. Poder de precios: el ingreso por consultor sube un 5-7 % al año, por mezcla de proyectos más caros y subidas de tarifa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5.590 (feb-26)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6.339 (ago-26)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7.000-7.200 en el 3T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Proyectos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 (1S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 +25-28 %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consultor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(1S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 +5-7 %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del 80-90 %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del 80-90 %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80-90 %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DX/IA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50-60 %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Respuesta de la dirección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6.768 (feb-26)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8.115 (ago-26)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8.500 previstos en el 3T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la consultoría de gestión y de tecnología para grandes empresas y administraciones en Japón (estrategia, transformación digital e IA, operaciones, ciberseguridad), sin la externalización de sistemas ni el desarrollo de software a medida. Es donde BayCurrent hace prácticamente el 100 % de sus ventas [5]. Tamaño ≈ 2 billones de JPY según la estimación de la empresa con datos de IDC Japan, con ≈ 70.000 consultores, frente a ≈ 30 billones y 1 millón de consultores en EE. UU.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2.000.000 M JPY (≈ 2 billones) en 2024, estimación de la empresa con IDC Japan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JPY (estimación de la empresa con IDC Japan: ≈ 2 billones en 2024 y TCAC ≈ 10 % hasta 2029; años intermedios interpolados por el analis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transformación digital e IA de las grandes empresas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en DX de ≈ 14,4 billones de JPY en Japón frente a 133 en EE. UU.; en IA, 144.000 M frente a 17,4 billones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Falta de personal técnico en las empresas japonesas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cita como razón para externalizar en consultoras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que hacen el trabajo de analistas y consultores junior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«sacudida Anthropic» de febrero de 2026 hundió a las consultoras japonesas: casi la mitad de su valor desde agosto de 2025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Ciberseguridad, defensa, energía y semiconductores (política 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ciberseguridad ≈ 2 billones de JPY con TCAC ≈ 10 % hasta 2030 y consultoría de seguridad +20 %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inversión empresarial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proyectos de consultoría se recortan antes que otros gastos en una recesión; BayCurrent creció en 2020 (+31 %)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Accenture, las Big 4 (Deloitte, PwC, EY, KPMG), NRI, Abeam y consultoras nuevas compiten por los mismos consultores y clientes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empresas con departamentos de compras, pero ningún cliente pesa más del 10 %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es el consultor: salarios altos y crecientes, costes de contratación un 30 % por encima del plan en 2026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 baja en capital, alta en marca, relaciones con la alta dirección y capacidad de contratar 1.500 consultores al año.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y los agentes sustituyen parte del trabajo de análisis, documentación y programación; también los equipos internos de las empresas [15].</w:t>
            </w:r>
          </w:p>
        </w:tc>
      </w:tr>
    </w:tbl>
    <w:p>
      <w:pPr>
        <w:spacing w:after="160" w:before="0"/>
      </w:pPr>
    </w:p>
    <w:p>
      <w:pPr>
        <w:pStyle w:val="Heading2"/>
      </w:pPr>
      <w:r>
        <w:t xml:space="preserve">Ciclo</w:t>
      </w:r>
    </w:p>
    <w:p>
      <w:pPr>
        <w:spacing w:after="100"/>
      </w:pPr>
      <w:r>
        <w:t xml:space="preserve">La demanda de consultoría en Japón crece por la transformación digital y la IA, la ciberseguridad y la defensa; BayCurrent crece un 36 % en 2026 [4]. Una recesión cortaría primero los proyectos discrecionales, pero el negocio creció incluso en 2020.</w:t>
      </w:r>
    </w:p>
    <w:p>
      <w:pPr>
        <w:pStyle w:val="Heading2"/>
      </w:pPr>
      <w:r>
        <w:t xml:space="preserve">Regulación</w:t>
      </w:r>
    </w:p>
    <w:p>
      <w:pPr>
        <w:spacing w:after="100"/>
      </w:pPr>
      <w:r>
        <w:t xml:space="preserve">Sin regulación sectorial específica. Le afectan la ley laboral japonesa (horas extra, contratos), la protección de datos y las reglas de contratación pública para los proyectos de defensa y administración [5].</w:t>
      </w:r>
    </w:p>
    <w:p>
      <w:pPr>
        <w:pStyle w:val="Heading2"/>
      </w:pPr>
      <w:r>
        <w:t xml:space="preserve">Tendencias y disrupción</w:t>
      </w:r>
    </w:p>
    <w:p>
      <w:pPr>
        <w:spacing w:after="100"/>
      </w:pPr>
      <w:r>
        <w:t xml:space="preserve">Tres tendencias: 1) la IA pasa de pruebas a transformación de toda la empresa, que necesita consultores durante 3-5 años según BayCurrent [13]; 2) la IA abarata y acelera el trabajo de consultoría y presiona el modelo de cobrar por horas: los clientes pueden pedir menos consultores o precio por resultado; el mercado lo vio así en febrero de 2026 [15]; 3) nuevas áreas por política nacional (ciberseguridad, defensa, energía, semiconductores)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Entre las mayores consultoras japonesas independientes; ≈ 7 % del mercado de consultoría de Japón con ingresos de 148.332 M JPY en FY2025 frente a ≈ 2 billones (estimación propia con la cifra de mercado de la empresa) [2,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 riesgo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Research Institute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829.393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Consultoría y sobre todo sistemas; la consultoría es una parte pequeña de sus ventas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 (Japón)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consultora de Japón por personal; cifras de Japón no publicadas.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Deloitte, PwC, EY y KPMG (consultoría en Japón)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Privadas; compiten por los mismos consultores.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Sigmaxyz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6088.T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Consultora independiente cotizada, mucho más pequeña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4722.T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Consultoría de TI y desarrollo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Rise Consulting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9168.T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Consultora pequeña con el mismo modelo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largos con equipos que conocen al cliente; pero los contratos son por meses y se pueden cambiar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reconocida en Japón y relación con la alta dirección de grandes empresas; patrocinio del «Baycurrent Classic» del PGA Tour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«one pool» (consultores generalistas sin divisiones por sector) con ocupación del 80-90 % y margen EBITDA del 35 %, muy por encima de las rivales cotizadas (8-15 %)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fragmentado con grandes rivales mundiales.</w:t>
            </w:r>
          </w:p>
        </w:tc>
      </w:tr>
    </w:tbl>
    <w:p>
      <w:pPr>
        <w:spacing w:after="160" w:before="0"/>
      </w:pPr>
    </w:p>
    <w:p>
      <w:pPr>
        <w:pStyle w:val="Heading2"/>
      </w:pPr>
      <w:r>
        <w:t xml:space="preserve">Amenazas</w:t>
      </w:r>
    </w:p>
    <w:p>
      <w:pPr>
        <w:spacing w:after="100"/>
      </w:pPr>
      <w:r>
        <w:t xml:space="preserve">La mayor amenaza es la IA: si los clientes hacen con agentes de IA parte del trabajo que hoy pagan por consultor y mes, o exigen cobrar por resultado, el número de consultores facturables o su precio bajan [15]. Segundo, el mercado laboral: BayCurrent crece contratando ≈ 1.500-2.000 consultores al año y los costes de contratación subieron ≈ 30 % sobre el plan en 2026 [13]. Tercero, las grandes rivales (Accenture, Big 4) y las nuevas consultoras de 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FY2020-FY2025: ingresos </w:t>
      </w:r>
      <w:r>
        <w:rPr>
          <w:b/>
          <w:bCs/>
        </w:rPr>
        <w:t xml:space="preserve">28,2 %</w:t>
      </w:r>
      <w:r>
        <w:t xml:space="preserve">, EBITDA </w:t>
      </w:r>
      <w:r>
        <w:rPr>
          <w:b/>
          <w:bCs/>
        </w:rPr>
        <w:t xml:space="preserve">29,7 %</w:t>
      </w:r>
      <w:r>
        <w:t xml:space="preserve">, BPA </w:t>
      </w:r>
      <w:r>
        <w:rPr>
          <w:b/>
          <w:bCs/>
        </w:rPr>
        <w:t xml:space="preserve">30,7 %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42.873 M JPY en FY2020 a 148.332 M en FY2025 (TCAC del 28,2 %) sin ninguna compra: todo es crecimiento orgánico por más consultores y más precio por consultor [1, 7]. El resultado operativo subió de 13.551 M a 50.931 M (TCAC del 30,3 %), con un margen del 31,6 % al 34,3 % [1, 7]. En FY2025 el margen operativo bajó 2,4 puntos (del 36,7 % al 34,3 %) porque los gastos generales casi se duplicaron (de 19.845 M a 33.069 M: contratación masiva de comerciales, publicidad y la nueva sede) [1, 2]. En el primer semestre de FY2026 (mar-ago 2026) los ingresos crecieron un 35,7 % (92.913 M) y el resultado operativo un 28,5 % (29.892 M), con un margen del 32,2 % [3]. No hay partidas no recurrentes relevantes en el EBITDA. El EBITDA que publica la empresa (52.125 M en FY2025, 35,1 %) no incluye la amortización de los derechos de uso de oficinas (≈ 2.000 M); el del informe sí la incluye (53.456 M).</w:t>
      </w:r>
    </w:p>
    <w:p>
      <w:pPr>
        <w:pStyle w:val="Heading2"/>
      </w:pPr>
      <w:r>
        <w:t xml:space="preserve">Ajustes y partidas no recurrentes</w:t>
      </w:r>
    </w:p>
    <w:p>
      <w:pPr>
        <w:spacing w:after="100"/>
      </w:pPr>
      <w:r>
        <w:t xml:space="preserve">Sin ajustes: la empresa no publica beneficio «ajustado»; el BPA es el NIIF básico (el diluido es igual: no hay opciones relevantes). Split 10:1 el 1-nov-2022: todos los BPA y DPA están ya divididos por 10 [7]. El EBITDA de la empresa = resultado operativo + amortización sin derechos de uso ± otros ajustes NIIF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primer semestre de FY2026 (15-oct-2026): ingresos de 92.913 M JPY (+35,7 %), EBITDA de la empresa de 30.726 M (33,1 %) y beneficio de 22.209 M (+28,9 %) [3, 4]. La dirección confirmó la guía anual (190.000 M de ingresos, 66.500 M de EBITDA, BPA de 323,79 JPY) y dijo que la superará en ingresos y beneficio: el semestre lleva el 48,9 % de los ingresos y el 46,2 % del EBITDA anual, frente al 46,4 % y el 44,4 % de media histórica [4]. KPI: proyectos +25,5 %, ingresos por consultor +6,6 %, 6.339 consultores (+30,9 %) y ocupación en la parte media del 80-90 % [4]. Para el 3T espera 7.000-7.200 consultores y proyectos +25-28 % [4]. La IA es ya el 50-60 % de los ingresos; ciberseguridad y defensa ≈ 10 %, con un objetivo del 20 % en FY2027 [13]. A la pregunta repetida de los analistas sobre si la IA reduce la demanda de consultores, la dirección respondió que las grandes empresas japonesas están en una fase temprana de adopción y que la demanda de transformación crecerá 3-5 años; no dio cifras de precio por hora ni de ocupación por proyecto de IA [13]. Los costes de contratación del semestre fueron ≈ 30 % superiores al plan [13]. El mismo día presentó el plan a 2030 (500.000 M de ingresos y 40 % de margen EBITDA) y un cambio de política de caja [10, 11]. En el 1T (julio) el discurso era el mismo, con menos ambición: no había plan nuevo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(FY2024: Holding desde el 1-sep-2024: Baycurrent Consulting, Inc. pasa a llamarse Baycurrent, Inc. y la consultoría y la tecnología operan en dos filiales nuevas; sin cambio de perímetro económico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sin deuda y con caja neta: 72.308 M JPY de caja en febrero de 2026 frente a 262 M de préstamos y 6.313 M de arrendamientos [1]. El fondo de comercio (19.187 M, el 12 % del activo) viene de la compra de la consultora por sus directivos con un fondo (MBO) en 2014 y no se ha deteriorado nunca [5]. El circulante es sobre todo cuentas a cobrar (36.610 M en febrero, 90 días de ventas del 4T, que es el trimestre fuerte) frente a gastos devengados y otros pasivos corrientes (20.146 M) [1]. El patrimonio pasó de 117.038 M en febrero a 102.304 M en agosto de 2026 por la recompra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FY2020-FY2025: FCF </w:t>
      </w:r>
      <w:r>
        <w:rPr>
          <w:b/>
          <w:bCs/>
        </w:rPr>
        <w:t xml:space="preserve">128.990</w:t>
      </w:r>
      <w:r>
        <w:t xml:space="preserve">, conversión </w:t>
      </w:r>
      <w:r>
        <w:rPr>
          <w:b/>
          <w:bCs/>
        </w:rPr>
        <w:t xml:space="preserve">91 %</w:t>
      </w:r>
      <w:r>
        <w:t xml:space="preserve"> del beneficio neto; adquisiciones 0, dividendos 36.761, recompras 12.924.</w:t>
      </w:r>
    </w:p>
    <w:p>
      <w:pPr>
        <w:spacing w:after="100"/>
      </w:pPr>
      <w:r>
        <w:t xml:space="preserve">La conversión de beneficio en caja es alta: flujo operativo de 37.616 M JPY en FY2025 frente a un beneficio de 37.840 M, con un 1,8 % de las ventas en inversión (2.645 M, oficinas) y 2.078 M de pagos de arrendamientos [1]. El flujo libre (operativo − inversión − arrendamientos) fue de 32.893 M en FY2025 (22,2 % de las ventas) [1]. En FY2025 el circulante restó ≈ 9.000 M por el salto de las cuentas a cobrar (de 22.699 M a 36.610 M), más que los ingresos [1]. En el primer semestre de FY2026: flujo operativo de 22.195 M, inversión de 585 M, arrendamientos de 1.171 M; la caja se fue en la recompra (30.031 M) y el dividendo (7.591 M)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Taiyo LLC (太陽有限責任監査法人)</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el ejercicio a feb-2026, también sobre el control interno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un solo segmento (consultoría), ingresos casi todos en Japón y reconocidos por horas o por avance, sin compras, sin deuda y sin ajustes al beneficio [5]. La caja sigue al beneficio. Dos puntos a vigilar: las cuentas a cobrar subieron un 61 % en FY2025 con ingresos +27,8 % (efecto del 4T y de clientes más grandes con plazos más largos) y volvieron a 32.967 M en agosto; y la amortización de derechos de uso se ha duplicado con las oficinas nuevas, lo que separa el EBITDA de la empresa del real [1, 3]. El auditor, Taiyo, es una firma mediana, no una de las cuatro grandes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 cobrar creciendo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+61 % en FY2025 frente a ingresos +27,8 %; 32.967 M en agosto de 2026 (normalizado en parte)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de la empresa sin derechos de uso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EBITDA publicado excluye ≈ 2.000 M de amortización de oficinas alquiladas; el informe usa el resultado operativo + toda la amortización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mediano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Taiyo LLC, sin salvedades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de la compra apalancada de 2014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19.187 M sin deterioro; el 12 % del activo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46.618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19.187 M en FY2025 (el 41 % del capital invertido medio); ha subido más de un 5 % en 0 de 5 años: sin compras. ROIC publicado 81,1 %; sin fondo de comercio, 137,8 %. Sin compras relevantes: el publicado ya es el ROIC del negocio.</w:t>
      </w:r>
    </w:p>
    <w:p>
      <w:pPr>
        <w:spacing w:after="100"/>
      </w:pPr>
      <w:r>
        <w:rPr>
          <w:b/>
          <w:bCs/>
        </w:rPr>
        <w:t xml:space="preserve">ROIC incremental</w:t>
      </w:r>
      <w:r>
        <w:t xml:space="preserve"> (variación del NOPAT sobre variación del capital invertido en el periodo): 107,0 % · </w:t>
      </w:r>
      <w:r>
        <w:rPr>
          <w:b/>
          <w:bCs/>
        </w:rPr>
        <w:t xml:space="preserve">WACC</w:t>
      </w:r>
      <w:r>
        <w:t xml:space="preserve">: 9,4 %.</w:t>
      </w:r>
    </w:p>
    <w:p>
      <w:pPr>
        <w:spacing w:after="100"/>
      </w:pPr>
      <w:r>
        <w:t xml:space="preserve">Rentabilidad excepcional: ROIC del 81,1 % en FY2025 (137,8 % sin el fondo de comercio de la compra de 2014) frente a un WACC del 9,4 %, más de 70 puntos por encima. Lo explica el modelo: la empresa vende horas de consultores, no necesita fábricas ni inventarios, invierte ≈ 2 % de las ventas en oficinas y el circulante es el 11 % de las ventas [1]. La tendencia es estable en el 77-96 % desde FY2021: el capital invertido crece al ritmo del negocio (sobre todo cuentas a cobrar) y el margen se mantiene en el 34-37 %. El ROE (35,8 %) es menor que el ROIC por la caja ociosa (72.308 M en febrero); el plan de octubre quiere llevarlo al ≈ 80 % en 2030 bajando la caja al 25 % de las ventas [11]. El riesgo para esta rentabilidad no es el capital sino el precio de la hora: si la IA reduce las horas o el precio por consultor, el margen cae y el ROIC con él.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-48.630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54.483 M JPY a 31-ago-2026, más 3.020 M de depósitos a plazo a corto y 6.335 M de otros activos financieros no corrientes (fianzas de oficinas y préstamos); sin deuda bancaria tras devolver los últimos 262 M en el semestre [3]. La caja bajó desde 72.308 M en febrero por la recompra de 30.000 M (mar-jul 2026) y el dividendo [3, 12]. Nueva política: mantener una caja ≈ 25 % de los ingresos previstos (antes ≈ 40 %) y usar el exceso en crecimiento y recompras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crediticia pública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(NIIF 16) de 8.873 M JPY a 31-ago-2026 (3.201 a corto y 5.672 a largo), casi todo oficinas; subieron por las nuevas plantas alquiladas para la plantilla que crece un 30 % al año [3]. Provisiones de 1.387 M (restauración de oficinas). Impuestos a pagar de 8.716 M [3].</w:t>
      </w:r>
    </w:p>
    <w:p>
      <w:pPr>
        <w:pStyle w:val="Heading1"/>
      </w:pPr>
      <w:r>
        <w:t xml:space="preserve">12. Asignación de capital</w:t>
      </w:r>
    </w:p>
    <w:p>
      <w:pPr>
        <w:pStyle w:val="Confianza"/>
        <w:spacing w:after="100"/>
      </w:pPr>
      <w:r>
        <w:t xml:space="preserve">Confianza: Alta</w:t>
      </w:r>
    </w:p>
    <w:p>
      <w:pPr>
        <w:spacing w:after="100"/>
      </w:pPr>
      <w:r>
        <w:t xml:space="preserve">Hasta octubre de 2026: dividendo con un payout ≈ 40 %, recompras y caja ≈ 40 % de los ingresos [6]. Desde el 15-oct-2026: caja ≈ 25 % de los ingresos previstos; el exceso va a crecimiento (fusiones y compras, empresas conjuntas con clientes, extranjero) y a recompras flexibles; payout del 40 % [11]. DPA de FY2026 guiado en 130 JPY (65 + 65) [3]. Recompra de mar-jul 2026: 5.184.200 acciones por 30.000 M (≈ 5.787 JPY de media), amortizadas el 19-ago-2026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Asignación de capital disciplinada hasta hoy: crecimiento sin compras, dividendo creciente (de 17 JPY en FY2020 a 100 en FY2025) y recompras (≈ 43.000 M desde 2021, 30.000 M solo en 2026 a ≈ 5.787 JPY, la mitad del precio de hoy) [1, 12]. El riesgo nuevo es el plan de octubre de 2026: abre la puerta a compras, empresas conjuntas y expansión al extranjero, que la empresa nunca ha hecho, y el propio plan estima la capitalización de 2030 con un PER de 30-40 veces [10, 11]. Las acciones en circulación bajaron de 153,0 M (FY2020) a 146,98 M (agosto de 2026).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Yoshiyuki Abe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2016 a mayo de 2025, presidente del consejo de mayo a noviembre de 2025 y de nuevo consejero delegado desde el 19-nov-2025, tras la dimisión de su sucesor por salud [18, 23]. Con él los ingresos pasaron de ≈ 20.000 M JPY a 148.332 M.</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Kentaro Ikehira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parte comercial y de consultores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Kosuke Nakamura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desde antes de la salida a bolsa (2016) [5].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51.000 M JPY; resultado operativo 16.000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57.642; 21.518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71.100 M; resultado operativo 26.000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76.090; 29.916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94.600 M; resultado operativo 35.500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93.909; 34.219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115.000 M; resultado operativo 41.100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116.056; 42.615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143.000 M; EBITDA 52.000 M; beneficio 37.300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148.332; 52.125; 37.840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250.000 M en FY2028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espera alcanzarlo en FY2027, un año antes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fundador de la etapa cotizada (Abe, Ikehira y Nakamura, desde 2016) que ha cumplido la guía inicial en cuatro de cinco años; solo falló por poco en FY2023, el año en que bajó la ocupación [1]. La sucesión falló: Daisuke Kitakaze fue consejero delegado de mayo a noviembre de 2025 y dimitió por salud; Abe volvió al cargo [18, 23]. Los tres directivos tienen ≈ 1,8 % de la empresa entre los tres [5].</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Yoshiyuki Abe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Kentaro Ikehira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Kosuke Nakamura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Toshimune Koji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(abogado)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Shintaro Sato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(abogado)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Yoshitaka Okuyama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(ex Nomura)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Yuichiro Kasuya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(contable)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Fujimoto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(asesor fiscal)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Yoshie Midorikawa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 (abogada)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el ejercicio a feb-2026, también sobre el control interno [5]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(fiduciario)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de fondos japoneses (feb-26)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(fiduciario)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(feb-26)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Arata Eguchi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15,56 M de acciones (feb-25) a 8,06 M (feb-26): vendió casi la mitad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participación de octubre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UFJ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7-sep-2026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Daiwa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4-sep-2026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23-jul-2026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8,21 % (informe del 18-jun-2026)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ejecutivos (Abe, Ikehira, Nakamura)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relevantes conocidos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Arata Eguchi (fundador, no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Arata Eguchi (fundador, no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6.000.000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consejo ejecutivo cobró 1.339 M JPY en FY2025, 401 M en acciones restringidas [5]. Abe cobró 321 M JPY: 40 M de fijo, 175 M de variable ligado al EBITDA del año y 106 M en acciones restringidas; Ikehira 439 M y Nakamura 430 M, más que el consejero delegado [5]. El variable premia el EBITDA, no el rendimiento sobre el capital ni el precio de la acción. Ratio frente al salario medio del holding (13,31 M JPY): ≈ 24 veces [5]. En Japón no hay voto consultivo de la remuneración. La comisión de nombramientos y retribuciones la forman Abe y dos externos [17].</w:t>
      </w:r>
    </w:p>
    <w:p>
      <w:pPr>
        <w:pStyle w:val="Heading2"/>
      </w:pPr>
      <w:r>
        <w:t xml:space="preserve">Operaciones vinculadas, estructura de control y defensas</w:t>
      </w:r>
    </w:p>
    <w:p>
      <w:pPr>
        <w:spacing w:after="100"/>
      </w:pPr>
      <w:r>
        <w:t xml:space="preserve">Sin accionista de control: el fundador Arata Eguchi tiene el 5,31 % y vende; el resto son fiduciarios y gestoras [5, 20]. Una acción, un voto. Sociedad con comisión de auditoría y supervisión (監査等委員会設置会社): nueve consejeros, seis externos [17]. El consejero delegado preside el consejo y la comisión de nombramientos [17]. Sin medidas antiopa conocidas.</w:t>
      </w:r>
    </w:p>
    <w:p>
      <w:pPr>
        <w:pStyle w:val="Heading2"/>
      </w:pPr>
      <w:r>
        <w:t xml:space="preserve">Señales de alerta</w:t>
      </w:r>
    </w:p>
    <w:p>
      <w:pPr>
        <w:pStyle w:val="ListParagraph"/>
        <w:numPr>
          <w:ilvl w:val="0"/>
          <w:numId w:val="2"/>
        </w:numPr>
        <w:spacing w:after="60"/>
      </w:pPr>
      <w:r>
        <w:t xml:space="preserve">El fundador vendió ≈ 7,5 M de acciones entre febrero de 2025 y febrero de 2026 (del 10,2 % al 5,3 %); le quedan 8,06 M, un posible lastre de oferta [5, 20].</w:t>
      </w:r>
    </w:p>
    <w:p>
      <w:pPr>
        <w:pStyle w:val="ListParagraph"/>
        <w:numPr>
          <w:ilvl w:val="0"/>
          <w:numId w:val="2"/>
        </w:numPr>
        <w:spacing w:after="60"/>
      </w:pPr>
      <w:r>
        <w:t xml:space="preserve">Sucesión fallida: el consejero delegado nombrado en mayo de 2025 dimitió en noviembre por salud y volvió Abe [18].</w:t>
      </w:r>
    </w:p>
    <w:p>
      <w:pPr>
        <w:pStyle w:val="ListParagraph"/>
        <w:numPr>
          <w:ilvl w:val="0"/>
          <w:numId w:val="2"/>
        </w:numPr>
        <w:spacing w:after="60"/>
      </w:pPr>
      <w:r>
        <w:t xml:space="preserve">El plan de 2030 estima la capitalización futura (≈ 5 billones de JPY con un PER de 30-40 veces): un objetivo de precio de la propia empresa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FY2026 (mar-2026 a feb-2027), dada el 14-abr-2026 y confirmada el 15-oct-2026: ingresos de 190.000 M JPY (+28,1 %), EBITDA de 66.500 M (35,0 %), resultado operativo de 64.800 M, beneficio de 48.100 M y BPA de 323,79 JPY; DPA de 130 JPY (65 + 65). La dirección dice que la superará en ingresos y beneficio [3]. Plan a 2030 (15-oct-2026): 500.000 M de ingresos y 200.000 M de EBITDA (40 %) en FY2030, BPA ≈ 1.000 JPY; a 2035, 1 billón de ingresos y margen del 45 %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14 analistas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242.407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14 analistas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242.407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9.342,00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8.000,00 – 11.200,00</w:t>
            </w:r>
          </w:p>
        </w:tc>
      </w:tr>
    </w:tbl>
    <w:p>
      <w:pPr>
        <w:spacing w:after="160" w:before="0"/>
      </w:pPr>
    </w:p>
    <w:p>
      <w:pPr>
        <w:pStyle w:val="Heading2"/>
      </w:pPr>
      <w:r>
        <w:t xml:space="preserve">Revisiones de estimaciones</w:t>
      </w:r>
    </w:p>
    <w:p>
      <w:pPr>
        <w:spacing w:after="100"/>
      </w:pPr>
      <w:r>
        <w:t xml:space="preserve">El BPA de FY2026 del consenso subió de 288,24 JPY hace 90 días a 326,07 hoy y el de FY2027 de 403,9 a 408,81 [25]. Los objetivos de precio suben tras los resultados: un gran broker japonés subió el suyo a 11.200 JPY el 19-oct [26]; el objetivo medio de Yahoo es de 9342 JPY con 13 analistas, por debajo del precio [25]. En Minkabu el objetivo medio era de ≈ 7.200 JPY en junio y ≈ 7.800 en julio [29]. Sin consenso gratuito de FY2028.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Acción muy volátil: +164 % desde el mínimo de febrero de 2026 (3.780 JPY) y −57,5 % entre octubre de 2025 y febrero de 2026 [24]. La rentabilidad total ha sido del +60,1 % en el año y del +18,7 % anual a cinco años, frente al +17,8 % del TOPIX [24]. La beta mensual a cinco años frente al ETF del TOPIX sale negativa (−0,13) porque el ETF tiene cierres anómalos; la semanal a cinco años es 0,77 [24]. Volatilidad del 57 % en el último año. Liquidez alta: ≈ 9.565 M JPY negociados al día [24].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+46,4 % / +60,0 % / +124,0 % / +26,0 %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+184,1 %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fondos de cobertura desde el otoño de 2025 y, en febrero de 2026, la «sacudida Anthropic»: las herramientas de agentes de IA (Claude Cowork) hicieron temer que la IA sustituya horas de consultor; caídas del −8 al −14 % en un día (29-ene, 4-feb, 12-feb, 24-feb) [15,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23-abr con el sector, tras la guía anual (+28 %) del 14-abr [3,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con resultados del 1T por encima del plan, la recompra de 30.000 M (mar-jul) y la entrada de gestoras (Capital, Daiwa, MUFG) [12,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1S (+35,7 % de ingresos) y plan a 2030 del 15-oct: stop-high el 16-oct (+1.500 JPY, +17,3 %) y +5,4 % el 19-oct con subidas de objetivos; antes, servicio de respuesta a ciberincidentes (8-oct) y rebote del sector [10,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gran broker japonés sube el objetivo de 7.500 a 11.200 JPY; el objetivo medio de 13 analistas en Yahoo (9.342) queda por debajo del precio [25,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ingresos +35,7 %, beneficio +28,9 %; guía confirmada con la dirección esperando superarla; plan a 2030 (500.000 M de ingresos) y caja objetivo del 25 % de los ingresos [3,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Informes de participaciones significativas: MUFG 5,36 % (7-sep), Daiwa AM 5,27 % (4-sep), Capital 5,06 % (23-jul); Fidelity bajó del 8,21 % al 3,62 % (18-jun)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recompra de 30.000 M JPY (5.184.200 acciones a ≈ 5.787 JPY) y amortización el 19-ago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Arata Eguchi tiene 8,06 M de acciones (5,31 %) frente a 15,56 M un año antes: vendió ≈ 7,5 M en 12 meses; puede seguir vendiendo (≈ 87.000 M JPY al precio de hoy, ≈ 9 sesiones de volumen)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«Sacudida Anthropic»: las consultoras japonesas caen casi a la mitad desde agosto de 2025 por el miedo a que la IA sustituya consultores; BayCurrent toca 3.780 JPY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Dimisión por salud del consejero delegado Daisuke Kitakaze, seis meses después de su nombramiento; vuelve Yoshiyuki Abe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2027-01-14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los nueve meses hacia mediados de enero de 2027 (el año pasado, 14-ene)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Saltan dos avisos: P1 (subida fuerte: +39 % en un mes al cierre del 16-oct y ≈ +46 % con el del 19-oct) y P2 (en máximos tras subir un 52 % en tres meses) [24]. La subida tiene causa en hechos de la empresa —un semestre que bate la guía y un plan nuevo— y en la vuelta del sector tras el miedo a la IA de febrero, no en una operación corporativa ni en un rumor [3, 10, 15]. No hay colocaciones, ampliaciones ni litigios con fecha. Las ventas del fundador (5,31 % restante) son un lastre de oferta posible pero sin fecha ni anuncio. Los próximos resultados (mediados de enero) están a casi tres meses. Veredicto: no cambia; los avisos P1 y P2 se tratan con la volatilidad del precio en el escenario bajista, no como causa de espera.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ejercicio (último día de febrero) de Yahoo [24]. En base adelantada (cierre ÷ BPA real del año siguiente), BayCurrent cotizó a 21 veces en febrero de 2021, 32 en 2022 y 2023, 17 en 2024, 25,5 en 2025 y ≈ 13-14 en febrero de 2026, el mínimo de la «sacudida Anthropic». Hoy, a ≈ 29 veces el BPA de los próximos 12 meses, está en la parte alta de su historia: el mercado ha pasado en ocho meses de descontar que la IA destruye el negocio a pagar el crecimiento de 2021-2022.</w:t>
      </w:r>
    </w:p>
    <w:p>
      <w:pPr>
        <w:pStyle w:val="Heading1"/>
      </w:pPr>
      <w:r>
        <w:t xml:space="preserve">18. Comparables cotizados</w:t>
      </w:r>
    </w:p>
    <w:p>
      <w:pPr>
        <w:pStyle w:val="Confianza"/>
        <w:spacing w:after="100"/>
      </w:pPr>
      <w:r>
        <w:t xml:space="preserve">Confianza: Media</w:t>
      </w:r>
    </w:p>
    <w:p>
      <w:pPr>
        <w:spacing w:after="100"/>
      </w:pPr>
      <w:r>
        <w:t xml:space="preserve">Consultoras y servicios de TI japoneses cotizados (NRI, Sigmaxyz, Rise, Future, SHIFT, ULS, Alpha Systems) y las grandes consultoras cotizadas del mundo (Accenture, Capgemini, Booz Allen) [25]. Ninguna es igual: las japonesas son más pequeñas o con más sistemas y menos margen; las extranjeras crecen un 3-6 %. No se incluyen las Big 4 ni Abeam, que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BayCurrent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1.578.565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Research Institute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3.313.558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Sigmaxyz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Rise Consulting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Future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22.830.410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3.633.488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Booz Allen Hamilton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1.402.246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9,4x / 10,2x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4.179,91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 12,3x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172.783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1,5x / 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2.052,70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2.681,62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-80,9 %</w:t>
            </w:r>
          </w:p>
        </w:tc>
      </w:tr>
    </w:tbl>
    <w:p>
      <w:pPr>
        <w:spacing w:after="160" w:before="0"/>
      </w:pPr>
    </w:p>
    <w:p>
      <w:pPr>
        <w:spacing w:after="100"/>
      </w:pPr>
      <w:r>
        <w:t xml:space="preserve">BayCurrent cotiza a ≈ 29 veces el BPA de los próximos 12 meses frente a una mediana de comparables de 12,3 veces [25]. La prima se explica por el crecimiento (≈ 25 % frente al 3-10 % de los demás) y el margen EBITDA (≈ 35 % frente al 10-25 %). Accenture cotiza a ≈ 15 veces con crecimiento del 5 %: el mercado mundial ya descuenta que la IA presiona a las consultoras grandes. NRI, el comparable japonés más líquido, cotiza a ≈ 25 veces.</w:t>
      </w:r>
    </w:p>
    <w:p>
      <w:pPr>
        <w:pStyle w:val="Heading1"/>
      </w:pPr>
      <w:r>
        <w:t xml:space="preserve">19. Transacciones precedentes</w:t>
      </w:r>
    </w:p>
    <w:p>
      <w:pPr>
        <w:pStyle w:val="Confianza"/>
        <w:spacing w:after="100"/>
      </w:pPr>
      <w:r>
        <w:t xml:space="preserve">Confianza: Baja</w:t>
      </w:r>
    </w:p>
    <w:p>
      <w:pPr>
        <w:spacing w:after="160" w:before="0"/>
      </w:pPr>
    </w:p>
    <w:p>
      <w:pPr>
        <w:spacing w:after="160" w:before="0"/>
      </w:pPr>
    </w:p>
    <w:p>
      <w:pPr>
        <w:spacing w:after="100"/>
      </w:pPr>
      <w:r>
        <w:t xml:space="preserve">No hay compras de consultoras comparables con múltiplos publicados en los últimos años en Japón: las operaciones (Mamezo por EQT, consultoras compradas por NTT Data o Accenture) no publican EBITDA. BayCurrent, con ≈ 1,6 billones de JPY de capitalización y sin accionista de control, no es objetivo realista de compra.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(+32,1 %, fijo): 196.000 M JPY, con un primer semestre de 92.913 M (+35,7 %) y un segundo de ≈ 103.100 M (+29 %), por encima de la guía de 190.000 M que la empresa dice que superará [3, 4] y del consenso (194.233 [25]). Después, +22 % en FY2027e (consenso +24,8 %), +18 % en FY2028e y descenso hasta el 6 % en FY2033e: los ingresos llegarían a ≈ 458.000 M en FY2033e, frente a los 500.000 M que el plan de la empresa quiere en FY2030 [10]. Proyectamos menos que el plan porque crecer al 27 % anual cuatro años más exige contratar ≈ 2.000 consultores al año con costes de contratación ya un 30 % sobre lo previsto [13], y porque la IA puede reducir las horas que compran los clientes.</w:t>
      </w:r>
    </w:p>
    <w:p>
      <w:pPr>
        <w:keepNext/>
        <w:spacing w:after="100"/>
      </w:pPr>
      <w:r>
        <w:rPr>
          <w:b/>
          <w:bCs/>
        </w:rPr>
        <w:t xml:space="preserve">Márgenes.</w:t>
      </w:r>
    </w:p>
    <w:p>
      <w:pPr>
        <w:spacing w:after="100"/>
      </w:pPr>
      <w:r>
        <w:t xml:space="preserve">Margen EBITDA del informe (resultado operativo + toda la amortización): 35,2 % en FY2026e, calibrado con el resultado operativo del semestre (32,2 %) y el segundo semestre habitual (34-35 %) [3]. Sube despacio hasta el 37 % en FY2030e por la mezcla (proyectos de dirección general y de IA más caros) y la escala de los gastos generales, que en FY2025 crecieron un 67 % por la contratación de comerciales [1]. El plan de la empresa apunta al 40 % (sin derechos de uso) en FY2030 [10]: no lo damos por hecho.</w:t>
      </w:r>
    </w:p>
    <w:p>
      <w:pPr>
        <w:keepNext/>
        <w:spacing w:after="100"/>
      </w:pPr>
      <w:r>
        <w:rPr>
          <w:b/>
          <w:bCs/>
        </w:rPr>
        <w:t xml:space="preserve">Inversión y circulante.</w:t>
      </w:r>
    </w:p>
    <w:p>
      <w:pPr>
        <w:spacing w:after="100"/>
      </w:pPr>
      <w:r>
        <w:t xml:space="preserve">Inversión del 2,1 % de las ventas: ≈ 0,8 % en oficinas y equipos más ≈ 1,3 % de altas de derechos de uso de oficinas nuevas, porque los alquileres futuros de la plantilla que crece no están en el puente (que solo resta los 8.873 M de arrendamientos firmados) [3]. Amortización del 2,1 % (2,2 % en el 1S FY2026). Circulante del 11 % de las ventas (11,5 % en FY2025): crecer consume caja por las cuentas a cobrar. Sin compras.</w:t>
      </w:r>
    </w:p>
    <w:p>
      <w:pPr>
        <w:keepNext/>
        <w:spacing w:after="100"/>
      </w:pPr>
      <w:r>
        <w:rPr>
          <w:b/>
          <w:bCs/>
        </w:rPr>
        <w:t xml:space="preserve">Coste del capital.</w:t>
      </w:r>
    </w:p>
    <w:p>
      <w:pPr>
        <w:spacing w:after="100"/>
      </w:pPr>
      <w:r>
        <w:t xml:space="preserve">Tasa libre del 2,958 % (bono japonés a 10 años del 16-oct-2026 [27]); beta de 1,0 (la semanal a cinco años frente al TOPIX es 0,77 y la mensual no sirve por datos rotos del ETF [24]); prima de mercado del 5,5 % y 1 punto de prima adicional por el riesgo de que la IA reduzca las horas facturables. Sin deuda (peso del 1 %: arrendamientos). WACC del 9,37 %. Con la prima implícita del mercado (4,2 % [28]) el WACC baja al 8,09 % y el DCF sube a 10.784 JPY.</w:t>
      </w:r>
    </w:p>
    <w:p>
      <w:pPr>
        <w:keepNext/>
        <w:spacing w:after="100"/>
      </w:pPr>
      <w:r>
        <w:rPr>
          <w:b/>
          <w:bCs/>
        </w:rPr>
        <w:t xml:space="preserve">Valor terminal.</w:t>
      </w:r>
    </w:p>
    <w:p>
      <w:pPr>
        <w:spacing w:after="100"/>
      </w:pPr>
      <w:r>
        <w:t xml:space="preserve">Crecimiento a perpetuidad del 2,0 %, por debajo de la tasa libre japonesa menos medio punto (2,46 %). Equivale a 9,4 veces el EBITDA de salida, muy por debajo de las 25 veces de hoy: el DCF supone que en 2034 BayCurrent será una consultora madura. El valor terminal pesa un 65 %.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62.307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1.595.082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3.047.136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435.459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824.706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1.260.165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1.299.241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8.839,58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10.909,67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11.654,72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9.277,23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9.783,54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9.054,44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8.425,59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8.737,32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9.157,34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9.002,71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9.437,03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9.268,10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9.716,73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9.533,48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9.996,42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9.798,87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10.276,12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33.240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(reinvierte el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89,5 % (histórico: 107,0 %)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 frente al 15,4 %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(hoy: 7,4 %)</w:t>
            </w:r>
          </w:p>
        </w:tc>
      </w:tr>
    </w:tbl>
    <w:p>
      <w:pPr>
        <w:spacing w:after="160" w:before="0"/>
      </w:pPr>
    </w:p>
    <w:p>
      <w:pPr>
        <w:spacing w:after="100"/>
      </w:pPr>
      <w:r>
        <w:t xml:space="preserve">La proyección apenas necesita inversión neta de la amortización (reinversión acumulada de 33.240 M, el 5 % del NOPAT, con un capex bruto medio del 2,1 % de las ventas). En un negocio de activos ligeros, el crecimiento medio del 15,4 % tiene que salir de subir precios y de ganar volumen sin capital nuevo, y la prueba es el poder de precios y la cuota (10,6 % del mercado en FY2033e, frente al 7,4 %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Consultores medios +26 % (6.339 en agosto, 7.000-7.200 previstos en el 3T [4]), ingreso por consultor +6 % (+6,6 % en el 1S) y ocupación estable en la parte media del 80-90 %.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Consultores +17 % (≈ 1.300 netos) y precio +5 %; el consenso espera +24,8 %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Consultores +14 % y precio +4 %: el plan anterior ya daba 250.000 M en FY2028 y la empresa cree llegar en FY2027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Consultores +11 % y precio +4 %.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Consultores +9 % y precio +3 %: ≈ 363.000 M de ingresos, un 27 % menos que los 500.000 M del plan [10].</w:t>
            </w:r>
          </w:p>
        </w:tc>
      </w:tr>
    </w:tbl>
    <w:p>
      <w:pPr>
        <w:spacing w:after="160" w:before="0"/>
      </w:pPr>
    </w:p>
    <w:p>
      <w:pPr>
        <w:spacing w:after="100"/>
      </w:pPr>
      <w:r>
        <w:t xml:space="preserve">El crecimiento proyectado (15,4 % medio en FY2026e-FY2033e) está por debajo del histórico (28,2 % anual en FY2020-FY2025) y se financia solo: la empresa reinvierte el 5 % de su beneficio operativo después de impuestos y tiene un ROIC del 81 % [1]. La cuota de mercado pasaría del 7,4 % al 10,6 % de un mercado que la empresa estima que crece un ≈ 10 % anual [2]: posible para la consultora japonesa que más crece, pero depende de seguir contratando ≈ 1.300-2.000 consultores al año. El riesgo no es el capital sino la demanda: si la IA reduce las horas que compran los clientes, el volumen no llega;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 (base: 13,0 %)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44,5 % (base: 37,0 %)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9,4 %)</w:t>
            </w:r>
          </w:p>
        </w:tc>
      </w:tr>
    </w:tbl>
    <w:p>
      <w:pPr>
        <w:spacing w:after="160" w:before="0"/>
      </w:pPr>
    </w:p>
    <w:p>
      <w:pPr>
        <w:spacing w:after="100"/>
      </w:pPr>
      <w:r>
        <w:t xml:space="preserve">El DCF da 8.839,58 JPY por acción, un 17,7 % bajo el precio, con un WACC del 9,37 % y un valor terminal que pesa el 65 %. El DCF inverso dice que el precio descuenta un crecimiento de los ingresos del 17,1 % anual en FY2027e-FY2033e con nuestro margen (frente al 13,0 % de nuestro caso base), o un margen EBITDA del 44,5 % con nuestro crecimiento: el mercado ya paga buena parte del plan de 2030 (≈ 27 % anual y 40 % de margen). Con la prima de riesgo que hoy pide el mercado (4,2 %) el DCF vale 10.784 JPY (+0,4 %): a ese coste del capital el precio es justo, sin margen de seguridad. El rango con ± 0,5 puntos de WACC y crecimiento terminal va de 7.931 a 10.029 JPY.</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sustituye una parte del trabajo de análisis, documentación y programación por el que hoy se paga a consultores jóvenes: los clientes piden equipos más pequeños y precio por resultado. Ingresos 8 puntos por debajo del base cada año (+14 % en FY2027e, +10 % en FY2028e y después casi planos) y margen 4 puntos menor por la caída del precio por consultor y la ocupación. Con un WACC medio punto mayor, el DCF vale 4.889 JPY (−54,5 %).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8.839,58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transformación con IA de las grandes empresas japonesas sigue 3-5 años: crecimiento del 22 % en FY2027e bajando al 6 % en FY2033e y margen EBITDA del 35-37 %; la IA sube la productividad interna pero no reduce el número de consultores que se facturan en este periodo.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11.143,28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cumple casi todo el plan de 2030: crece 4 puntos más cada año (+26 % y +22 % en FY2027e-FY2028e) y el margen sube 1,5 puntos más por la IA interna y los contratos a largo plazo; el DCF vale 11.143 JPY (+3,8 %).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JPY) · precio actual 10.74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8.427,86 JPY (-21,5 %).</w:t>
      </w:r>
    </w:p>
    <w:p>
      <w:pPr>
        <w:spacing w:after="100"/>
      </w:pPr>
      <w:r>
        <w:t xml:space="preserve">La asimetría del DCF es mala: el alcista vale 11.143 JPY (+3,8 %) y el bajista 4.889 (−54,5 %). Incluso si la empresa cumple casi todo su plan, con nuestro WACC el precio de hoy apenas deja ganancia; si la IA reduce las horas facturables, la pérdida es de la mitad. El valor ponderado de los escenarios (8.428 JPY) queda un 21,5 % bajo el precio.</w:t>
      </w:r>
    </w:p>
    <w:p>
      <w:pPr>
        <w:pStyle w:val="Heading1"/>
      </w:pPr>
      <w:r>
        <w:t xml:space="preserve">22. Suma de partes</w:t>
      </w:r>
    </w:p>
    <w:p>
      <w:pPr>
        <w:pStyle w:val="Confianza"/>
        <w:spacing w:after="100"/>
      </w:pPr>
      <w:r>
        <w:t xml:space="preserve">Confianza: Alta</w:t>
      </w:r>
    </w:p>
    <w:p>
      <w:pPr>
        <w:spacing w:after="100"/>
      </w:pPr>
      <w:r>
        <w:t xml:space="preserve">No aplica: un solo negocio (consultoría) y un solo segmento contable [5].</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JPY) · precio actual 10.74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9.342,00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8.839,58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10.028,52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8.427,86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11.143,28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10.793,70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8.256,99 JPY (-23,1 % sobre 10.740,00).</w:t>
      </w:r>
    </w:p>
    <w:p>
      <w:pPr>
        <w:spacing w:after="100"/>
      </w:pPr>
      <w:r>
        <w:t xml:space="preserve">Pesos: DCF 50 %, escenarios 40 % y comparables 10 %. El DCF es el método más fiable para un negocio sin deuda ni inversión, pero depende mucho del WACC: con la prima del mercado sube de 8.840 a 10.784 JPY. Los escenarios recogen la asimetría por la IA (−54,5 % / +3,8 %). Los comparables pesan poco: su mediana (12,3 veces el BPA y ≈ 11 veces el EBITDA) es de empresas que crecen un 3-10 % y dan 4.661 JPY, un valor sin sentido para una empresa que crece un 30 %. Sin transacciones con múltiplo publicado. El valor intrínseco de la síntesis es de 8.257 JPY (−23,1 %); con la prima del mercado, 9.956 JPY (−7,3 %). El puente suma 57.503 M de caja y depósitos, resta 8.873 M de arrendamientos y 9.554 M del dividendo a cuenta ya devengado.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5.137,19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(28.6x) a mitad de camino hacia abajo, hacia la mediana de 5 años (25.5x)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13.072,05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14.571,90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r>
    </w:tbl>
    <w:p>
      <w:pPr>
        <w:spacing w:after="160" w:before="0"/>
      </w:pPr>
    </w:p>
    <w:p>
      <w:pPr>
        <w:spacing w:after="100"/>
      </w:pPr>
      <w:r>
        <w:rPr>
          <w:b/>
          <w:bCs/>
        </w:rPr>
        <w:t xml:space="preserve">Objetivo a 12 meses (ponderado):</w:t>
      </w:r>
      <w:r>
        <w:t xml:space="preserve"> 11.463,30 JPY · rentabilidad +7,8 % (base +22,8 %) · señal Mantener.</w:t>
      </w:r>
    </w:p>
    <w:p>
      <w:pPr>
        <w:spacing w:after="100"/>
      </w:pPr>
      <w:r>
        <w:t xml:space="preserve">Para comparar, con la regla v2 (historia al cierre, mismo precio): 18,1x / 28,6x / 28,6x, 17,1 %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FY2026e (325,57 JPY) coincide con el consenso (326,07) y el de FY2027e (404,20) queda un 1,1 % por debajo (408,81) [25]: ventas algo menores (+22 % frente a +24,8 %) con el mismo margen. Sin consenso de FY2028e. Nuestro objetivo base a 12 meses (13.072 JPY) está un 39,9 % por encima del objetivo medio de los analistas (9.342 JPY, 13 analistas), porque muchos objetivos son anteriores a los resultados del 15-oct (el más alto, 11.200 JPY, es del 19-oct [26]) y porque la regla común lleva el PER de 28,6 a 27,0 veces, cerca de su mediana de cinco años, mientras los analistas usan ≈ 23-26 veces el BPA del año próximo.</w:t>
      </w:r>
    </w:p>
    <w:p>
      <w:pPr>
        <w:keepNext/>
        <w:spacing w:after="100"/>
      </w:pPr>
      <w:r>
        <w:rPr>
          <w:b/>
          <w:bCs/>
        </w:rPr>
        <w:t xml:space="preserve">Del valor intrínseco al objetivo a 12 meses.</w:t>
      </w:r>
    </w:p>
    <w:p>
      <w:pPr>
        <w:spacing w:after="100"/>
      </w:pPr>
      <w:r>
        <w:t xml:space="preserve">El objetivo a 12 meses (11.463 JPY, ponderado 25/50/25) queda un 6,7 % sobre el precio (+7,8 % con el dividendo): no llega al 15 % que pide un Comprar. El base (13.072 JPY, +22,8 % con dividendo) supone que el BPA crece un 24,6 % anual hasta FY2028e y que el PER baja poco (de 28,6 a 27,0 veces, a mitad de camino de su mediana adelantada de cinco años, 25,5). El bajista (5.137 JPY, −51 %) aplica el PER de febrero de 2026 (13,8 veces), cuando el mercado temió que la IA hundiera el negocio, a un BPA un 23 % menor: es lo que hunde la ponderada. Además, el valor intrínseco (8.257 JPY) queda un 23,1 % bajo el precio: falla también el filtro de valor real. Crecimiento del BPA base: +24,6 % anual desde el último real (FY2025), por debajo del +30,7 % anual de FY2020-FY2025.</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2027-01-14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de FY2026 (fecha estimada por la del año pasado)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Consultores frente a la guía de 7.000-7.200, ingreso por consultor (+5-7 %) y si sube la guía anual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bajo el plan de 2030: ≈ 25-30 % de crecimiento si mantiene el ritmo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fin de ejercicio con la nueva política de caja (25 % de los ingresos)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 57.500 M de caja y depósitos frente a ≈ 50.000 M objetivo, recompra o compra de empresas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agentes de IA para trabajo de oficina y consultoría (Anthropic, OpenAI, Google) y resultados de Accenture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Pueden repetir la caída de febrero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fundador (8,06 M de acciones, 5,31 %)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Lastre de oferta: ≈ 87.000 M JPY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Renovación del consejo y del consejero delegado (Abe)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los clientes compran menos horas de consultor o pagan por resultado (la empresa vende consultores por mes)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la IA es el 50-60 % de los ingresos: la demanda de implantación crece; uso interno de la IA para subir el margen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por consultor por debajo del +3 %, ocupación bajo el 80 % o proyectos creciendo menos que los consultores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28,6 veces el BPA de los próximos 12 meses tras subir un 184 % desde el mínimo de febrero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−50 %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25-30 %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trimestre con crecimiento de ingresos bajo 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crecer exige ≈ 1.500-2.000 consultores al año en un mercado laboral japonés escaso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y salarios altos; costes de contratación asumidos en la guía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Consultores del 3T por debajo de 7.000 o costes de contratación otra vez sobre el plan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plan: compras, empresas conjuntas y extranjero, que la empresa no ha hecho nunca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ROIC del 81 %; payout del 40 %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grande fuera de Japón o a múltiplos altos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sucesión: consejero delegado que preside el consejo y la comisión de nombramientos; sucesor dimitido en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de nueve consejeros externos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Abe, Ikehira o Nakamura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grandes clientes: estrategia de «clientes clave» sin cifras publicadas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se pierde un gran cliente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los ingresos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empieza a publicar un cliente por encima del 10 % o pierde un cliente clave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del fundador y de fondos (lastre de oferta)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Liquidez de ≈ 9.565 M JPY al día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participación del fundador por debajo del 5 %</w:t>
            </w:r>
          </w:p>
        </w:tc>
      </w:tr>
    </w:tbl>
    <w:p>
      <w:pPr>
        <w:spacing w:after="160" w:before="0"/>
      </w:pPr>
    </w:p>
    <w:p>
      <w:pPr>
        <w:pStyle w:val="Heading2"/>
      </w:pPr>
      <w:r>
        <w:t xml:space="preserve">Pre-mortem</w:t>
      </w:r>
    </w:p>
    <w:p>
      <w:pPr>
        <w:spacing w:after="100"/>
      </w:pPr>
      <w:r>
        <w:t xml:space="preserve">Octubre de 2027: la acción ha caído un 50 %. En la primavera de 2027 las grandes empresas japonesas empezaron a usar agentes de IA para hacer el análisis, la documentación y la gestión de proyectos que antes pagaban a equipos de consultores; los departamentos de compras pidieron equipos más pequeños y precios por resultado. BayCurrent siguió contratando para cumplir el plan de 2030 y la ocupación bajó del 80 %; el ingreso por consultor dejó de crecer. La guía de FY2027 salió con un +15 % en vez del +25 % esperado y el margen bajó 3 puntos. El mercado volvió a pagar 14 veces el beneficio, como en febrero de 2026, y el fundador vendió lo que le quedaba. La señal temprana: proyectos creciendo menos que los consultores y la ocupación en la parte baja del 80-90 % en los resultados de enero o abril.</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−50 % en el bajista; +5-10 % si la IA solo sube la productividad interna</w:t>
      </w:r>
    </w:p>
    <w:p>
      <w:pPr>
        <w:spacing w:after="100"/>
      </w:pPr>
      <w:r>
        <w:t xml:space="preserve">Es el riesgo central. BayCurrent vende horas de consultores: ingresos = consultores × ocupación × precio por consultor [4]. La IA generativa y los agentes hacen cada vez mejor el trabajo de los consultores jóvenes (investigación, análisis, presentaciones, programación y gestión de proyectos), que es la base de la pirámide de una consultora que contrata ≈ 1.500-2.000 personas al año. A corto plazo la IA ayuda: es el 50-60 % de los ingresos, porque las grandes empresas japonesas están empezando a implantarla y necesitan ayuda [13]. A medio plazo el riesgo es doble: que el cliente necesite menos consultores para el mismo proyecto (menos volumen) y que pague por resultado y no por mes (menos precio). El mercado ya lo descontó una vez: en febrero de 2026, con los agentes de IA de Anthropic, la acción cayó a 3.780 JPY (13,8 veces el beneficio) [15]. Nuestro bajista (25 % de probabilidad) lo cuantifica: ingresos 8 puntos menos al año y margen 4 puntos menor dan un BPA un 23 % inferior en FY2028e y un precio de 5.137 JPY (−51 %). Señales: ingreso por consultor por debajo del +3 %, ocupación bajo el 80 %, proyectos creciendo menos que los consultores, o Accenture y las Big 4 recortando plantilla en Japón.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una consultora lo material es la gente (contratación de ≈ 1.500-2.000 consultores al año, horas de trabajo, rotación, formación), la confidencialidad de la información de los clientes y la ciberseguridad propia, y la independencia en los proyectos públicos de defensa [4, 17]. El impacto ambiental es pequeño (oficinas).</w:t>
      </w:r>
    </w:p>
    <w:p>
      <w:pPr>
        <w:pStyle w:val="Heading2"/>
      </w:pPr>
      <w:r>
        <w:t xml:space="preserve">Controversias</w:t>
      </w:r>
    </w:p>
    <w:p>
      <w:pPr>
        <w:spacing w:after="100"/>
      </w:pPr>
      <w:r>
        <w:t xml:space="preserve">Sin controversias graves encontradas. Puntos débiles de gobierno: la sucesión fallida de 2025, un consejero delegado que preside el consejo y la comisión de nombramientos, y un variable ligado al EBITDA y no al rendimiento sobre el capital [5, 17, 18]. Calificaciones de MSCI o Sustainalytics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contratos se cobra por consultor y mes y qué parte por resultado, y cómo ha cambiado el tamaño medio de los equipos por proyecto en los proyectos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(−51 %): si los equipos se encogen, el volumen no llega.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la ocupación exacta de cada trimestre y la de los consultores contratados en el último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da «la parte media del 80-90 %»; una caída es la primera señal de exceso de plantilla.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los diez mayores clientes y cuántos «clientes clave» hay?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estrategia de clientes clave concentra ventas; ningún cliente supera el 10 %, pero no hay más cifras.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 contratar un consultor hoy frente a 2024 y cuál es la rotación anual?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costes de contratación del 1S fueron un 30 % superiores al plan.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y extranjero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tamaño y qué múltiplos tendrían las compras y empresas conjuntas del nuevo plan?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no ha hecho nunca una compra; el plan prevé un 20 % de ingresos fuera de Japón en 2035.</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 Finance Japón (foro de 6532)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semana: 54 % «comprar fuerte» y 19 % «vender fuerte». Celebran el stop-high y el máximo histórico; los cortos con pérdidas y las posiciones a crédito se comentan mucho; varios recuerdan la caída del 58 % del año pasado y piden prudencia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Kabutan (noticias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valora el buen resultado y el plan nuevo»; subidas de objetivo; aparece en las listas de máximos históricos y de ruptura de bandas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Toyo Keizai (lectores y artículo)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abril el tono era de miedo: la IA haría innecesarios muchos consultores y los fondos de cobertura vendían el sector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miedo a la IA «se ha disipado»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resultados lo apoyan a corto plazo (IA = 50-60 % de los ingresos y ventas +36 %), pero el riesgo de que la IA reduzca las horas facturables no se ha ido: llegará con retraso a los contratos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a 2030 (500.000 M de ingresos)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Exige un 27 % anual durante cuatro años más; la empresa nunca ha fallado mucho su guía anual, pero el plan incluye compras y extranjero, que no ha hecho nunca.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Cortos y crédito al margen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parte de la violencia de la subida (stop-high); no dice nada del valor.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Recuerdo de la caída del 58 %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volatilidad del 57 % es real: el escenario bajista del informe la recoge.</w:t>
            </w:r>
          </w:p>
        </w:tc>
      </w:tr>
    </w:tbl>
    <w:p>
      <w:pPr>
        <w:spacing w:after="160" w:before="0"/>
      </w:pPr>
    </w:p>
    <w:p>
      <w:pPr>
        <w:spacing w:after="100"/>
      </w:pPr>
      <w:r>
        <w:t xml:space="preserve">El sentimiento ha pasado del miedo de febrero-abril (la IA acabaría con las consultoras) a la euforia de octubre (stop-high, máximos, «el miedo a la IA se ha disipado») [15, 26]. Los particulares del foro japonés votan mayoritariamente comprar y comentan el apuro de los cortos [31]. No hay capitulación que aprovechar; la euforia y la subida del 46 % en un mes piden prudencia con el múltiplo.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31 (21 primarias); citas distintas en el texto: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10,6 % en FY2033e frente al 7,4 %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11,0 % frente a 11,5 % real: genera una variación de circulante de 4.466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19, 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los mayores clientes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yuho del ejercicio a feb-2026 (solo dice que ninguno supera el 10 %); 2) suplementos y FAQ (estrategia de clientes clave sin cifras); 3) plan a medio plazo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del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yuho (texto extraído con pdfminer, no legible la tabla); 2) informe de gobierno corporativo; 3) convocatoria de junta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del tamaño del mercado de consultoría de Japón con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suplementos de BayCurrent (estimación con IDC Japan); 2) IDC Japan (nota de prensa sin cifra abierta); 3) Toyo Keizai (≈ 4 billones en 2030, sin año base comprobado)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la estimación de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 mayo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feed de TDnet de eir-parts (臨時報告書 no listado); 2) convocatoria (solo propuestas); 3) informe de gobierno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entrada de los consejeros externos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yuho (tabla mal extraída); 2) convocatoria; 3) informe de gobierno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consultoras en Japón (NTT Data, Fuji Soft); 2) Mamezo/EQT (sin múltiplo); 3) informe sectorial de Aventis (10,7 veces global, no una operación concreta)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FY2028e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(dos ejercicios); 2) Minkabu (objetivo medio, sin BPA a tres años); 3) MarketScreener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fiable frente al TOPIX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1306.T mensual a 5 años (−0,13, cierres anómalos); 2) 1305.T; 3) semanal a 5 años (0,77)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semanal (0,77) y en el WACC una beta de 1,0 con prima adicional</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Results for the Fiscal Year Ended February 28, 2026 [IFRS] (tanshin anual: cuenta, balance, flujos, guía del año a 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Baycurrent,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https://ssl4.eir-parts.net/doc/6532/tdnet/2790371/00.pdf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Supplement to Financial Results for the Fiscal Year Ended February 28, 2026 (KPI, trimestres, EBITDA,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Baycurrent,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https://ssl4.eir-parts.net/doc/6532/tdnet/2790682/00.pdf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Second Quarter (Interim) of the Fiscal Year Ending February 28, 2027 [IFRS]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https://ssl4.eir-parts.net/doc/6532/tdnet/2895268/00.pdf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Supplement to Financial Results for the First Half of the Fiscal Year Ending February 28, 2027 (KPI, consultores, ingresos por consultor, IA, ciberseguridad y defensa)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https://ssl4.eir-parts.net/doc/6532/tdnet/2895269/00.pdf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有価証券報告書 (informe anual auditado del ejercicio a feb-2026: notas, segmento único, clientes, auditor, consejo,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 (EDINET, vía eir-parts)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https://ssl4.eir-parts.net/doc/6532/yuho_pdf/S100Y69G/00.pdf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years ended February 2024 and February 2025 [IFRS] (tanshin anuales en inglés)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Consulting / Baycurrent,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https://ssl4.eir-parts.net/doc/6532/ir_material_for_fiscal_ym3/176759/00.pdf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決算短信 de los ejercicios a feb-2020, feb-2021, feb-2022, feb-2023 y feb-2024 (cuentas y guías iniciales)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Consulting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https://ssl4.eir-parts.net/doc/6532/tdnet/2420523/00.pdf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and Supplement for the First Quarter of the Fiscal Year Ending February 28,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https://ssl4.eir-parts.net/doc/6532/tdnet/2852185/00.pdf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and Supplement for the Third Quarter of the Fiscal Year Ended February 28,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https://ssl4.eir-parts.net/doc/6532/tdnet/2740571/00.pdf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Driving Sustainable Corporate Value Creation (Growth Roadmap toward 2035 and Performance Plan toward 2030) y su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https://ssl4.eir-parts.net/doc/6532/ir_material_for_fiscal_ym8/214207/00.pdf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on Partial Revision of Basic Policy on Shareholder Returns (Change in Capital Allocation Policy)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https://ssl4.eir-parts.net/doc/6532/tdnet/2895613/00.pdf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on recompra (18-mar-2026) y Notice of completion and cancellation of treasury shares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https://ssl4.eir-parts.net/doc/6532/tdnet/2864674/00.pdf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FAQ (Results for the First Half of the Fiscal Year Ending February 2027): IA, ciberseguridad, defensa, costes de contratación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https://ssl4.eir-parts.net/doc/6532/ir_material_for_fiscal_ym9/214126/00.pdf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Mid-term Management Plan 2024 (objetivo de 250.000 M JPY de ingresos en el ejercicio a feb-2029)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Consulting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https://ssl4.eir-parts.net/doc/6532/ir_material_for_fiscal_ym8/159322/00.pdf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コンサル業界、「アンソロピック・ショック」で株価半減 (caída de las consultoras por la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Toyo Keizai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https://toyokeizai.net/articles/-/941598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comparables (ventas, EBITDA, estimaciones)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コーポレート・ガバナンス報告書 (informe de gobierno corporativo,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 (TSE)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https://ssl4.eir-parts.net/doc/6532/tdnet/2824868/00.pdf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on change of Representative Director (dimisión de Daisuke Kitakaze por salud; Yoshiyuki Abe vuelve a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https://ssl4.eir-parts.net/doc/6532/tdnet/2722485/00.pdf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on changes in directors and officers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https://ssl4.eir-parts.net/doc/6532/tdnet/2769450/00.pdf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主要株主の異動に関するお知らせ (el fundador Arata Eguchi baja del 10 %)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https://ssl4.eir-parts.net/doc/6532/tdnet/2622220/00.pdf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informes de participaciones significativas (大量保有報告書) de 6532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https://www.kabutore.biz/genzaikabuka/6532.html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Convocatoria de la junta de accionistas de mayo de 2026 (consejeros propuestos)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https://ssl4.eir-parts.net/doc/6532/tdnet/2798384/00.pdf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代表取締役の異動 (Daisuke Kitakaze consejero delegado y Abe presidente del consejo desde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Baycurrent Consulting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https://ssl4.eir-parts.net/doc/6532/tdnet/2571150/00.pdf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6532.T, 1306.T (TOPIX) y 1626.T (sector servicios): precio,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https://finance.yahoo.com/quote/6532.T/history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6532.T y comparables (estimaciones de BPA y ventas, objetivos, recomendaciones) y cierre del 19-oct-2026 (15:30 de Tokio): quoteSummary y chart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https://finance.yahoo.com/quote/6532.T/analysis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BayCurrent en Kabutan (resultados, stop-high, subida de objetivo de un gran broker a 11.200 JPY, servicio de ciberincidentes)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https://kabutan.jp/stock/news?code=6532&amp;page=1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(rendimiento del bono japonés a 10 años: 2,958 %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Hacienda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analistas de BayCurrent (objetivo medio y su evolución)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Minkabu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https://minkabu.jp/stock/6532/analyst_consensus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USD/JPY (158,47) y EUR/JPY (177,74) del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https://finance.yahoo.com/quote/JPY=X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BayCurrent (6532) en Yahoo! Finance Japón: mensajes y votos de la semana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https://finance.yahoo.co.jp/quote/6532.T/forum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85,5 %</w:t>
      </w:r>
      <w:r>
        <w:t xml:space="preserve"> · Secciones con menos del 60 % de campos cubiertos: </w:t>
      </w:r>
      <w:r>
        <w:rPr>
          <w:b/>
          <w:bCs/>
        </w:rPr>
        <w:t xml:space="preserve">capital</w:t>
      </w:r>
      <w:r>
        <w:t xml:space="preserve"> · Generado el 19 oct 2026.</w:t>
      </w:r>
    </w:p>
    <w:p>
      <w:pPr>
        <w:pStyle w:val="Nota"/>
        <w:spacing w:after="100"/>
      </w:pPr>
      <w:r>
        <w:t xml:space="preserve">Cifras en millones de JPY con el ejercicio de marzo a febrero etiquetado por el año en que EMPIEZA, como hace la empresa desde el 15-oct-2026 (FY2025 = mar-2025 a feb-2026; sus documentos anteriores lo llamaban «FY2026»). Japón no tiene XBRL público: cuenta, balance y flujos se copiaron de los tanshin NIIF y se comprobaron con el yuho auditado. El último ejercicio real es FY2025; el LTM llega a agosto de 2026 (primer semestre de FY2026). No hay línea de proveedores: «otros pasivos corrientes» (gastos de personal devengados e impuestos indirectos) hace ese papel en el circulante. El EBITDA del informe incluye la amortización de los derechos de uso de oficinas y es ≈ 1 punto de margen mayor que el que publica la empresa. Precio: cierre del 19-oct-2026 en Tokio (10.740 JPY, 15:30 hora local [25]); bolsa.mjs solo tenía hasta el 16-oct (10.195), así que las rentabilidades y la beta de la tabla de bolsa llegan a ese día. La beta mensual frente al ETF del TOPIX sale negativa por cierres anómalos del ETF: el WACC usa una beta de 1,0 más 1 punto de prima por el riesgo de la IA. Los comparables extranjeros se pasan a JPY con los tipos del 19-oct (158,47 JPY por USD y 177,74 por EUR [30]). Una acción cuesta ≈ 61 EUR, pero en Tokio se compra por lotes de 100 acciones: ≈ 6.040 EUR por lote, el 20 %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Baycurrent, Inc. (6532.T)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10.740,00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(3.780,00 – 10.740,00)</c:v>
                </c:pt>
                <c:pt idx="1">
                  <c:v>Precio objetivo de los analistas (8.000,00 – 11.200,00)</c:v>
                </c:pt>
                <c:pt idx="2">
                  <c:v>Comparables: PER NTM (4.186,93 – 5.939,38)</c:v>
                </c:pt>
                <c:pt idx="3">
                  <c:v>DCF (WACC y g ± 0,5) (7.931,36 – 10.028,52)</c:v>
                </c:pt>
                <c:pt idx="4">
                  <c:v>Escenarios (bajista – alcista) (4.888,98 – 11.143,28)</c:v>
                </c:pt>
                <c:pt idx="5">
                  <c:v>DCF con la prima implícita del mercado (4,2 %)</c:v>
                </c:pt>
                <c:pt idx="6">
                  <c:v>Precio actual (10.740,00)</c:v>
                </c:pt>
              </c:strCache>
            </c:strRef>
          </c:cat>
          <c:val>
            <c:numRef>
              <c:f>Hoja1!$B$2:$B$8</c:f>
              <c:numCache>
                <c:formatCode>#,##0</c:formatCode>
                <c:ptCount val="7"/>
                <c:pt idx="0">
                  <c:v>3780</c:v>
                </c:pt>
                <c:pt idx="1">
                  <c:v>8000</c:v>
                </c:pt>
                <c:pt idx="2">
                  <c:v>4186.93</c:v>
                </c:pt>
                <c:pt idx="3">
                  <c:v>7931.36</c:v>
                </c:pt>
                <c:pt idx="4">
                  <c:v>4888.98</c:v>
                </c:pt>
                <c:pt idx="5">
                  <c:v>9937.06</c:v>
                </c:pt>
                <c:pt idx="6">
                  <c:v>10686.3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(3.780,00 – 10.740,00)</c:v>
                </c:pt>
                <c:pt idx="1">
                  <c:v>Precio objetivo de los analistas (8.000,00 – 11.200,00)</c:v>
                </c:pt>
                <c:pt idx="2">
                  <c:v>Comparables: PER NTM (4.186,93 – 5.939,38)</c:v>
                </c:pt>
                <c:pt idx="3">
                  <c:v>DCF (WACC y g ± 0,5) (7.931,36 – 10.028,52)</c:v>
                </c:pt>
                <c:pt idx="4">
                  <c:v>Escenarios (bajista – alcista) (4.888,98 – 11.143,28)</c:v>
                </c:pt>
                <c:pt idx="5">
                  <c:v>DCF con la prima implícita del mercado (4,2 %)</c:v>
                </c:pt>
                <c:pt idx="6">
                  <c:v>Precio actual (10.740,00)</c:v>
                </c:pt>
              </c:strCache>
            </c:strRef>
          </c:cat>
          <c:val>
            <c:numRef>
              <c:f>Hoja1!$C$2:$C$8</c:f>
              <c:numCache>
                <c:formatCode>#,##0</c:formatCode>
                <c:ptCount val="7"/>
                <c:pt idx="0">
                  <c:v>6960</c:v>
                </c:pt>
                <c:pt idx="1">
                  <c:v>3200</c:v>
                </c:pt>
                <c:pt idx="2">
                  <c:v>1752.4499999999998</c:v>
                </c:pt>
                <c:pt idx="3">
                  <c:v>2097.1600000000008</c:v>
                </c:pt>
                <c:pt idx="4">
                  <c:v>6254.300000000001</c:v>
                </c:pt>
                <c:pt idx="5">
                  <c:v>1848.460000000001</c:v>
                </c:pt>
                <c:pt idx="6">
                  <c:v>107.40000000000146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Consultoría (segmento único)</c:v>
                </c:pt>
              </c:strCache>
            </c:strRef>
          </c:tx>
          <c:spPr>
            <a:solidFill>
              <a:srgbClr val="2A78D6"/>
            </a:solidFill>
            <a:ln w="12700">
              <a:noFill/>
            </a:ln>
          </c:spPr>
          <c:invertIfNegative val="0"/>
          <c:cat>
            <c:strRef>
              <c:f>Hoja1!$A$2:$A$4</c:f>
              <c:strCache>
                <c:ptCount val="3"/>
                <c:pt idx="0">
                  <c:v>FY2023</c:v>
                </c:pt>
                <c:pt idx="1">
                  <c:v>FY2024</c:v>
                </c:pt>
                <c:pt idx="2">
                  <c:v>FY2025</c:v>
                </c:pt>
              </c:strCache>
            </c:strRef>
          </c:cat>
          <c:val>
            <c:numRef>
              <c:f>Hoja1!$B$2:$B$4</c:f>
              <c:numCache>
                <c:formatCode>#,##0</c:formatCode>
                <c:ptCount val="3"/>
                <c:pt idx="0">
                  <c:v>93909</c:v>
                </c:pt>
                <c:pt idx="1">
                  <c:v>116056</c:v>
                </c:pt>
                <c:pt idx="2">
                  <c:v>148332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Consultoría (segmento único)</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Japón</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JPY (estimación de la empresa con IDC Japan: ≈ 2 billones en 2024 y TCAC ≈ 10 % hasta 2029; años intermedios interpolados por el analista))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2024</c:v>
                </c:pt>
                <c:pt idx="1">
                  <c:v>2025e</c:v>
                </c:pt>
                <c:pt idx="2">
                  <c:v>2026e</c:v>
                </c:pt>
                <c:pt idx="3">
                  <c:v>2027e</c:v>
                </c:pt>
                <c:pt idx="4">
                  <c:v>2028e</c:v>
                </c:pt>
                <c:pt idx="5">
                  <c:v>2029e</c:v>
                </c:pt>
              </c:strCache>
            </c:strRef>
          </c:cat>
          <c:val>
            <c:numRef>
              <c:f>Hoja1!$B$2:$B$7</c:f>
              <c:numCache>
                <c:formatCode>#,##0</c:formatCode>
                <c:ptCount val="6"/>
                <c:pt idx="0">
                  <c:v>2000000</c:v>
                </c:pt>
                <c:pt idx="1">
                  <c:v>2200000</c:v>
                </c:pt>
                <c:pt idx="2">
                  <c:v>2420000</c:v>
                </c:pt>
                <c:pt idx="3">
                  <c:v>2662000</c:v>
                </c:pt>
                <c:pt idx="4">
                  <c:v>2928000</c:v>
                </c:pt>
                <c:pt idx="5">
                  <c:v>3221000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BayCurrent</c:v>
                </c:pt>
                <c:pt idx="1">
                  <c:v>Nomura Research Institute</c:v>
                </c:pt>
                <c:pt idx="2">
                  <c:v>Accenture (Japón)</c:v>
                </c:pt>
                <c:pt idx="3">
                  <c:v>Deloitte, PwC, EY y KPMG (consultoría en Japón)</c:v>
                </c:pt>
                <c:pt idx="4">
                  <c:v>Sigmaxyz</c:v>
                </c:pt>
                <c:pt idx="5">
                  <c:v>Future</c:v>
                </c:pt>
                <c:pt idx="6">
                  <c:v>Rise Consulting Group</c:v>
                </c:pt>
              </c:strCache>
            </c:strRef>
          </c:cat>
          <c:val>
            <c:numRef>
              <c:f>Hoja1!$B$2:$B$8</c:f>
              <c:numCache>
                <c:formatCode>0.0"%"</c:formatCode>
                <c:ptCount val="7"/>
                <c:pt idx="0">
                  <c:v>34.3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2</c:v>
                </c:pt>
                <c:pt idx="3">
                  <c:v>3</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FY2020</c:v>
                </c:pt>
                <c:pt idx="1">
                  <c:v>FY2021</c:v>
                </c:pt>
                <c:pt idx="2">
                  <c:v>FY2022</c:v>
                </c:pt>
                <c:pt idx="3">
                  <c:v>FY2023</c:v>
                </c:pt>
                <c:pt idx="4">
                  <c:v>FY2024</c:v>
                </c:pt>
                <c:pt idx="5">
                  <c:v>FY2025</c:v>
                </c:pt>
                <c:pt idx="6">
                  <c:v>FY2026e</c:v>
                </c:pt>
                <c:pt idx="7">
                  <c:v>FY2027e</c:v>
                </c:pt>
                <c:pt idx="8">
                  <c:v>FY2028e</c:v>
                </c:pt>
                <c:pt idx="9">
                  <c:v>FY2029e</c:v>
                </c:pt>
                <c:pt idx="10">
                  <c:v>FY2030e</c:v>
                </c:pt>
                <c:pt idx="11">
                  <c:v>FY2031e</c:v>
                </c:pt>
                <c:pt idx="12">
                  <c:v>FY2032e</c:v>
                </c:pt>
                <c:pt idx="13">
                  <c:v>FY2033e</c:v>
                </c:pt>
              </c:strCache>
            </c:strRef>
          </c:cat>
          <c:val>
            <c:numRef>
              <c:f>Hoja1!$B$2:$B$15</c:f>
              <c:numCache>
                <c:formatCode>#,##0</c:formatCode>
                <c:ptCount val="14"/>
                <c:pt idx="0">
                  <c:v>42873</c:v>
                </c:pt>
                <c:pt idx="1">
                  <c:v>57642</c:v>
                </c:pt>
                <c:pt idx="2">
                  <c:v>76090</c:v>
                </c:pt>
                <c:pt idx="3">
                  <c:v>93909</c:v>
                </c:pt>
                <c:pt idx="4">
                  <c:v>116056</c:v>
                </c:pt>
                <c:pt idx="5">
                  <c:v>148332</c:v>
                </c:pt>
                <c:pt idx="6">
                  <c:v>195947</c:v>
                </c:pt>
                <c:pt idx="7">
                  <c:v>239055</c:v>
                </c:pt>
                <c:pt idx="8">
                  <c:v>282085</c:v>
                </c:pt>
                <c:pt idx="9">
                  <c:v>324397</c:v>
                </c:pt>
                <c:pt idx="10">
                  <c:v>363325</c:v>
                </c:pt>
                <c:pt idx="11">
                  <c:v>399658</c:v>
                </c:pt>
                <c:pt idx="12">
                  <c:v>431630</c:v>
                </c:pt>
                <c:pt idx="13">
                  <c:v>457528</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FY2020</c:v>
                </c:pt>
                <c:pt idx="1">
                  <c:v>FY2021</c:v>
                </c:pt>
                <c:pt idx="2">
                  <c:v>FY2022</c:v>
                </c:pt>
                <c:pt idx="3">
                  <c:v>FY2023</c:v>
                </c:pt>
                <c:pt idx="4">
                  <c:v>FY2024</c:v>
                </c:pt>
                <c:pt idx="5">
                  <c:v>FY2025</c:v>
                </c:pt>
                <c:pt idx="6">
                  <c:v>FY2026e</c:v>
                </c:pt>
                <c:pt idx="7">
                  <c:v>FY2027e</c:v>
                </c:pt>
                <c:pt idx="8">
                  <c:v>FY2028e</c:v>
                </c:pt>
                <c:pt idx="9">
                  <c:v>FY2029e</c:v>
                </c:pt>
                <c:pt idx="10">
                  <c:v>FY2030e</c:v>
                </c:pt>
                <c:pt idx="11">
                  <c:v>FY2031e</c:v>
                </c:pt>
                <c:pt idx="12">
                  <c:v>FY2032e</c:v>
                </c:pt>
                <c:pt idx="13">
                  <c:v>FY2033e</c:v>
                </c:pt>
              </c:strCache>
            </c:strRef>
          </c:cat>
          <c:val>
            <c:numRef>
              <c:f>Hoja1!$C$2:$C$15</c:f>
              <c:numCache>
                <c:formatCode>#,##0</c:formatCode>
                <c:ptCount val="14"/>
                <c:pt idx="0">
                  <c:v>14540</c:v>
                </c:pt>
                <c:pt idx="1">
                  <c:v>22359</c:v>
                </c:pt>
                <c:pt idx="2">
                  <c:v>30980</c:v>
                </c:pt>
                <c:pt idx="3">
                  <c:v>36634</c:v>
                </c:pt>
                <c:pt idx="4">
                  <c:v>45104</c:v>
                </c:pt>
                <c:pt idx="5">
                  <c:v>53456</c:v>
                </c:pt>
                <c:pt idx="6">
                  <c:v>68973</c:v>
                </c:pt>
                <c:pt idx="7">
                  <c:v>84864</c:v>
                </c:pt>
                <c:pt idx="8">
                  <c:v>101550</c:v>
                </c:pt>
                <c:pt idx="9">
                  <c:v>118405</c:v>
                </c:pt>
                <c:pt idx="10">
                  <c:v>134430</c:v>
                </c:pt>
                <c:pt idx="11">
                  <c:v>147873</c:v>
                </c:pt>
                <c:pt idx="12">
                  <c:v>159703</c:v>
                </c:pt>
                <c:pt idx="13">
                  <c:v>169285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47.2</c:v>
                </c:pt>
                <c:pt idx="1">
                  <c:v>53</c:v>
                </c:pt>
                <c:pt idx="2">
                  <c:v>55.8</c:v>
                </c:pt>
                <c:pt idx="3">
                  <c:v>54.6</c:v>
                </c:pt>
                <c:pt idx="4">
                  <c:v>53.8</c:v>
                </c:pt>
                <c:pt idx="5">
                  <c:v>56.6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33.9</c:v>
                </c:pt>
                <c:pt idx="1">
                  <c:v>38.8</c:v>
                </c:pt>
                <c:pt idx="2">
                  <c:v>40.7</c:v>
                </c:pt>
                <c:pt idx="3">
                  <c:v>39</c:v>
                </c:pt>
                <c:pt idx="4">
                  <c:v>38.9</c:v>
                </c:pt>
                <c:pt idx="5">
                  <c:v>36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31.6</c:v>
                </c:pt>
                <c:pt idx="1">
                  <c:v>37.3</c:v>
                </c:pt>
                <c:pt idx="2">
                  <c:v>39.3</c:v>
                </c:pt>
                <c:pt idx="3">
                  <c:v>36.4</c:v>
                </c:pt>
                <c:pt idx="4">
                  <c:v>36.7</c:v>
                </c:pt>
                <c:pt idx="5">
                  <c:v>34.3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23.4</c:v>
                </c:pt>
                <c:pt idx="1">
                  <c:v>27</c:v>
                </c:pt>
                <c:pt idx="2">
                  <c:v>28.8</c:v>
                </c:pt>
                <c:pt idx="3">
                  <c:v>27</c:v>
                </c:pt>
                <c:pt idx="4">
                  <c:v>26.5</c:v>
                </c:pt>
                <c:pt idx="5">
                  <c:v>25.5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22.7</c:v>
                </c:pt>
                <c:pt idx="1">
                  <c:v>24.2</c:v>
                </c:pt>
                <c:pt idx="2">
                  <c:v>25.7</c:v>
                </c:pt>
                <c:pt idx="3">
                  <c:v>27.5</c:v>
                </c:pt>
                <c:pt idx="4">
                  <c:v>27.3</c:v>
                </c:pt>
                <c:pt idx="5">
                  <c:v>30.3</c:v>
                </c:pt>
                <c:pt idx="6">
                  <c:v>29.9</c:v>
                </c:pt>
                <c:pt idx="7">
                  <c:v>41.5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22.7</c:v>
                </c:pt>
                <c:pt idx="1">
                  <c:v>24.2</c:v>
                </c:pt>
                <c:pt idx="2">
                  <c:v>25.7</c:v>
                </c:pt>
                <c:pt idx="3">
                  <c:v>27.5</c:v>
                </c:pt>
                <c:pt idx="4">
                  <c:v>27.3</c:v>
                </c:pt>
                <c:pt idx="5">
                  <c:v>30.3</c:v>
                </c:pt>
                <c:pt idx="6">
                  <c:v>29.9</c:v>
                </c:pt>
                <c:pt idx="7">
                  <c:v>41.5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49</c:v>
                </c:pt>
                <c:pt idx="1">
                  <c:v>54</c:v>
                </c:pt>
                <c:pt idx="2">
                  <c:v>58</c:v>
                </c:pt>
                <c:pt idx="3">
                  <c:v>62</c:v>
                </c:pt>
                <c:pt idx="4">
                  <c:v>71</c:v>
                </c:pt>
                <c:pt idx="5">
                  <c:v>90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9</c:v>
                </c:pt>
                <c:pt idx="1">
                  <c:v>6</c:v>
                </c:pt>
                <c:pt idx="2">
                  <c:v>5</c:v>
                </c:pt>
                <c:pt idx="3">
                  <c:v>6</c:v>
                </c:pt>
                <c:pt idx="4">
                  <c:v>6</c:v>
                </c:pt>
                <c:pt idx="5">
                  <c:v>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90</c:v>
                </c:pt>
                <c:pt idx="1">
                  <c:v>81</c:v>
                </c:pt>
                <c:pt idx="2">
                  <c:v>81</c:v>
                </c:pt>
                <c:pt idx="3">
                  <c:v>70</c:v>
                </c:pt>
                <c:pt idx="4">
                  <c:v>84</c:v>
                </c:pt>
                <c:pt idx="5">
                  <c:v>114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11227</c:v>
                </c:pt>
                <c:pt idx="1">
                  <c:v>15211</c:v>
                </c:pt>
                <c:pt idx="2">
                  <c:v>20320</c:v>
                </c:pt>
                <c:pt idx="3">
                  <c:v>19623</c:v>
                </c:pt>
                <c:pt idx="4">
                  <c:v>29716</c:v>
                </c:pt>
                <c:pt idx="5">
                  <c:v>32893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10014</c:v>
                </c:pt>
                <c:pt idx="1">
                  <c:v>15544</c:v>
                </c:pt>
                <c:pt idx="2">
                  <c:v>21910</c:v>
                </c:pt>
                <c:pt idx="3">
                  <c:v>25382</c:v>
                </c:pt>
                <c:pt idx="4">
                  <c:v>30760</c:v>
                </c:pt>
                <c:pt idx="5">
                  <c:v>37840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48.6</c:v>
                </c:pt>
                <c:pt idx="1">
                  <c:v>75</c:v>
                </c:pt>
                <c:pt idx="2">
                  <c:v>96</c:v>
                </c:pt>
                <c:pt idx="3">
                  <c:v>80.9</c:v>
                </c:pt>
                <c:pt idx="4">
                  <c:v>77.1</c:v>
                </c:pt>
                <c:pt idx="5">
                  <c:v>81.1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9.4</c:v>
                </c:pt>
                <c:pt idx="1">
                  <c:v>9.4</c:v>
                </c:pt>
                <c:pt idx="2">
                  <c:v>9.4</c:v>
                </c:pt>
                <c:pt idx="3">
                  <c:v>9.4</c:v>
                </c:pt>
                <c:pt idx="4">
                  <c:v>9.4</c:v>
                </c:pt>
                <c:pt idx="5">
                  <c:v>9.4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33.4</c:v>
                </c:pt>
                <c:pt idx="1">
                  <c:v>43.3</c:v>
                </c:pt>
                <c:pt idx="2">
                  <c:v>44.2</c:v>
                </c:pt>
                <c:pt idx="3">
                  <c:v>38.6</c:v>
                </c:pt>
                <c:pt idx="4">
                  <c:v>36.5</c:v>
                </c:pt>
                <c:pt idx="5">
                  <c:v>35.8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FY2020</c:v>
                </c:pt>
                <c:pt idx="1">
                  <c:v>FY2021</c:v>
                </c:pt>
                <c:pt idx="2">
                  <c:v>FY2022</c:v>
                </c:pt>
                <c:pt idx="3">
                  <c:v>FY2023</c:v>
                </c:pt>
                <c:pt idx="4">
                  <c:v>FY2024</c:v>
                </c:pt>
                <c:pt idx="5">
                  <c:v>FY2025</c:v>
                </c:pt>
              </c:strCache>
            </c:strRef>
          </c:cat>
          <c:val>
            <c:numRef>
              <c:f>Hoja1!$B$2:$B$7</c:f>
              <c:numCache>
                <c:formatCode>0.0"x"</c:formatCode>
                <c:ptCount val="6"/>
                <c:pt idx="0">
                  <c:v>-0.64</c:v>
                </c:pt>
                <c:pt idx="1">
                  <c:v>-0.93</c:v>
                </c:pt>
                <c:pt idx="2">
                  <c:v>-1.05</c:v>
                </c:pt>
                <c:pt idx="3">
                  <c:v>-0.99</c:v>
                </c:pt>
                <c:pt idx="4">
                  <c:v>-1.16</c:v>
                </c:pt>
                <c:pt idx="5">
                  <c:v>-1.23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FY2026</c:v>
                </c:pt>
              </c:strCache>
            </c:strRef>
          </c:cat>
          <c:val>
            <c:numRef>
              <c:f>Hoja1!$B$2</c:f>
              <c:numCache>
                <c:formatCode>#,##0</c:formatCode>
                <c:ptCount val="1"/>
                <c:pt idx="0">
                  <c:v>262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0</c:v>
                </c:pt>
                <c:pt idx="1">
                  <c:v>0</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1758</c:v>
                </c:pt>
                <c:pt idx="1">
                  <c:v>3141</c:v>
                </c:pt>
                <c:pt idx="2">
                  <c:v>4753</c:v>
                </c:pt>
                <c:pt idx="3">
                  <c:v>6273</c:v>
                </c:pt>
                <c:pt idx="4">
                  <c:v>7618</c:v>
                </c:pt>
                <c:pt idx="5">
                  <c:v>13218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1</c:v>
                </c:pt>
                <c:pt idx="1">
                  <c:v>1206</c:v>
                </c:pt>
                <c:pt idx="2">
                  <c:v>2097</c:v>
                </c:pt>
                <c:pt idx="3">
                  <c:v>3006</c:v>
                </c:pt>
                <c:pt idx="4">
                  <c:v>3608</c:v>
                </c:pt>
                <c:pt idx="5">
                  <c:v>3006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The Master Trust Bank of Japan (fiduciario)</c:v>
                </c:pt>
                <c:pt idx="1">
                  <c:v>Custody Bank of Japan (fiduciario)</c:v>
                </c:pt>
                <c:pt idx="2">
                  <c:v>Arata Eguchi (fundador)</c:v>
                </c:pt>
                <c:pt idx="3">
                  <c:v>Nomura Asset Management</c:v>
                </c:pt>
                <c:pt idx="4">
                  <c:v>Mitsubishi UFJ (grupo)</c:v>
                </c:pt>
                <c:pt idx="5">
                  <c:v>Daiwa Asset Management</c:v>
                </c:pt>
                <c:pt idx="6">
                  <c:v>Capital Group</c:v>
                </c:pt>
                <c:pt idx="7">
                  <c:v>Fidelity</c:v>
                </c:pt>
                <c:pt idx="8">
                  <c:v>Consejeros ejecutivos (Abe, Ikehira, Nakamura)</c:v>
                </c:pt>
              </c:strCache>
            </c:strRef>
          </c:cat>
          <c:val>
            <c:numRef>
              <c:f>Hoja1!$B$2:$B$10</c:f>
              <c:numCache>
                <c:formatCode>0.0"%"</c:formatCode>
                <c:ptCount val="9"/>
                <c:pt idx="0">
                  <c:v>24.36</c:v>
                </c:pt>
                <c:pt idx="1">
                  <c:v>10.64</c:v>
                </c:pt>
                <c:pt idx="2">
                  <c:v>5.31</c:v>
                </c:pt>
                <c:pt idx="3">
                  <c:v>9.45</c:v>
                </c:pt>
                <c:pt idx="4">
                  <c:v>5.36</c:v>
                </c:pt>
                <c:pt idx="5">
                  <c:v>5.27</c:v>
                </c:pt>
                <c:pt idx="6">
                  <c:v>5.06</c:v>
                </c:pt>
                <c:pt idx="7">
                  <c:v>3.62</c:v>
                </c:pt>
                <c:pt idx="8">
                  <c:v>1.79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298.4</c:v>
                </c:pt>
                <c:pt idx="1">
                  <c:v>-27.7</c:v>
                </c:pt>
                <c:pt idx="2">
                  <c:v>145.8</c:v>
                </c:pt>
                <c:pt idx="3">
                  <c:v>228.4</c:v>
                </c:pt>
                <c:pt idx="4">
                  <c:v>147.8</c:v>
                </c:pt>
                <c:pt idx="5">
                  <c:v>-6.8</c:v>
                </c:pt>
                <c:pt idx="6">
                  <c:v>21.3</c:v>
                </c:pt>
                <c:pt idx="7">
                  <c:v>8.9</c:v>
                </c:pt>
                <c:pt idx="8">
                  <c:v>23.6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22.1</c:v>
                </c:pt>
                <c:pt idx="1">
                  <c:v>-15.8</c:v>
                </c:pt>
                <c:pt idx="2">
                  <c:v>17.7</c:v>
                </c:pt>
                <c:pt idx="3">
                  <c:v>7.4</c:v>
                </c:pt>
                <c:pt idx="4">
                  <c:v>12.7</c:v>
                </c:pt>
                <c:pt idx="5">
                  <c:v>-2.4</c:v>
                </c:pt>
                <c:pt idx="6">
                  <c:v>28.2</c:v>
                </c:pt>
                <c:pt idx="7">
                  <c:v>20.3</c:v>
                </c:pt>
                <c:pt idx="8">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0.0"x"</c:formatCode>
                <c:ptCount val="6"/>
                <c:pt idx="0">
                  <c:v>21.9</c:v>
                </c:pt>
                <c:pt idx="1">
                  <c:v>30.2</c:v>
                </c:pt>
                <c:pt idx="2">
                  <c:v>25.4</c:v>
                </c:pt>
                <c:pt idx="3">
                  <c:v>13</c:v>
                </c:pt>
                <c:pt idx="4">
                  <c:v>20.3</c:v>
                </c:pt>
                <c:pt idx="5">
                  <c:v>11.6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0.0"x"</c:formatCode>
                <c:ptCount val="6"/>
                <c:pt idx="0">
                  <c:v>21.1</c:v>
                </c:pt>
                <c:pt idx="1">
                  <c:v>21.1</c:v>
                </c:pt>
                <c:pt idx="2">
                  <c:v>21.1</c:v>
                </c:pt>
                <c:pt idx="3">
                  <c:v>21.1</c:v>
                </c:pt>
                <c:pt idx="4">
                  <c:v>21.1</c:v>
                </c:pt>
                <c:pt idx="5">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43529</c:v>
                </c:pt>
                <c:pt idx="1">
                  <c:v>54343</c:v>
                </c:pt>
                <c:pt idx="2">
                  <c:v>66030</c:v>
                </c:pt>
                <c:pt idx="3">
                  <c:v>77924</c:v>
                </c:pt>
                <c:pt idx="4">
                  <c:v>89550</c:v>
                </c:pt>
                <c:pt idx="5">
                  <c:v>99219</c:v>
                </c:pt>
                <c:pt idx="6">
                  <c:v>107956</c:v>
                </c:pt>
                <c:pt idx="7">
                  <c:v>115312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435459</c:v>
                </c:pt>
                <c:pt idx="1">
                  <c:v>824706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10.740,00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4888.98</c:v>
                </c:pt>
                <c:pt idx="1">
                  <c:v>8839.58</c:v>
                </c:pt>
                <c:pt idx="2">
                  <c:v>11143.28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10.740,00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(3.780,00 – 10.740,00)</c:v>
                </c:pt>
                <c:pt idx="1">
                  <c:v>Precio objetivo de los analistas (8.000,00 – 11.200,00)</c:v>
                </c:pt>
                <c:pt idx="2">
                  <c:v>Comparables: PER NTM (4.186,93 – 5.939,38)</c:v>
                </c:pt>
                <c:pt idx="3">
                  <c:v>DCF (WACC y g ± 0,5) (7.931,36 – 10.028,52)</c:v>
                </c:pt>
                <c:pt idx="4">
                  <c:v>Escenarios (bajista – alcista) (4.888,98 – 11.143,28)</c:v>
                </c:pt>
                <c:pt idx="5">
                  <c:v>DCF con la prima implícita del mercado (4,2 %)</c:v>
                </c:pt>
                <c:pt idx="6">
                  <c:v>Precio actual (10.740,00)</c:v>
                </c:pt>
              </c:strCache>
            </c:strRef>
          </c:cat>
          <c:val>
            <c:numRef>
              <c:f>Hoja1!$B$2:$B$8</c:f>
              <c:numCache>
                <c:formatCode>#,##0</c:formatCode>
                <c:ptCount val="7"/>
                <c:pt idx="0">
                  <c:v>3780</c:v>
                </c:pt>
                <c:pt idx="1">
                  <c:v>8000</c:v>
                </c:pt>
                <c:pt idx="2">
                  <c:v>4186.93</c:v>
                </c:pt>
                <c:pt idx="3">
                  <c:v>7931.36</c:v>
                </c:pt>
                <c:pt idx="4">
                  <c:v>4888.98</c:v>
                </c:pt>
                <c:pt idx="5">
                  <c:v>9937.06</c:v>
                </c:pt>
                <c:pt idx="6">
                  <c:v>10686.3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(3.780,00 – 10.740,00)</c:v>
                </c:pt>
                <c:pt idx="1">
                  <c:v>Precio objetivo de los analistas (8.000,00 – 11.200,00)</c:v>
                </c:pt>
                <c:pt idx="2">
                  <c:v>Comparables: PER NTM (4.186,93 – 5.939,38)</c:v>
                </c:pt>
                <c:pt idx="3">
                  <c:v>DCF (WACC y g ± 0,5) (7.931,36 – 10.028,52)</c:v>
                </c:pt>
                <c:pt idx="4">
                  <c:v>Escenarios (bajista – alcista) (4.888,98 – 11.143,28)</c:v>
                </c:pt>
                <c:pt idx="5">
                  <c:v>DCF con la prima implícita del mercado (4,2 %)</c:v>
                </c:pt>
                <c:pt idx="6">
                  <c:v>Precio actual (10.740,00)</c:v>
                </c:pt>
              </c:strCache>
            </c:strRef>
          </c:cat>
          <c:val>
            <c:numRef>
              <c:f>Hoja1!$C$2:$C$8</c:f>
              <c:numCache>
                <c:formatCode>#,##0</c:formatCode>
                <c:ptCount val="7"/>
                <c:pt idx="0">
                  <c:v>6960</c:v>
                </c:pt>
                <c:pt idx="1">
                  <c:v>3200</c:v>
                </c:pt>
                <c:pt idx="2">
                  <c:v>1752.4499999999998</c:v>
                </c:pt>
                <c:pt idx="3">
                  <c:v>2097.1600000000008</c:v>
                </c:pt>
                <c:pt idx="4">
                  <c:v>6254.300000000001</c:v>
                </c:pt>
                <c:pt idx="5">
                  <c:v>1848.460000000001</c:v>
                </c:pt>
                <c:pt idx="6">
                  <c:v>107.40000000000146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