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Interpump Group S.p.A.</w:t>
      </w:r>
    </w:p>
    <w:p>
      <w:pPr>
        <w:spacing w:after="60"/>
        <w:rPr>
          <w:color w:val="52514E"/>
          <w:sz w:val="22"/>
          <w:szCs w:val="22"/>
        </w:rPr>
      </w:pPr>
      <w:r>
        <w:rPr>
          <w:color w:val="52514E"/>
          <w:sz w:val="22"/>
          <w:szCs w:val="22"/>
        </w:rPr>
        <w:t xml:space="preserve">IP · Euronext Milan (segmento STAR) · ISIN IT0001078911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42,84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+20,4 % (base +18,7 %)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41,15 EUR · mercado 45,92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Interpump Group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IP / IT0001078911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(segmento STAR)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Sant'Ilario d'Enza (Reggio Emilia)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www.interpumpgroup.it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30,10 – 51,30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6,2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42,84 EUR</w:t>
      </w:r>
      <w:r>
        <w:t xml:space="preserve"> frente a 35,88 · Rentabilidad a 12 meses </w:t>
      </w:r>
      <w:r>
        <w:rPr>
          <w:b/>
          <w:bCs/>
        </w:rPr>
        <w:t xml:space="preserve">+20,4 % (base +18,7 %)</w:t>
      </w:r>
      <w:r>
        <w:t xml:space="preserve"> · Valor intrínseco 41,15 EUR · con la prima implícita del mercado: 45,92 (+28,0 %) · Alcista / bajista +17,1 % / -17,1 %</w:t>
      </w:r>
    </w:p>
    <w:p>
      <w:pPr>
        <w:spacing w:after="100"/>
      </w:pPr>
      <w:r>
        <w:rPr>
          <w:b/>
        </w:rPr>
        <w:t xml:space="preserve">La recomendación y por qué.</w:t>
      </w:r>
      <w:r>
        <w:t xml:space="preserve"> Comprar, con convicción baja. El objetivo a 12 meses es de 42,84 EUR (ponderado) frente a un precio de 35,88 EUR el 14-oct-26: una rentabilidad del 20,4 % ponderada y del 18,7 % en el base, con dividendo. El valor intrínseco es de 41,15 EUR (+14,7 %) y el objetivo medio de 8 analistas, de 46,56 EUR, por encima de nuestro base. La asimetría a 12 meses es de 2,58. La razón: la empresa cotiza a 15,1x el beneficio de 2027e frente a 21,8x de mediana en cinco años, con la hidráulica ya en recuperación. La convicción es baja porque la compra depende de que el múltiplo se recupere: con la regla v2 (historia al cierre) la rentabilidad es del 8,9 % (Mantener), y la calidad no llega a nuestro listón. Subiría con un tercer trimestre (13-nov) con Hydraulics creciendo y un ROIC que vuelva al 12 %; bajaría con una caída orgánica de Hydraulics.</w:t>
      </w:r>
    </w:p>
    <w:p>
      <w:pPr>
        <w:spacing w:after="100"/>
      </w:pPr>
      <w:r>
        <w:rPr>
          <w:b/>
        </w:rPr>
        <w:t xml:space="preserve">El negocio.</w:t>
      </w:r>
      <w:r>
        <w:t xml:space="preserve"> Componentes hidráulicos (65 % de las ventas, margen EBITDA del 19,6 %) y bombas de alta presión y de proceso (35 %, 27,2 %), con un margen del grupo del 22 % que aguantó dos años de caída de la hidráulica [6]. El ROIC con fondo de comercio es del 9,8 % frente a un WACC del 8,94 %: solo 0,9 puntos; sin fondo de comercio, 15,2 %. Como comprador en serie decide el publicado: veredicto de calidad «No». Sostenibilidad del crecimiento «En parte»: la mitad del 3,8 % anual es precio, la otra mitad compras pequeñas pagadas en el capex, y el ROIC incremental histórico es solo del 4 %.</w:t>
      </w:r>
    </w:p>
    <w:p>
      <w:pPr>
        <w:spacing w:after="100"/>
      </w:pPr>
      <w:r>
        <w:rPr>
          <w:b/>
        </w:rPr>
        <w:t xml:space="preserve">Sector y ciclo.</w:t>
      </w:r>
      <w:r>
        <w:t xml:space="preserve"> La hidráulica sale de dos años de caída (−14 % orgánico en 2024): cuatro trimestres de crecimiento, +6,2 % en el 2T26, pero la agricultura empeora y el comparable del 2S26 es más difícil [4]. Water Jetting cae un 12,5 % en el 1S26 solo por los pedidos de China de 2025.</w:t>
      </w:r>
    </w:p>
    <w:p>
      <w:pPr>
        <w:spacing w:after="100"/>
      </w:pPr>
      <w:r>
        <w:rPr>
          <w:b/>
        </w:rPr>
        <w:t xml:space="preserve">Finanzas.</w:t>
      </w:r>
      <w:r>
        <w:t xml:space="preserve"> Caja libre récord de 220,4 M en 2025, deuda neta ajustada de unos 411 M (0,9x EBITDA) y objetivo de deuda cero en 2028 [6]. El circulante (40 % de las ventas) es alto.</w:t>
      </w:r>
    </w:p>
    <w:p>
      <w:pPr>
        <w:spacing w:after="100"/>
      </w:pPr>
      <w:r>
        <w:rPr>
          <w:b/>
        </w:rPr>
        <w:t xml:space="preserve">Equipo y gobierno.</w:t>
      </w:r>
      <w:r>
        <w:t xml:space="preserve"> El fundador, con más de 80 años, preside con su familia en el 23,6 % del voto; consejo renovado en abril con seis independientes de nueve [21, 22]. Resta: sucesión sin plan conocido y la salida de un directivo estratégico en octubre. No hay constancia pública de una investigación abierta al fundador.</w:t>
      </w:r>
    </w:p>
    <w:p>
      <w:pPr>
        <w:spacing w:after="100"/>
      </w:pPr>
      <w:r>
        <w:rPr>
          <w:b/>
        </w:rPr>
        <w:t xml:space="preserve">Valoración.</w:t>
      </w:r>
      <w:r>
        <w:t xml:space="preserve"> El DCF da 38,19 EUR y el DCF inverso dice que el precio descuenta un crecimiento del 2,5 % anual en 2027-2033 frente al 3,9 % del base: el mercado la cotiza como una cíclica sin crecimiento. Los comparables (23,65x PER) dan mucho más, pero tienen más ROIC; las compras de Interpump a 4-5x EBITDA, mucho menos.</w:t>
      </w:r>
    </w:p>
    <w:p>
      <w:pPr>
        <w:spacing w:after="100"/>
      </w:pPr>
      <w:r>
        <w:rPr>
          <w:b/>
        </w:rPr>
        <w:t xml:space="preserve">Riesgos y catalizadores.</w:t>
      </w:r>
      <w:r>
        <w:t xml:space="preserve"> Recaída de la hidráulica (bajista: −25,6 % a 12 meses, 26,33 EUR), una compra grande y cara con la deuda a cero, y la sucesión. El riesgo de que la IA se coma el negocio es bajo: vende componentes físicos y la IA empuja los centros de datos que construye la maquinaria de obra. Catalizadores: resultados del 13-nov-2026 y guía de 2027 en febrero. Los comentarios de prensa y analistas para particulares son divididos y mejoran.</w:t>
      </w:r>
    </w:p>
    <w:p>
      <w:pPr>
        <w:spacing w:after="100"/>
      </w:pPr>
      <w:r>
        <w:rPr>
          <w:b/>
        </w:rPr>
        <w:t xml:space="preserve">Qué cambiaría la decisión.</w:t>
      </w:r>
      <w:r>
        <w:t xml:space="preserve"> Comprar por debajo de 37,56 EUR y vender por encima de 47,99 EUR. Pasaríamos a Mantener si Hydraulics vuelve a crecimiento orgánico negativo en el 3T o el 4T26, si el margen del año queda bajo el 22 % o si anuncia una compra a más de 10x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42,84 EUR</w:t>
      </w:r>
      <w:r>
        <w:t xml:space="preserve"> (rentabilidad +20,4 % (base +18,7 %)) · Valor intrínseco: 41,15 EUR (+14,7 % sobre 35,88) · con la prima implícita del mercado: 45,92 (+28,0 %)</w:t>
      </w:r>
    </w:p>
    <w:p>
      <w:pPr>
        <w:spacing w:after="100"/>
      </w:pPr>
      <w:r>
        <w:t xml:space="preserve">Interpump es un grupo italiano de componentes hidráulicos y bombas de alta presión con 2.071 M de ventas, un margen EBITDA del 22 % y una caja libre récord de 220 M en 2025, construido con más de cien compras pequeñas a 4-6 veces el EBITDA [6, 9]. Su fundador lo controla con su familia desde 1977.</w:t>
      </w:r>
    </w:p>
    <w:p>
      <w:pPr>
        <w:spacing w:after="100"/>
      </w:pPr>
      <w:r>
        <w:t xml:space="preserve">El precio descuenta una empresa sin crecimiento: 15,1x el beneficio de 2027e, 9,2x EV/EBITDA y un crecimiento implícito del 2,5 % anual, frente a 21,8x de mediana adelantada en cinco años y 23,65x de los comparables. Tras dos años de caída de la hidráulica y una guía prudente en febrero, la acción pierde un 22,5 % en el año [17].</w:t>
      </w:r>
    </w:p>
    <w:p>
      <w:pPr>
        <w:spacing w:after="100"/>
      </w:pPr>
      <w:r>
        <w:t xml:space="preserve">Para invertir hay que creer que la recuperación de la hidráulica (cuatro trimestres de crecimiento orgánico) sigue en 2027 y que el mercado vuelve a pagar algo más de 16 veces el beneficio, no las 22 de antes. Lo que juega en contra es la calidad: el ROIC con fondo de comercio (9,8 %) apenas supera el coste de capital, y el negocio necesita compras para crecer [4].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1,98 = 26,33 · 16,7x × 2,53 = 42,25 · 22,5x × 2,69 = 60,53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 / 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46,56 (nuestro base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 -17,1 %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frente a 8,9 %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15,7 % (&lt; 25 %); asimetría de 1,00 (&lt; 2); el precio descuenta solo 1,4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37,56 y 47,99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orgánico de Hydraulics del 3T26 o el 4T26 es negativo, pasaríamos a Mantener.</w:t>
      </w:r>
    </w:p>
    <w:p>
      <w:pPr>
        <w:pStyle w:val="ListParagraph"/>
        <w:numPr>
          <w:ilvl w:val="0"/>
          <w:numId w:val="2"/>
        </w:numPr>
        <w:spacing w:after="60"/>
      </w:pPr>
      <w:r>
        <w:t xml:space="preserve">Si el margen EBITDA de 2026 queda por debajo del 22 %, pasaríamos a Mantener.</w:t>
      </w:r>
    </w:p>
    <w:p>
      <w:pPr>
        <w:pStyle w:val="ListParagraph"/>
        <w:numPr>
          <w:ilvl w:val="0"/>
          <w:numId w:val="2"/>
        </w:numPr>
        <w:spacing w:after="60"/>
      </w:pPr>
      <w:r>
        <w:t xml:space="preserve">Si anuncia una compra de más de 300 M o a más de 10x EBITDA, revisaríamos la calidad y la recomendación.</w:t>
      </w:r>
    </w:p>
    <w:p>
      <w:pPr>
        <w:pStyle w:val="ListParagraph"/>
        <w:numPr>
          <w:ilvl w:val="0"/>
          <w:numId w:val="2"/>
        </w:numPr>
        <w:spacing w:after="60"/>
      </w:pPr>
      <w:r>
        <w:t xml:space="preserve">Por encima de 47,99 EUR, Vender; por debajo de 37,56 EUR,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Interpump es una cíclica en caída con un ROIC menguante: crecimiento del 2,5 % anual y margen del 21,7 %, sin vuelta al múltiplo de 20-22x de 2021-2025.</w:t>
      </w:r>
    </w:p>
    <w:p>
      <w:pPr>
        <w:keepNext/>
        <w:spacing w:after="100"/>
      </w:pPr>
      <w:r>
        <w:rPr>
          <w:b/>
          <w:bCs/>
        </w:rPr>
        <w:t xml:space="preserve">Lo que creemos nosotros.</w:t>
      </w:r>
    </w:p>
    <w:p>
      <w:pPr>
        <w:spacing w:after="100"/>
      </w:pPr>
      <w:r>
        <w:t xml:space="preserve">La hidráulica está en recuperación (cuatro trimestres), el margen aguanta en el 22,3-22,6 % y el BPA puede crecer un 8 % al año hasta 2,53 EUR en 2028 con precio, compras pequeñas y recompras; un múltiplo de 16,7x basta para ganar un 18,7 %.</w:t>
      </w:r>
    </w:p>
    <w:p>
      <w:pPr>
        <w:keepNext/>
        <w:spacing w:after="100"/>
      </w:pPr>
      <w:r>
        <w:rPr>
          <w:b/>
          <w:bCs/>
        </w:rPr>
        <w:t xml:space="preserve">Por qué podemos tener razón.</w:t>
      </w:r>
    </w:p>
    <w:p>
      <w:pPr>
        <w:spacing w:after="100"/>
      </w:pPr>
      <w:r>
        <w:t xml:space="preserve">La guía de 2026 se está cumpliendo en la parte alta, la caja libre es récord y la deuda cae. Pero no tenemos ventaja de información sobre el ciclo agrícola, y la v2 no ve la rentabilidad: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5,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deprimido</w:t>
      </w:r>
      <w:r>
        <w:t xml:space="preserve">: 15,1x el BPA de 2027e frente a 21,8x de mediana adelantada en cinco años.</w:t>
      </w:r>
    </w:p>
    <w:p>
      <w:pPr>
        <w:pStyle w:val="ListParagraph"/>
        <w:numPr>
          <w:ilvl w:val="0"/>
          <w:numId w:val="2"/>
        </w:numPr>
        <w:spacing w:after="60"/>
      </w:pPr>
      <w:r>
        <w:rPr>
          <w:b/>
        </w:rPr>
        <w:t xml:space="preserve">Margen resistente</w:t>
      </w:r>
      <w:r>
        <w:t xml:space="preserve">: EBITDA del 22,3 % en 2025 con ventas de la hidráulica a la baja [6].</w:t>
      </w:r>
    </w:p>
    <w:p>
      <w:pPr>
        <w:pStyle w:val="ListParagraph"/>
        <w:numPr>
          <w:ilvl w:val="0"/>
          <w:numId w:val="2"/>
        </w:numPr>
        <w:spacing w:after="60"/>
      </w:pPr>
      <w:r>
        <w:rPr>
          <w:b/>
        </w:rPr>
        <w:t xml:space="preserve">Caja récord</w:t>
      </w:r>
      <w:r>
        <w:t xml:space="preserve">: 220,4 M de caja libre en 2025 y deuda neta de 0,7x EBITDA [6].</w:t>
      </w:r>
    </w:p>
    <w:p>
      <w:pPr>
        <w:pStyle w:val="ListParagraph"/>
        <w:numPr>
          <w:ilvl w:val="0"/>
          <w:numId w:val="2"/>
        </w:numPr>
        <w:spacing w:after="60"/>
      </w:pPr>
      <w:r>
        <w:rPr>
          <w:b/>
        </w:rPr>
        <w:t xml:space="preserve">Ciclo a favor</w:t>
      </w:r>
      <w:r>
        <w:t xml:space="preserve">: Hydraulics +6,2 % orgánico en el 2T26, cuarto trimestre al alza [4].</w:t>
      </w:r>
    </w:p>
    <w:p>
      <w:pPr>
        <w:pStyle w:val="ListParagraph"/>
        <w:numPr>
          <w:ilvl w:val="0"/>
          <w:numId w:val="2"/>
        </w:numPr>
        <w:spacing w:after="60"/>
      </w:pPr>
      <w:r>
        <w:rPr>
          <w:b/>
        </w:rPr>
        <w:t xml:space="preserve">Compras baratas</w:t>
      </w:r>
      <w:r>
        <w:t xml:space="preserve">: White Drive a 5,2x EBITDA, Teknoice y MVV a 4,3x [3, 9].</w:t>
      </w:r>
    </w:p>
    <w:p>
      <w:pPr>
        <w:pStyle w:val="Heading2"/>
      </w:pPr>
      <w:r>
        <w:t xml:space="preserve">En contra</w:t>
      </w:r>
    </w:p>
    <w:p>
      <w:pPr>
        <w:pStyle w:val="ListParagraph"/>
        <w:numPr>
          <w:ilvl w:val="0"/>
          <w:numId w:val="2"/>
        </w:numPr>
        <w:spacing w:after="60"/>
      </w:pPr>
      <w:r>
        <w:rPr>
          <w:b/>
        </w:rPr>
        <w:t xml:space="preserve">Calidad baja con fondo de comercio</w:t>
      </w:r>
      <w:r>
        <w:t xml:space="preserve">: ROIC del 9,8 % frente a un WACC del 8,94 %.</w:t>
      </w:r>
    </w:p>
    <w:p>
      <w:pPr>
        <w:pStyle w:val="ListParagraph"/>
        <w:numPr>
          <w:ilvl w:val="0"/>
          <w:numId w:val="2"/>
        </w:numPr>
        <w:spacing w:after="60"/>
      </w:pPr>
      <w:r>
        <w:rPr>
          <w:b/>
        </w:rPr>
        <w:t xml:space="preserve">Crecimiento que necesita compras</w:t>
      </w:r>
      <w:r>
        <w:t xml:space="preserve">: el volumen orgánico proyectado es solo del 0,5-1 % anual.</w:t>
      </w:r>
    </w:p>
    <w:p>
      <w:pPr>
        <w:pStyle w:val="ListParagraph"/>
        <w:numPr>
          <w:ilvl w:val="0"/>
          <w:numId w:val="2"/>
        </w:numPr>
        <w:spacing w:after="60"/>
      </w:pPr>
      <w:r>
        <w:rPr>
          <w:b/>
        </w:rPr>
        <w:t xml:space="preserve">La v2 no da compra</w:t>
      </w:r>
      <w:r>
        <w:t xml:space="preserve">: 8,9 % ponderada; la señal depende del múltiplo.</w:t>
      </w:r>
    </w:p>
    <w:p>
      <w:pPr>
        <w:pStyle w:val="ListParagraph"/>
        <w:numPr>
          <w:ilvl w:val="0"/>
          <w:numId w:val="2"/>
        </w:numPr>
        <w:spacing w:after="60"/>
      </w:pPr>
      <w:r>
        <w:rPr>
          <w:b/>
        </w:rPr>
        <w:t xml:space="preserve">Ciclo agrícola</w:t>
      </w:r>
      <w:r>
        <w:t xml:space="preserve">: empeoró en el 2T26 y el comparable del 2S26 es más difícil [4].</w:t>
      </w:r>
    </w:p>
    <w:p>
      <w:pPr>
        <w:pStyle w:val="ListParagraph"/>
        <w:numPr>
          <w:ilvl w:val="0"/>
          <w:numId w:val="2"/>
        </w:numPr>
        <w:spacing w:after="60"/>
      </w:pPr>
      <w:r>
        <w:rPr>
          <w:b/>
        </w:rPr>
        <w:t xml:space="preserve">Sucesión</w:t>
      </w:r>
      <w:r>
        <w:t xml:space="preserve">: fundador de más de 80 años y salida de un directivo estratégico en octubre [23].</w:t>
      </w:r>
    </w:p>
    <w:p>
      <w:pPr>
        <w:pStyle w:val="Heading2"/>
      </w:pPr>
      <w:r>
        <w:t xml:space="preserve">Qué tiene que pasar para que la tesis funcione</w:t>
      </w:r>
    </w:p>
    <w:p>
      <w:pPr>
        <w:spacing w:after="100"/>
      </w:pPr>
      <w:r>
        <w:t xml:space="preserve">La tesis depende de que el crecimiento orgánico de Hydraulics siga positivo en el 3T26 y el 4T26 sin cancelaciones de pedidos de fin de año, como pasó en 2023-2025. La señal de que no se cumple: Hydraulics negativa en el 3T26 (13-nov) o un margen del grupo por debajo del 22 % en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Hydraulics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22-22,5 %; 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con fondo de comercio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frente al WACC del 8,94 %.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las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 EBITDA (Teknoice, MVV)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baratas son la ventaja del modelo.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35-36 %; libera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Fulvio Montipò fundó Interpump en 1977 en Sant'Ilario d'Enza para fabricar bombas de émbolo de alta presión, y la sacó a bolsa en Milán en 1996 [10]. Desde 1997 entró en la hidráulica (tomas de fuerza para camiones) y con más de 100 compras, casi todas pequeñas, construyó dos divisiones: Hydraulics (Walvoil, White Drive, Reggiana Riduttori) y Water Jetting (Hammelmann en 2005, Inoxpa en 2017). En los noventa vendió la empresa a BC Partners y luego recompró una gran participación; hoy su familia controla el 23,4 % del voto a través de Gruppo IPG Holding [10, 22]. Las ventas pasaron de 672 M en 2014 a 2.240 M en 2023 y bajaron a 2.071 M en 2025 con el ciclo hidráulico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Fulvio Montipò funda Interpump en Sant'Ilario d'Enza (Reggio Emilia) para fabricar bombas de émbolo de alta presión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 hoy cotiza en el segmento STAR de Euronext Milan [B1, B5].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la hidráulica (tomas de fuerza para vehículos industriales), hoy dos tercios de las ventas [B1, B5].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Hammelmann (Alemania), líder en bombas de muy alta presión e hidrodemolición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Walvoil (válvulas y distribuidores hidráulicos)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Inoxpa y Mariotti &amp; Pecini: entrada en bombas y líneas higiénicas para alimentación, hoy el 10 % del grupo [B1, B6].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White Drive Motors &amp; Steering a Danfoss por 278 M, la mayor de su historia [B1, B7].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2.500 M de ventas y deuda neta cero en 2028; caída del 18,3 % el 13-feb por una guía prudente; compras de MVV y Teknoice [B5, B8].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Interpump fabrica componentes de potencia hidráulica y bombas de alta presión. Hydraulics (65 % de las ventas de 2025, 1.355 M) vende tomas de fuerza, bombas, cilindros, válvulas, motores orbitales, reductores, tubos y racores a fabricantes de camiones, grúas, maquinaria agrícola y de obra, y a distribuidores. Water Jetting (35 %, 716 M) vende bombas de émbolo de alta y muy alta presión para limpieza industrial, hidrodemolición y corte, y bombas, válvulas y líneas higiénicas para alimentación, farmacia y química, además de sistemas de ordeño [1]. Más de 100 sociedades en 36 países y 9.712 empleados; el 84 % de las ventas fuera de Italia [2, 10, 26].</w:t>
      </w:r>
    </w:p>
    <w:p>
      <w:pPr>
        <w:pStyle w:val="Heading2"/>
      </w:pPr>
      <w:r>
        <w:t xml:space="preserve">Cómo gana dinero</w:t>
      </w:r>
    </w:p>
    <w:p>
      <w:pPr>
        <w:spacing w:after="100"/>
      </w:pPr>
      <w:r>
        <w:t xml:space="preserve">Vende a fabricantes (equipo original) y a distribuidores y recambio; no publica la parte recurrente. El margen sale de la fabricación integrada (fundición, mecanizado, tratamientos) y de la especificación en nichos: Water Jetting da un 27,2 % de EBITDA y Hydraulics un 19,6 % [6]. El apalancamiento operativo es moderado: en 2025, un −4 % de ventas en Hydraulics restó un 5 % de EBITDA [5]. El cuarto trimestre es el más flojo (margen del 19,8 % en el 4T25 frente al 23,8 % del 2T25) por el ajuste de inventarios de los clientes [3, 6]. El crecimiento combina precio (aranceles y energía repercutidos), volumen del ciclo y compras pequeñas a 4-5x EBITDA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Hydraulics (Olio)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Water Jetting (Acqua)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Hydraulics (Olio)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Water Jetting (Acqua)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publica concentración de clientes; sus clientes de Hydraulics son fabricantes de vehículos industriales y maquinaria, más distribuidores, que juntos con los adaptadores de vehículos industriales suman el 40 % de la división [5]. Agricultura y construcción pesan menos del 10 % de las ventas cada una; alimentación ya es el 10 % del grupo [5]. Poder de precios demostrado: repercutió ≈6 M de aranceles por trimestre y recargos de energía y transporte en 2026 sin perder margen [4], y el margen EBITDA aguantó el 22,0-22,3 % en 2024-2025 con ventas a la baja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(1S26); −0,7 %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entre −2 % y +3 %, «parte alta»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Hydraulics +6,2 % orgánico en el 2T26 (cuarto trimestre seguido al alza); Water Jetting −12,5 % por los pedidos excepcionales de Hammelmann en China del 1S25 [A3, A4].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Hydraulics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(2025); +4,1 % sin compras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Del −14,5 % del 1T25 al +6,2 % del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Agricultura y construcción +40 % en el 4T25; en el 2T26 la agricultura «empeora ligeramente» [A5, A4].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 (2025); 22,4 %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22-22,5 %; objetivo 2028: ≈22,5 % [A3, A6].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(FCF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M (2024, deducido de la 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 M (2025, récord); 94,6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Tercer récord seguido previsto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el 4 % de las ventas; circulante en el 40 % de las ventas, objetivo 35-36 % [A6, A4].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Posición financiera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 M (dic-25); 305,7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M en 18 meses pese a 64 M de recompras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arrendamientos fuera ni deudas por compras de minoritarios (64,3 M a jun-26) [A3, A6].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Relación pedidos/facturación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 en las dos divisiones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no publica la cifra exacta [A4].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hidráulica mundial (bombas, cilindros, válvulas, motores y tomas de fuerza) para la división Hydraulics, y bombas de alta presión y de proceso higiénico para Water Jetting. Se usa la hidráulica (≈65 % de las ventas) como mercado de referencia, con MarketsandMarkets (38.980 M USD en 2024) y Research and Markets (44.920 M USD en 2025) [14, 15]: la diferencia es de perímetro; las dos dan un crecimiento del 2,4-4,4 % anual. Bombas de alta presión: ≈3.860 M USD [16]; tomas de fuerza ≈2.300 M USD [19]. Ficha sectorial del 14-oct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Hidráulica mundial: 38.980 M USD en 2024 y 44.260 M en 2030 [B2]; 44.920 M USD en 2025 y 55.730 M en 2030 [B3]. Bombas de alta presión: ≈3.860 M USD en 2025 [B4].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hidráulica mundial,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maquinaria agrícola, de obra y de manutención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Agricultura y construcción +40 % en el 4T25 tras dos años de caída; la agricultura empeora en el 2T26 [4,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Camiones y vehículos industriales (tomas de fuerza)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Vehículos industriales positivos en el 2T26 por «estabilización» del mercado de camiones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e infraestructura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maquinaria de obra creció a dos dígitos en el 2T26 apoyada por infraestructura y centros de datos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Alimentación y farmacia (bombas higiénicas)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Alimentación es el 25 % de Water Jetting, creció más del 15 % en 2025 y de un dígito alto en el 2T26 [4,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de vehículos y maquinaria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a largo plazo la toma de fuerza mecánica; sin cifra de efecto publicada por la empresa.</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grandes (Bosch Rexroth, Danfoss, Parker) y muchos especialistas; Danfoss compró Eaton Hydraulics por 3.300 M USD en 2021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grandes de camiones y maquinaria que gestionan inventarios: cancelaron pedidos al final de 2023-2025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fundición y energía; Interpump está integrada verticalmente y repercute recargos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con los fabricantes y red de distribución; los chinos compiten en la gama media.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sustituye parte de la hidráulica a largo plazo; las bombas de alta presión no tienen sustituto cercano.</w:t>
            </w:r>
          </w:p>
        </w:tc>
      </w:tr>
    </w:tbl>
    <w:p>
      <w:pPr>
        <w:spacing w:after="160" w:before="0"/>
      </w:pPr>
    </w:p>
    <w:p>
      <w:pPr>
        <w:pStyle w:val="Heading2"/>
      </w:pPr>
      <w:r>
        <w:t xml:space="preserve">Ciclo</w:t>
      </w:r>
    </w:p>
    <w:p>
      <w:pPr>
        <w:spacing w:after="100"/>
      </w:pPr>
      <w:r>
        <w:t xml:space="preserve">Hydraulics pasó del −14,5 % orgánico del 1T25 a cuatro trimestres seguidos de crecimiento (+6,2 % en el 2T26) y la relación pedidos/facturación es superior a 1 en el 1S26 [4, 5]. En 2020 las ventas del grupo cayeron un 5,4 % (1.294 frente a 1.369 M) [2]; en 2022-2023 el sector vivió un pico de demanda postpandemia y en 2024 la hidráulica cayó un 14 % orgánico. 2009: n.d. con fuente primaria leída.</w:t>
      </w:r>
    </w:p>
    <w:p>
      <w:pPr>
        <w:pStyle w:val="Heading2"/>
      </w:pPr>
      <w:r>
        <w:t xml:space="preserve">Regulación</w:t>
      </w:r>
    </w:p>
    <w:p>
      <w:pPr>
        <w:spacing w:after="100"/>
      </w:pPr>
      <w:r>
        <w:t xml:space="preserve">Aranceles de EE. UU. desde 2025 (≈6 M EUR por trimestre para Interpump, repercutidos) [4]; normas de emisiones de maquinaria y camiones (Stage V en la UE, EPA en EE. UU.), que empujan la electrificación; directiva europea de diligencia debida y CSRD (el grupo publica su primer informe CSRD en 2025) [1].</w:t>
      </w:r>
    </w:p>
    <w:p>
      <w:pPr>
        <w:pStyle w:val="Heading2"/>
      </w:pPr>
      <w:r>
        <w:t xml:space="preserve">Tendencias y disrupción</w:t>
      </w:r>
    </w:p>
    <w:p>
      <w:pPr>
        <w:spacing w:after="100"/>
      </w:pPr>
      <w:r>
        <w:t xml:space="preserve">Electrificación de vehículos y maquinaria (amenaza a largo plazo para las tomas de fuerza; oportunidad en bombas eléctricas), automatización de la maquinaria, crecimiento de la alimentación procesada y de la farmacia en las bombas higiénicas, y consolidación de un sector fragmentado en la que Interpump es comprador habitual. La IA no sustituye componentes de alta presión; empuja la demanda vía centros de datos [4,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especialistas europeos en hidráulica móvil (≈3 % de cuota mundial en hidráulica con 1.355 M EUR de ventas) y líder en bombas de émbolo de alta presión según la empresa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Parker-Hannifin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movimiento y control; margen y ROIC muy superiores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Danfoss Power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dobló su tamaño con Eaton Hydraulics (2021) y vendió White Drive a Interpump [9,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Bucher Industries (Bucher Hydraulics)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maquinaria con división hidráulica; mismo ciclo agrícola, margen menor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GGG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y dispensado de fluidos; referencia de margen en bombas especificadas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y medición de fluidos, comprador en serie como Interpump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Dover (Pumps &amp; Process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Bombas, compresores y componentes; conglomerado industrial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componentes industriales.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homologados en las plataformas de los fabricantes; cambiar exige validar de nuevo la máquina.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nicho (Hammelmann, Pratissoli, Walvoil, Inoxpa); pocas patentes decisivas.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integrada en Italia y margen EBITDA del 22 % con ventas a la baja en 2024-2025, por encima de Bucher (11 %) [A6, D2].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bombas de alta presión, mercado de 3.000-4.000 M USD donde es líder [B4].</w:t>
            </w:r>
          </w:p>
        </w:tc>
      </w:tr>
    </w:tbl>
    <w:p>
      <w:pPr>
        <w:spacing w:after="160" w:before="0"/>
      </w:pPr>
    </w:p>
    <w:p>
      <w:pPr>
        <w:pStyle w:val="Heading2"/>
      </w:pPr>
      <w:r>
        <w:t xml:space="preserve">Amenazas</w:t>
      </w:r>
    </w:p>
    <w:p>
      <w:pPr>
        <w:spacing w:after="100"/>
      </w:pPr>
      <w:r>
        <w:t xml:space="preserve">La electrificación de camiones y maquinaria reduce la toma de fuerza mecánica a largo plazo (probabilidad media, más allá de cinco años). Los fabricantes chinos compiten en hidráulica de gama media (probabilidad media). Los grandes (Parker, Danfoss) pueden empaquetar sistemas completos para los fabricantes. El foso de Water Jetting (nichos de muy alta presión) es más sólido que el de Hydraulics, donde el margen del 19,6 % queda bajo el de Parker [6,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6,6 %</w:t>
      </w:r>
      <w:r>
        <w:t xml:space="preserve">, EBITDA </w:t>
      </w:r>
      <w:r>
        <w:rPr>
          <w:b/>
          <w:bCs/>
        </w:rPr>
        <w:t xml:space="preserve">5,0 %</w:t>
      </w:r>
      <w:r>
        <w:t xml:space="preserve">, BPA </w:t>
      </w:r>
      <w:r>
        <w:rPr>
          <w:b/>
          <w:bCs/>
        </w:rPr>
        <w:t xml:space="preserve">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1.604 M en 2021 a 2.240 M en 2023 (pico postpandemia y White Drive desde oct-21) y bajaron a 2.078 M en 2024 y 2.071 M en 2025 por la caída de la hidráulica (−14 % orgánico en 2024 y −4 % en 2025), compensada en parte por Water Jetting (+6,3 % orgánico en 2025) [2, 6]. Las cifras por división de 2021-2022 salen del informe anual de 2022 [8]. El margen EBITDA pasó del 24,0 % de 2023 al 22,0 % de 2024 y al 22,3 % en 2025: se perdieron 170 puntos básicos por volumen, no por precio. El EBIT se quedó en 336,6 M en 2025 (16,3 %) por más amortizaciones del plan de inversión de 2022-2024 [6]. El beneficio neto cayó un 8,2 % en 2025 (208,1 M) por diferencias de cambio y por el ajuste de la deuda de compra de minoritarios, que sube cuando las filiales van mejor [6]. En los 12 meses a jun-26, ventas de 2.080 M y BPA de 2,01 EUR [3, 13].</w:t>
      </w:r>
    </w:p>
    <w:p>
      <w:pPr>
        <w:pStyle w:val="Heading2"/>
      </w:pPr>
      <w:r>
        <w:t xml:space="preserve">Ajustes y partidas no recurrentes</w:t>
      </w:r>
    </w:p>
    <w:p>
      <w:pPr>
        <w:spacing w:after="100"/>
      </w:pPr>
      <w:r>
        <w:t xml:space="preserve">Cifras reportadas. No hay EBITDA ajustado: el EBITDA de la empresa es EBIT más amortizaciones y deterioros [1]. En el resultado financiero entran cada año los ajustes de las deudas por compra de minoritarios (neto −1,8 M en 2025, +6,5 M en 2024) y diferencias de cambio (−9,7 M en 2025): se repiten y no se ajustan [1]. 2018 incluyó 11,4 M de ingresos no recurrentes y 2020 21,7 M de revalorizaciones fiscales, que se quitan solo en la historia del PER [11,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febrero (4T25) la dirección presentó una guía prudente (orgánico −2 %/+3 %) pese a tres trimestres de crecimiento orgánico, y los analistas le recordaron que la guía de los dos años anteriores había decepcionado; el consejero delegado defendió que la de 2025 (−5 %/+1 %) se cumplió y que la agricultura pesa menos del 10 % [5]. La acción cayó un 18,3 % ese día [17]. En mayo (1T26) Hydraulics sumó otro trimestre de crecimiento orgánico [7]. En agosto (2T26) el discurso cambió: «mucho más confiados» en la parte alta del rango por el +0,7 % orgánico del 1S26, pedidos/facturación superior a 1 en las dos divisiones y julio de apoyo; margen 22-22,5 % sin estrechar el rango [4]. Las preguntas repetidas: margen del segundo semestre (los últimos tres cuartos trimestres decepcionaron por cancelaciones de pedidos en Hydraulics), recompras y tamaño de las compras. La dirección evitó dar la cifra exacta de pedidos y no cuantificó la recompra futura [4,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White Drive Motors &amp; Steering, consolidada desde el 1-oct-2021 (valor empresa 278 M; ventas anuales algo por encima de 200 M): un trimestre en la cuenta y todo el balance [A9].).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posición financiera neta bajó de 409,0 M (dic-24) a 291,1 M (dic-25) con 220,4 M de caja libre, y subió a 305,7 M en jun-26 tras pagar 35,5 M de dividendos, 47,8 M de recompras y 18,1 M de compras [3, 6]. El circulante comercial es alto: 842 M a dic-25 (40,7 % de las ventas) y 919 M a jun-26 por estacionalidad; la empresa quiere bajarlo al 35-36 % [4]. Deuda neta ajustada (con minoritarios por comprar, TFR y las compras de julio) de unos 411 M: 0,9x el EBITDA.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730</w:t>
      </w:r>
      <w:r>
        <w:t xml:space="preserve">, conversión </w:t>
      </w:r>
      <w:r>
        <w:rPr>
          <w:b/>
          <w:bCs/>
        </w:rPr>
        <w:t xml:space="preserve">62 %</w:t>
      </w:r>
      <w:r>
        <w:t xml:space="preserve"> del beneficio neto; adquisiciones 514, dividendos 167, recompras 144.</w:t>
      </w:r>
    </w:p>
    <w:p>
      <w:pPr>
        <w:spacing w:after="100"/>
      </w:pPr>
      <w:r>
        <w:t xml:space="preserve">El flujo operativo pasó de 204 M en 2022 (absorción de circulante en el pico) a 357 M en 2024 y 334 M en 2025, y la caja libre de la empresa marcó récords en 2024 y 2025 (220,4 M) [6]. El capex cayó del 7,5 % de las ventas en 2023 al 4,9 % en 2025 tras el plan de plantas de 2022-2024; la guía es ≈4 % (estimación propia: ≈3,5 % de mantenimiento, en línea con la amortización del inmovilizado material sin derechos de uso) [4]. Las compras gastaron 307 M en 2021 (White Drive) y 39-89 M al año después [1]. Conversión de beneficio en caja libre ≈1,0x en 2025.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S.p.A. (según el informe 2023; en el texto ESEF de 2025 la página no se lee)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NIIF-UE auditadas con opinión favorable; sin cambios de criterio relevantes. Capitaliza poco desarrollo (10,4 M de gastos de desarrollo en el balance) [1]. Los pagos en acciones son pequeños en la cuenta (6,8 M en 2025), pero el plan de opciones 2025-2027 dio 1,14 M de opciones al presidente [1]. El resultado financiero mezcla diferencias de cambio y revalorizaciones de las deudas por compras de minoritarios, que mueven el BPA ±0,05 EUR al año. Indicadores del motor: Altman Z de 3,84 (zona segura), Piotroski F de 6 (normal) y Beneish M de −2,63 (sin señales de manipulación, por debajo de −1,78). El fondo de comercio (866 M, el 41 % del patrimonio) no ha sufrido deterioros relevantes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Deudas por compra de minoritarios fuera de la posición financiera neta publicada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64,3 M a jun-26; se suman en el puente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alto de compras pequeñas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866 M (25 % del activo) sin deterioros; las pruebas de deterioro no se han leído en detalle.</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40 %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Inventarios altos por política de servicio; la empresa quiere bajarlos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8,9 %.</w:t>
      </w:r>
    </w:p>
    <w:p>
      <w:pPr>
        <w:spacing w:after="100"/>
      </w:pPr>
      <w:r>
        <w:t xml:space="preserve">El ROIC con fondo de comercio fue del 14,3 % en 2022-2023 y bajó al 10,5 % en 2024 y al 9,8 % en 2025 con la caída de la hidráulica; frente al WACC del 8,94 % crea poco valor hoy (0,9 puntos). Sin fondo de comercio el ROIC de 2025 es del 15,2 % (236 M de NOPAT sobre 1.549 M de capital), 6,3 puntos sobre el WACC: el negocio de base es bueno y lo que diluye son las compras. Como Interpump es comprador en serie, la cifra que cuenta es la publicada (con fondo de comercio). El ROIC lo mueve el margen y la rotación (0,58-0,70 veces el capital), baja por el circulante del 40 %. El ROIC incremental histórico es del 4 % por el ciclo. Parker (17 %), Graco (20 %) y Atlas Copco (20 %) rinden más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369,6 M a 30-jun-26 frente a deuda bruta de 675,3 M (bancos 33,4 M, deuda financiera con intereses a corto 219,3 M y a largo 422,5 M, con unos 77 M de arrendamientos); a dic-25, préstamos bancarios de 496,2 M a Euribor + 0,91 de diferencial medio y un bono de 99,5 M al 4,17 % [A3, A1]. Covenants (deuda neta/patrimonio, deuda neta/EBITDA, EBITDA/gastos financieros) «ampliamente respetados» [A1].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(no consta en el informe anual ni en los trimestrales)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Deudas por la compra de participaciones residuales en filiales (opciones de venta de minoritarios y pagos aplazados): 85,0 M a dic-25 y 64,3 M a jun-26, fuera de la posición financiera neta publicada; van al puente como deuda [1, 3]. TFR (indemnizaciones por despido italianas) de 21,9 M [3]. Provisiones para riesgos de 22,1 M a jun-26, por litigios diversos [1, 3]. Arrendamientos de 77,1 M a dic-25 dentro de la deuda financiera [1]. Garantías reales a terceros de 4,9 M [1]. Covenants (deuda neta/patrimonio, deuda neta/EBITDA, EBITDA/gastos financieros) ampliamente respetados [1].</w:t>
      </w:r>
    </w:p>
    <w:p>
      <w:pPr>
        <w:pStyle w:val="Heading1"/>
      </w:pPr>
      <w:r>
        <w:t xml:space="preserve">12. Asignación de capital</w:t>
      </w:r>
    </w:p>
    <w:p>
      <w:pPr>
        <w:pStyle w:val="Confianza"/>
        <w:spacing w:after="100"/>
      </w:pPr>
      <w:r>
        <w:t xml:space="preserve">Confianza: Media</w:t>
      </w:r>
    </w:p>
    <w:p>
      <w:pPr>
        <w:spacing w:after="100"/>
      </w:pPr>
      <w:r>
        <w:t xml:space="preserve">Dividendo bajo y creciente (0,35 EUR por 2025, ≈18 % de reparto), recompras oportunistas (47,8 M en el 1S26; autorización por 18 meses de abril de 2026) y prioridad a las compras: la caja futura irá «sobre todo» a crecer por compras, con el objetivo de deuda neta cero a finales de 2028 [6, 21]. El presidente habla de compras «más ambiciosas» con la deuda a cero [6,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White Drive Motors &amp; Steering (motores orbitales y dirección hidráulica; EE. UU. y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bancaria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a 5,2x el EBITDA de cierre (53 M); integrada en Hydraulics; sin deterioros publicados [A9, A1].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I.Mec y Waikato Milking Systems (ordeño,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Water Jetting, que crece de forma orgánica de un dígito alto en 2023-2025 [A10, A5].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compras: PP China, YRP Shanghai Flow Technology, Alltube, Alfa Valvole, H.S. e Hidrover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por compras de 89,2 M en 2024; sin efecto dilutivo en el margen según la empresa [A6, A1].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Padoan, Tutto Hidraulicos, Borghi Assali (70 %) y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pagos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Aportan +2,4 % de ventas en el 1S26; el margen de Hydraulics sube al 21,2 % en el 2T26 pese a consolidarlas [A3, A4].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MVV (bombas dosificadoras de engranajes) y Teknoice (líneas para helados)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6 M (ventas 6,3 M, margen EBITDA ≈22 %) y 18 M (ventas ≈30 M, margen ≈14 %): ≈4,3x el EBITDA en las dos; demasiado recientes para juzgarlas [A3].</w:t>
            </w:r>
          </w:p>
        </w:tc>
      </w:tr>
    </w:tbl>
    <w:p>
      <w:pPr>
        <w:spacing w:after="160" w:before="0"/>
      </w:pPr>
    </w:p>
    <w:p>
      <w:pPr>
        <w:spacing w:after="100"/>
      </w:pPr>
      <w:r>
        <w:t xml:space="preserve">Buen asignador en compras pequeñas: compra a 4-6x EBITDA (White Drive 5,2x, Teknoice y MVV 4,3x) e integra sin diluir margen [3, 9]. Pero el ROIC con fondo de comercio ha bajado del 14,3 % al 9,8 % y el ROIC incremental es del 4 %: en 2021-2025 invirtió unos 1.160 M (650 M de capex y 514 M de compras) y el NOPAT solo subió 23 M (213 a 236 M), con el ciclo en contra. Las recompras de 2026 a 31-35 EUR (coste medio de la autocartera 37,46) tienen sentido con la acción a 15x beneficio. El reparto bajo deja la caja para compras: el riesgo es que crezcan de tamaño.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Fulvio Montipò</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1977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el grupo en 1977 y lo sacó a bolsa en 1996; desde entonces las ventas pasaron de unos 672 M (2014) a 2.071 M (2025) con más de 100 compras. Tiene el 1,43 % directo; su familia controla Gruppo IPG Holding (23,42 % del voto) a través de Leila Montipò e Sorelle Sapa. Confirmado en la junta de abril de 2026 hasta el ejercicio 2028; recibió 1,14 M de opciones en 2025 [C1, C2, C3].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Fabio Marasi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como consejero delegado en abril de 2026; dirige las conferencias de resultados. Con él el grupo recuperó el crecimiento orgánico de Hydraulics (cuatro trimestres seguidos) y logró dos récords de caja libre (2024-2025); 160.000 opciones en 2025 [C2, C3, C4].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Giovanni Tamburi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Tamburi Investment Partners (TIP), socio minoritario de Gruppo IPG Holding; confirmado como vicepresidente en abril de 2026 [C2].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Mauro Barani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información financiera (dirigente preposto)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 declaración del artículo 154-bis sobre los documentos contables; confirmado en abril de 2026 [C2, C5].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Federica Menichetti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 (lead independent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Nombrada consejera coordinadora en el consejo renovado en abril de 2026 (nueve miembros, seis independientes) [C2].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en el segundo semestre (la empresa reconoce que «los dos últimos años» decepcionaron frente a lo previsto)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grupo −7,2 % (2.078 frente a 2.240 M) con Hydraulics −14 % orgánico; margen EBITDA del 22,0 % (24,0 % en 2023) [C9]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entre −5 % y +1 % (feb-25)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orgánico, en la parte alta del rango; margen EBITDA del 22,3 % [C9]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entre −2 % y +3 %, margen 22-22,5 % (feb-26); «parte alta» desde ago-26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orgánico y 22,4 % de margen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2.500 M (+20 % sobre 2025 con compras), margen ≈22,5 %, deuda neta cero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2.080 M de ventas en los 12 meses a jun-26 y 305,7 M de deuda neta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el fundador preside desde 1977 y el consejo se renovó en abril de 2026 hasta 2028 con el mismo presidente, vicepresidente y consejero delegado [21]. La credibilidad de la guía es media: 2024 decepcionó, 2025 se cumplió en la parte alta y 2026 va camino de la parte alta [4, 5]. La dependencia del fundador (más de 80 años) es el punto débil: no hemos leído un plan de sucesión, y en octubre salió un directivo con responsabilidades estratégicas sin explicación [23]. Marasi lleva la relación con el mercado y la ejecución operativa.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Fulvio Montipò</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1977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Giovanni Tamburi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Fabio Marasi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Federica Menichetti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Gruppo IPG Holding S.p.A. (familia Montipò, vía Leila Montipò e Sorelle Sapa; Tamburi Investment Partners es socio minoritario del holding)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desde nov-23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nov-24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Reggiana Finanziaria S.r.l. (G. Albarelli)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oct-19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Fulvio Montipò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3.785.087 acciones a jun-26 (2,92 % a mar-26) a 37,46 EUR de coste medio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remuneraciones de 2026. Lo leído: el consejo cobró 9,30 M en 2025 (7,45 M en 2024), con el valor de las opciones incluido; el plan 2025-2027 dio 1,14 M de opciones al presidente ejecutivo y 160.000 al consejero delegado [1]. No consta que el variable dependa del ROIC o de la caja libre: las opciones premian el precio de la acción, y la estrategia de compras premia el tamaño.</w:t>
      </w:r>
    </w:p>
    <w:p>
      <w:pPr>
        <w:pStyle w:val="Heading2"/>
      </w:pPr>
      <w:r>
        <w:t xml:space="preserve">Operaciones vinculadas, estructura de control y defensas</w:t>
      </w:r>
    </w:p>
    <w:p>
      <w:pPr>
        <w:spacing w:after="100"/>
      </w:pPr>
      <w:r>
        <w:t xml:space="preserve">La familia Montipò controla de hecho la junta con el 23,56 % del voto (Gruppo IPG Holding, en la que Tamburi Investment Partners es socio minoritario) más el 1,43 % directo del fundador [10, 22]. Sin voto plural ni límites de voto en el registro de Consob [22]. El presidente ejecutivo es el fundador y accionista de control; hay consejera independiente coordinadora y seis independientes de nueve [21]. No hay operaciones vinculadas relevantes (122.000 EUR de consultorías en 2025) [1]. Una OPA hostil no es posible sin el holding.</w:t>
      </w:r>
    </w:p>
    <w:p>
      <w:pPr>
        <w:pStyle w:val="Heading2"/>
      </w:pPr>
      <w:r>
        <w:t xml:space="preserve">Señales de alerta</w:t>
      </w:r>
    </w:p>
    <w:p>
      <w:pPr>
        <w:pStyle w:val="ListParagraph"/>
        <w:numPr>
          <w:ilvl w:val="0"/>
          <w:numId w:val="2"/>
        </w:numPr>
        <w:spacing w:after="60"/>
      </w:pPr>
      <w:r>
        <w:t xml:space="preserve">Salida de Riccardo Mastronardi, dirigente con responsabilidades estratégicas, el 5-oct-2026, sin motivo publicado [C5].</w:t>
      </w:r>
    </w:p>
    <w:p>
      <w:pPr>
        <w:pStyle w:val="ListParagraph"/>
        <w:numPr>
          <w:ilvl w:val="0"/>
          <w:numId w:val="2"/>
        </w:numPr>
        <w:spacing w:after="60"/>
      </w:pPr>
      <w:r>
        <w:t xml:space="preserve">El fundador y presidente ejecutivo tiene más de 80 años; el plan de sucesión no se ha leído en el informe de gobierno 2025 [C1].</w:t>
      </w:r>
    </w:p>
    <w:p>
      <w:pPr>
        <w:pStyle w:val="ListParagraph"/>
        <w:numPr>
          <w:ilvl w:val="0"/>
          <w:numId w:val="2"/>
        </w:numPr>
        <w:spacing w:after="60"/>
      </w:pPr>
      <w:r>
        <w:t xml:space="preserve">Investigación fiscal o judicial al fundador: no se ha encontrado ninguna abierta en el informe anual 2025, en los comunicados de 2026 ni en la prensa italiana consultada (ver huecos) [C6].</w:t>
      </w:r>
    </w:p>
    <w:p>
      <w:pPr>
        <w:pStyle w:val="ListParagraph"/>
        <w:numPr>
          <w:ilvl w:val="0"/>
          <w:numId w:val="2"/>
        </w:numPr>
        <w:spacing w:after="60"/>
      </w:pPr>
      <w:r>
        <w:t xml:space="preserve">Interpump salió del índice FTSE All-World el 21-sep-2026 [C6].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(feb-26, confirmada en may-26 y ago-26): crecimiento orgánico entre −2 % y +3 % («parte alta» desde agosto), más ≈2,5 % de compras; margen EBITDA del 22-22,5 %; nuevo récord de caja libre [4]. Plan 2026-2028: ventas de 2.500 M en 2028 (+20 % sobre 2025, con compras), margen ≈22,5 % y deuda neta cero a finales de 2028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Zonebourse/MarketScreener, 8 analistas [D3]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Zonebourse/MarketScreener [D3]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Zonebourse/MarketScreener [D3]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Una sola fuente con estimaciones completas (Zonebourse/MarketScreener, 8 analistas): BPA de 2,147 EUR en 2026 y 2,39 en 2027 [27]. En abril Equita recortó su objetivo por un 2026 más prudente; en mayo Kepler Cheuvreux subió a Comprar y recortó el objetivo; en agosto Banca Akros subió a Acumular y elevó el objetivo; en septiembre Sadif bajó a Mantener [24, 36]. Tendencia de 3 meses: estable a ligeramente al alza tras el 2T26. Sin datos de revisiones del BPA en cifras.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22,5 % en el año frente al +10,7 % del FTSE MIB y un 8,9 % anual en cinco años frente al +13,6 % [17]. El castigo empezó en 2022 (−34,1 %) con el fin del pico postpandemia y siguió con dos años de caída de la hidráulica; la caída máxima es del 60,9 % (nov-21 a abr-25) [17]. En 2026: −18,3 % el 13-feb por la guía prudente y −9,1 % el 15-may con el 1T26; mínimo de 30,10 EUR el 23-mar [17, 39]. Salió del índice FTSE All-World el 21-sep-2026 [24]. Volatilidad del 38,2 % y beta de 1,15 [17].</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a 15,1x el BPA de 2027e frente a una mediana adelantada de 21,8x en 2021-2025 y una media de 20,6x desde 2018; el EV/EBITDA de los últimos 12 meses (9,2x) es el más bajo de la serie. El descuento no se explica por los tipos (el Bund está en el 3,5 %, como en 2023-2024, cuando pagaba 21-22x) sino por el ciclo: dos años de caída de ventas y un ROIC que ha bajado del 14 % al 10 %. Si la hidráulica se recupera, hay recorrido; si el mercado ha decidido que es una cíclica sin crecimiento, el múltiplo puede quedarse en 15x.</w:t>
      </w:r>
    </w:p>
    <w:p>
      <w:pPr>
        <w:pStyle w:val="Heading1"/>
      </w:pPr>
      <w:r>
        <w:t xml:space="preserve">18. Comparables cotizados</w:t>
      </w:r>
    </w:p>
    <w:p>
      <w:pPr>
        <w:pStyle w:val="Confianza"/>
        <w:spacing w:after="100"/>
      </w:pPr>
      <w:r>
        <w:t xml:space="preserve">Confianza: Media</w:t>
      </w:r>
    </w:p>
    <w:p>
      <w:pPr>
        <w:spacing w:after="100"/>
      </w:pPr>
      <w:r>
        <w:t xml:space="preserve">Hidráulica y bombas cotizadas de la ficha sectorial [18]: Parker-Hannifin y Bucher (hidráulica móvil), IDEX, Graco, Nordson y Dover (bombas y fluidos), Atlas Copco y Alfa Laval (bombas de proceso y vacío). Danfoss y Bosch Rexroth no cotizan aparte. El crecimiento de los comparables es el del último trimestre (Yahoo no da consenso de ventas). Las estadounidenses publican BPA ajustado (sin amortización de compras): su PER está 1-3 puntos por debajo en la base estatutaria de Interpump.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Interpump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Parker-Hannifin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Bucher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18,5x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23,6x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5,4x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Interpump cotiza con el mayor descuento del grupo: 9,2x EV/EBITDA frente a una mediana de 18,5x y 15,3x PER frente a 23,65x [26]. Solo Bucher, con un margen EBITDA del 10,9 % y en el mismo ciclo agrícola, está igual de barata. Parte del descuento es justo: menos ROIC (9,8 % frente al 12-20 %), más ciclo y un circulante del 40 % de las ventas. Pero su margen EBITDA (22,1 %) está en la mitad del grupo y su deuda es baja (0,7x). El valor implícito por PER (55,30 EUR) es el de una empresa que recupera su ROIC; no lo usamos como objetivo.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White Drive Motors &amp; Steering (hidráulica móvil)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Interpump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 M de valor empresa con un EBITDA de cierre de 53 M a 12 meses; ventas algo por encima de 200 M [D5].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 Hydraulics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Danfoss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3.300 M USD (≈3.000 M EUR) sobre 1.800 M USD de ventas en 2020; EBITDA no publicado [D6, D7].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Seepex (bombas de cavidad progresiva)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Ingersoll Rand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431,5 M EUR sobre unos 160 M de ventas; el comprador espera bajar a «dos dígitos bajos» de EBITDA con sinergias al tercer año [D8].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 (equipos criogénicos y de proceso)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13.600 M USD (12.148 M EUR al cambio del 14-oct-26) sobre 1.000 M USD de EBITDA ajustado [D9].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Teknoice (líneas industriales de helado)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Interpump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≈30 M con margen EBITDA ≈14 % [D10].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MVV (bombas dosificadoras de engranajes)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(Alfa Valvole)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6,3 M con margen EBITDA ≈22 % [D10].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 (4,3x – 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14,60 – 27,57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transacciones del sector dicen dos cosas. Interpump compra barato (White Drive a 5,2x EBITDA, Teknoice y MVV a 4,3x) [3, 9]; los grandes pagan mucho más por plataformas (Chart 13,6x, Seepex 2,7x ventas, Eaton Hydraulics 1,8x ventas, comprada por Danfoss) [20, 29, 30, 31]. Interpump no es un objetivo fácil: la familia Montipò controla el 23,6 % y no hay señales de venta, pero a 9,2x EBITDA una oferta de un grande o de capital privado sería plausible si el holding quisiera salir.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+3,0 %: orgánico en la parte alta de la guía (−2 %/+3 %) más un 2,4-2,5 % de compras ya hechas y un −1,5 % de divisa (el 1S26 creció un 0,9 % con −2,2 % de divisa) [3, 4]. Después, 5 % en 2027-2028 (orgánico 3 % + compras 2 %, en línea con el 2.500 M de 2028 de la empresa, que pide un 6,4 % anual) bajando al 2,5 % en 2033. El consenso pide +4,7 % y +4,4 % [27].</w:t>
      </w:r>
    </w:p>
    <w:p>
      <w:pPr>
        <w:keepNext/>
        <w:spacing w:after="100"/>
      </w:pPr>
      <w:r>
        <w:rPr>
          <w:b/>
          <w:bCs/>
        </w:rPr>
        <w:t xml:space="preserve">Márgenes.</w:t>
      </w:r>
    </w:p>
    <w:p>
      <w:pPr>
        <w:spacing w:after="100"/>
      </w:pPr>
      <w:r>
        <w:t xml:space="preserve">Margen EBITDA del 22,3 % en 2026e (guía 22-22,5 %) y 22,5-22,6 % después, igual al objetivo de 2028 (≈22,5 %) y por debajo del 24,0 % de 2023 [2, 6]. Hydraulics da el 19,6 % y Water Jetting el 27,2 %: si Hydraulics crece más, el margen del grupo baja por mezcla.</w:t>
      </w:r>
    </w:p>
    <w:p>
      <w:pPr>
        <w:keepNext/>
        <w:spacing w:after="100"/>
      </w:pPr>
      <w:r>
        <w:rPr>
          <w:b/>
          <w:bCs/>
        </w:rPr>
        <w:t xml:space="preserve">Inversión y circulante.</w:t>
      </w:r>
    </w:p>
    <w:p>
      <w:pPr>
        <w:spacing w:after="100"/>
      </w:pPr>
      <w:r>
        <w:t xml:space="preserve">Capex del 7,0-7,2 % de las ventas en 2026-2028 bajando al 6,0 %: inversión propia ≈4 % (guía), altas de derechos de uso ≈0,7 % y compras pequeñas ≈2 % de las ventas, porque el crecimiento proyectado las incluye. Circulante del 40 % de las ventas bajando al 38 % (objetivo de la empresa 35-36 %) [4].</w:t>
      </w:r>
    </w:p>
    <w:p>
      <w:pPr>
        <w:keepNext/>
        <w:spacing w:after="100"/>
      </w:pPr>
      <w:r>
        <w:rPr>
          <w:b/>
          <w:bCs/>
        </w:rPr>
        <w:t xml:space="preserve">Coste del capital.</w:t>
      </w:r>
    </w:p>
    <w:p>
      <w:pPr>
        <w:spacing w:after="100"/>
      </w:pPr>
      <w:r>
        <w:t xml:space="preserve">Bund a 10 años del 3,51 % (14-oct-26) [28], beta ajustada de 1,10 (mensual de 5 años 1,15 frente al FTSE MIB; semanal de 2 años 1,19) [17], prima de mercado del 5,5 % y 0,25 puntos por tamaño. Coste de la deuda del 3,6 % (Euribor + 0,91 y bono al 4,17 %) y 12 % de deuda: WACC del 8,94 %.</w:t>
      </w:r>
    </w:p>
    <w:p>
      <w:pPr>
        <w:keepNext/>
        <w:spacing w:after="100"/>
      </w:pPr>
      <w:r>
        <w:rPr>
          <w:b/>
          <w:bCs/>
        </w:rPr>
        <w:t xml:space="preserve">Valor terminal.</w:t>
      </w:r>
    </w:p>
    <w:p>
      <w:pPr>
        <w:spacing w:after="100"/>
      </w:pPr>
      <w:r>
        <w:t xml:space="preserve">Media de Gordon (crecimiento del 2,25 %, entre la inflación de la zona euro y el Bund menos medio punto) y un múltiplo de salida de 11x EBITDA, por debajo de su media histórica (13-15x en 2017-2023) y de la mediana de los comparables (18,5x), pero por encima de los 9,2x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M (15 % del NOPAT)</w:t>
            </w:r>
          </w:p>
        </w:tc>
      </w:tr>
    </w:tbl>
    <w:p>
      <w:pPr>
        <w:spacing w:after="160" w:before="0"/>
      </w:pPr>
    </w:p>
    <w:p>
      <w:pPr>
        <w:spacing w:after="100"/>
      </w:pPr>
      <w:r>
        <w:t xml:space="preserve">La proyección apenas necesita inversión neta de la amortización (reinversión acumulada de 350 M, el 15 % del NOPAT, con un capex bruto medio del 6,7 %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(orgánico ≈+1 % en el año con precio incluido), precio +2 % por recargos de energía y aranceles repercutidos (≈6 M por trimestre) y +1 % neto de compras (+2,5 %) y divisa (−1,5 %)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por la recuperación de Hydraulics (cuatro trimestres de crecimiento orgánico) y Water Jetting sin el comparable de China; compras pequeñas +2 %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la empresa apunta a 2.500 M de ventas en 2028 con compras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ciclo medio, precio y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Hacia el crecimiento terminal.</w:t>
            </w:r>
          </w:p>
        </w:tc>
      </w:tr>
    </w:tbl>
    <w:p>
      <w:pPr>
        <w:spacing w:after="160" w:before="0"/>
      </w:pPr>
    </w:p>
    <w:p>
      <w:pPr>
        <w:spacing w:after="100"/>
      </w:pPr>
      <w:r>
        <w:t xml:space="preserve">La reinversión de la proyección (15 % del NOPAT) es pequeña y el motor no hace la prueba de crecimiento financiable; la hacemos a mano. El crecimiento medio del 3,8 % sale en la mitad de precio (2 % al año, demostrado con la repercusión de aranceles y energía) y en la otra mitad de compras pequeñas pagadas en el capex (≈2 % de las ventas a 4-5x EBITDA, como White Drive, Teknoice y MVV) [3, 9]. El volumen orgánico es solo del 0,5-1 %. La duda es el rendimiento del capital nuevo: el ROIC incremental histórico es del 4 % porque 2024-2025 cayeron con la hidráulica, y el ROIC con fondo de comercio ha bajado del 14,3 % de 2023 al 9,8 %. Con el ciclo medio el crecimiento es financiable, pero la calidad del crecimiento no está probada: «En parte». Cuota en hidráulica ≈3 % de un mercado de 40.000-48.000 M EUR [14, 15]: la prueba de cuota no limita.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 (base: 22,6 %)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(WACC: 8,9 %)</w:t>
            </w:r>
          </w:p>
        </w:tc>
      </w:tr>
    </w:tbl>
    <w:p>
      <w:pPr>
        <w:spacing w:after="160" w:before="0"/>
      </w:pPr>
    </w:p>
    <w:p>
      <w:pPr>
        <w:spacing w:after="100"/>
      </w:pPr>
      <w:r>
        <w:t xml:space="preserve">El DCF da 38,19 EUR por acción, un 6,4 % sobre el precio, con el valor terminal en el 70 % del valor. El DCF inverso dice que el precio de 35,88 EUR descuenta un crecimiento anual del 2,5 % en 2027-2033 frente al 3,9 % de nuestro caso base, o un margen EBITDA del 21,7 % frente a nuestro 22,6 %: el mercado descuenta una empresa que crece poco más que la inflación y no recupera el margen de 2022-2023. Es una exigencia baja frente a su historia (ventas de 922 M en 2016 y 2.071 M en 2025, un 9,4 % anual con compras) [2], pero no frente a los dos últimos años (−7,2 % en 2024 y −0,4 % en 2025). La rentabilidad implícita del 9,5 % queda medio punto por encima de nuestro WACC del 8,94 %: el precio está cerca del valor si el ciclo solo se normaliza, y la ganancia llega si vuelven las compras rentables y el volumen.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hidráulica vuelve a caer como en 2024 (agricultura y camiones en Europa y EE. UU.), Water Jetting no recupera China y el margen baja al 20 %;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cumplida, recuperación moderada de la hidráulica y un 2 % anual de compras pequeñas; margen estable en el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de maquinaria fuerte (centros de datos, infraestructura, reposición agrícola) y Water Jetting de vuelta a crecimientos de un dígito alto; margen del 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35,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37,04 EUR (+3,2 %).</w:t>
      </w:r>
    </w:p>
    <w:p>
      <w:pPr>
        <w:spacing w:after="100"/>
      </w:pPr>
      <w:r>
        <w:t xml:space="preserve">En el DCF, el bajista (29,76 EUR) pierde un 17,1 % y el alcista (42,01) gana un 17,1 %: asimetría neutra (1,00) en el valor intrínseco. En el objetivo a 12 meses la asimetría es de 2,58 porque el múltiplo de hoy (15,1x) está muy por debajo de su historia y el alcista toca el techo de 22,5x. El bajista es verosímil: es lo que ya pasó en 2024.</w:t>
      </w:r>
    </w:p>
    <w:p>
      <w:pPr>
        <w:pStyle w:val="Heading1"/>
      </w:pPr>
      <w:r>
        <w:t xml:space="preserve">22. Suma de partes</w:t>
      </w:r>
    </w:p>
    <w:p>
      <w:pPr>
        <w:pStyle w:val="Confianza"/>
        <w:spacing w:after="100"/>
      </w:pPr>
      <w:r>
        <w:t xml:space="preserve">Confianza: Media</w:t>
      </w:r>
    </w:p>
    <w:p>
      <w:pPr>
        <w:spacing w:after="100"/>
      </w:pPr>
      <w:r>
        <w:t xml:space="preserve">No aplica: las dos divisiones comparten clientes industriales, plantas y gestión de compras; la diferencia de ciclo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35,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41,15 EUR (+14,7 % sobre 35,88).</w:t>
      </w:r>
    </w:p>
    <w:p>
      <w:pPr>
        <w:spacing w:after="100"/>
      </w:pPr>
      <w:r>
        <w:t xml:space="preserve">Pesos: DCF 40, comparables 20 y escenarios 40. El DCF y los escenarios recogen el ciclo y el coste de las compras pequeñas; los comparables (PER de los próximos 12 meses, 55,30 EUR de valor implícito) se ponderan poco porque las estadounidenses publican BPA ajustado, tienen más ROIC y menos ciclo. Las transacciones no pesan: las compras de Interpump se hacen a 4-5x EBITDA (White Drive 5,2x, Teknoice y MVV 4,3x) y darían un valor muy por debajo del precio, mientras las grandes del sector (Chart 13,6x) son de otro perfil [3, 9, 31]. La dispersión es grande: de 16,54 EUR por transacciones a 76,01 por EV/EBITDA de los comparables.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(15.1x) × 1.1 (tope: la mediana de 5 años, 21.8x,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r>
    </w:tbl>
    <w:p>
      <w:pPr>
        <w:spacing w:after="160" w:before="0"/>
      </w:pPr>
    </w:p>
    <w:p>
      <w:pPr>
        <w:spacing w:after="100"/>
      </w:pPr>
      <w:r>
        <w:rPr>
          <w:b/>
          <w:bCs/>
        </w:rPr>
        <w:t xml:space="preserve">Objetivo a 12 meses (ponderado):</w:t>
      </w:r>
      <w:r>
        <w:t xml:space="preserve"> 42,84 EUR · rentabilidad +20,4 % (base +18,7 %) · señal Comprar.</w:t>
      </w:r>
    </w:p>
    <w:p>
      <w:pPr>
        <w:spacing w:after="100"/>
      </w:pPr>
      <w:r>
        <w:t xml:space="preserve">Para comparar, con la regla v2 (historia al cierre, mismo precio): 12,9x / 15,1x / 19,7x, 8,9 % Mantener; con el tope anterior del base (×1,3, 14-oct mediodía): 29,6 %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(2,18 EUR) coincide con el consenso (2,147) y el de 2027e (2,37) queda un 1 % por debajo (2,39); el de 2028e (2,53) un 3 % por debajo (2,62), porque mantenemos 12 M de gasto financiero y un 29 % de impuestos. El objetivo base de la regla (42,25 EUR) queda un 9,3 % bajo el objetivo medio de 8 analistas (46,56 EUR) porque la regla solo deja recuperar un 10 % al PER en un año, mientras los analistas suponen la vuelta a su historia de 20-22x [27].</w:t>
      </w:r>
    </w:p>
    <w:p>
      <w:pPr>
        <w:keepNext/>
        <w:spacing w:after="100"/>
      </w:pPr>
      <w:r>
        <w:rPr>
          <w:b/>
          <w:bCs/>
        </w:rPr>
        <w:t xml:space="preserve">Del valor intrínseco al objetivo a 12 meses.</w:t>
      </w:r>
    </w:p>
    <w:p>
      <w:pPr>
        <w:spacing w:after="100"/>
      </w:pPr>
      <w:r>
        <w:t xml:space="preserve">El valor intrínseco (41,15 EUR) y el objetivo ponderado a 12 meses (42,84 EUR) están cerca: la tesis no necesita años, necesita que el ciclo hidráulico siga mejorando y que el mercado deje de cotizar a Interpump como una cíclica en caída. El catalizador con fecha son los resultados del 13-nov-2026 (tercer trimestre) y la guía de 2027 en febrero [33].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Hydraulics sigue creciendo con un comparable más difícil y si Water Jetting vuelve a crecer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positiva sin el rango negativo de 2026 cerraría parte del descuento; la de febrero de 2026 hundió la acción un 18,3 %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mediano tamaño con la deuda casi a cero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puede evaluar compras «más ambiciosas»; a 4-6x EBITDA crean valor, a 12-14x 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acciones (3,48 % del capital en autocartera a jun-26)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acciones un 1-2 % al año al ritmo de 2026 (47,8 M en el 1S26)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maquinaria agrícola y de obra de los clientes fabricantes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agricultura empeoró en el 2T26; una recaída rompería la recuperación de Hydraulics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del ciclo de maquinaria agrícola, de obra y de camiones (Hydraulics, 65 %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(escenario bajista del DCF); −26 % en 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con Water Jetting (27 % de margen) y costes flexibles: en 2025 un −4 % de ventas en Hydraulics solo restó un 5 % de EBITDA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Hydraulics negativo en el 3T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más caras o peor integradas al buscar operaciones «más ambiciosas»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paga 12-14x EBITDA por un 10 %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compras pequeñas a 4-6x EBITDA [3,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de más de 300 M de valor empresa o a más de 10x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y presidente ejecutivo (más de 80 años) y salida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(Marasi) y consejo renovado hasta 2028 con seis independientes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 directivos estratégicos tras la de Mastronardi (oct-26)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 Jetting no recupera el nivel de 2025 sin los pedidos de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(Water Jetting −10 % y su EBITDA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Alimentación (25 % de la división) crece de un dígito alto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Water Jetting por debajo del 2S25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coste de energía y transporte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si no se repercuten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M por trimestre repercutidos íntegramente; inventarios altos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22 %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que la IA se coma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componentes físicos de alta presión y de potencia hidráulica que la IA no sustituye; la IA empuja la inversión en centros de datos, que tira de la maquinaria de obra (dos dígitos en el 2T26)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directa; vigilar la electrificación de la maquinaria, que sí reduce tomas de fuerza a largo plazo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 vehículos industriales y maquinaria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más de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bombas eléctricas y motores; la hidráulica de trabajo (cilindros, válvulas) sigue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camiones eléctricos pesados en Europa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Deudas por la compra de minoritarios y opciones de venta (64,3 M a jun-26)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Incluido en el puente (−0,6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Cuanto mejor van las filiales, más sube la deuda, pero también su beneficio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de valor en el resultado financiero por encima de 10 M</w:t>
            </w:r>
          </w:p>
        </w:tc>
      </w:tr>
    </w:tbl>
    <w:p>
      <w:pPr>
        <w:spacing w:after="160" w:before="0"/>
      </w:pPr>
    </w:p>
    <w:p>
      <w:pPr>
        <w:pStyle w:val="Heading2"/>
      </w:pPr>
      <w:r>
        <w:t xml:space="preserve">Pre-mortem</w:t>
      </w:r>
    </w:p>
    <w:p>
      <w:pPr>
        <w:spacing w:after="100"/>
      </w:pPr>
      <w:r>
        <w:t xml:space="preserve">Octubre de 2029, la acción vale 21 EUR. Qué pasó: la recuperación de la hidráulica de 2025-2026 fue un rebote de inventarios y no un ciclo nuevo. La agricultura, que ya empeoraba en el 2T26, arrastró en 2027 a los fabricantes de tractores y de maquinaria de obra; los camiones en Europa siguieron débiles con la transición eléctrica, y Hydraulics volvió a caer un 10 % orgánico como en 2024. Water Jetting no repitió los pedidos de China y la mezcla bajó el margen del grupo al 20 %. Con la deuda casi a cero y presión por crecer hacia los 2.500 M, el grupo hizo una compra grande a 12x EBITDA en el pico de la confianza, y el fondo de comercio llevó el ROIC por debajo del 9 %. El fundador dejó la presidencia y la sucesión coincidió con la salida de directivos clave. El mercado, que ya pagaba 15x, pasó a pagar 12x un BPA de 1,80 EUR. Los indicadores que lo habrían anticipado: el crecimiento orgánico de Hydraulics del 3T26 y del 4T26, la relación pedidos/facturación, el tamaño y el múltiplo de la siguiente compra, y el margen de Water Jetting por debajo del 25 %.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Primer informe de sostenibilidad CSRD en 2025 [1]. Los asuntos con efecto en cifras: emisiones de fundiciones y mecanizado (energía como coste, repercutido con recargos en 2026), seguridad laboral en plantas con 9.700 empleados, y la electrificación de los clientes, que es a la vez riesgo (tomas de fuerza) y oportunidad (bombas eléctricas). El consejo aprobó en junio de 2026 un plan ESG 2026-2028 con 17 acciones [24].</w:t>
      </w:r>
    </w:p>
    <w:p>
      <w:pPr>
        <w:pStyle w:val="Heading2"/>
      </w:pPr>
      <w:r>
        <w:t xml:space="preserve">Controversias</w:t>
      </w:r>
    </w:p>
    <w:p>
      <w:pPr>
        <w:spacing w:after="100"/>
      </w:pPr>
      <w:r>
        <w:t xml:space="preserve">Sin sanciones ni litigios relevantes publicados en 2023-2026 en el informe anual ni en los comunicados [1]. No hemos encontrado constancia pública de una investigación fiscal o judicial abierta al fundador a la fecha de corte (tres búsquedas en prensa italiana y en el informe anual;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orgánico de Hydraulics del 1S26 (+4,1 % sin compras) es reposición de inventarios de los fabricantes y qué parte es demanda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(base) o vuelve a caer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qué múltiplo máximo tiene la «compra más ambiciosa» que permite la deuda 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a 12x cambia el ROIC y el valor; las pequeñas a 4-5x lo crean.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 Jetting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vendió Hammelmann en China en el 1S25 y qué base orgánica queda sin esos pedidos?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comparable del negocio recurrente.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presidente ejecutivo y por qué salió Riccardo Mastronardi?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es el estratega de las compras desde 1977.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baja el circulante del 40 % al 35-36 % de las ventas y cuánta caja libera?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puntos son ≈100 M de caja, el 2,7 %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de rentabilidad tiene el plan de opciones 2025-2027 (1,14 M opciones al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no está ligado al ROIC según lo leído.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transcripciones de IPGLF)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notas de resultados (BPA de 0,61 EUR en el 2T26) y la transcripción; sin debate de lectores en el canal abierto [E1].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Teleborsa y Milano Finanza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«reduce márgenes pero confirma estimaciones» y la acción sube un 4 %; en abril, Equita recortó el objetivo por un 2026 más prudente en el ciclo [E2, E3].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Websim (Intermonte) y MarketScreener (pieza «¿Una venta de más?»)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1T26 el tono se vuelve más constructivo: abril por encima del presupuesto y pedidos al alza; se discute si la caída del 18 % de febrero fue excesiva [E4, E5].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Money.it (análisis técnico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Plantea un rebote del 25 % desde mínimos por el gráfico; sin argumento de negocio [E6].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cotiza a la mitad del múltiplo de las estadounidenses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múltiplos (EV/EBITDA 8,7x frente a una mediana de 18,5x de los comparables), pero con menos ROIC sobre el capital con fondo de comercio y más ciclo; el propio presidente lo repite [E7, D2].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2026 prudente y la caída del 13-feb</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(−2 % a +3 % orgánico) se ha cumplido en el 1S26 (+0,7 %) y la empresa apunta a la parte alta: el miedo de febrero se ha corregido en parte [A3].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bajista de la hidráulica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trimestres de crecimiento orgánico en Hydraulics, pero la agricultura empeora en el 2T26 y el comparable del 2S26 es más difícil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Water Jetting tras los pedidos de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12,5 % orgánico en el 1S26 solo por el comparable; margen por encima del 26 % y alimentación creciendo de un dígito alto [A4].</w:t>
            </w:r>
          </w:p>
        </w:tc>
      </w:tr>
    </w:tbl>
    <w:p>
      <w:pPr>
        <w:spacing w:after="160" w:before="0"/>
      </w:pPr>
    </w:p>
    <w:p>
      <w:pPr>
        <w:spacing w:after="100"/>
      </w:pPr>
      <w:r>
        <w:t xml:space="preserve">El tono de los comentarios es dividido y mejora desde agosto: tras la venta de febrero (−18 % en un día) y mayo, la prensa y los analistas para particulares hablan de una «venta de más» y de múltiplos a la mitad de los estadounidenses, mientras otros recortan objetivos por un ciclo más lento [24, 36]. Coincide con las cifras: el descuento es real y la guía se está cumpliendo. No hay euforia ni capitulación; el riesgo que nadie discute en los foros es la sucesión del fundador. El consenso de analistas (Comprar, 46,56 EUR) es más optimista que el tono de la prensa. Fuentes revisadas: Seeking Alpha, Milano Finanza, Websim y Money.it [34, 35, 37, 38]. No aporta una cifra al análisis.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39 (16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40,0 % frente a 40,7 % real: genera una variación de circulante de 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8,9 %: para comprar o ampliar hace falta motivo de negocio propio; para mantener basta la vigente. Explicación: La v2 de control da Mantener (8,9 % ponderada): la señal de compra depende de que el PER vuelva hacia su historia adelantada, que la v2 no supone. Se dice en la síntesis y la acción robusta de las pruebas es la que se comunica.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15,7 % (&lt; 25 %); asimetría de 1,00 (&lt; 2); el precio descuenta solo 1,4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1T25-3T25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(solo 2T y 1S); 2) comunicado del 4T25 (solo 4T y año); 3) presentaciones (gráficos sin tabla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CSRD 2025 (sin calificaciones de terceros legibles en el texto ESEF); 2) búsqueda MSCI/Sustainalytics (sin acceso gratuito); 3) prensa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(lista de jugadores sin cuotas); 2) Research and Markets (sin cuotas en el resumen); 3) informes anuales de Parker y Bucher (sin cuota del mercado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el total del consejo: 9,30 M en 2025 con el valor de las opciones); 2) búsqueda de la Relazione sulla remunerazione 2026 (no localizada en abierto); 3) prensa de la junta del 30-abr-2026 (sin porcentajes de voto)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(cinco consejeros)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Prensa de la junta de 2026 (solo cuatro nombres); 2) informe anual 2025 (página de órganos sociales ilegible en el ESEF); 3) MarketScreener (detrás de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fiscal o judicial al fundador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(contingencias y fondos para litigios: nada sobre el presidente); 2) búsquedas en prensa italiana (Milano Finanza, Teleborsa, Reggionline) con «Montipò indagato», «sequestro», «procura»: sin resultados; 3) noticias de MarketScreener de 2026 y comunicados de la empresa: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(sin constancia pública de una investigación abierta a la fecha de corte)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internal dealing de 2026 (no localizados en abierto); 2) Consob (solo participaciones &gt;3 %); 3) MarketScreener (detrás de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Consob, posizioni nette corte (sin posiciones por encima del 0,5 % publicadas en lo consultado); 2) Yahoo (no da cortos para Milán); 3) MarketScreener (detrás de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desglosadas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Zonebourse (solo media y recomendación media «Comprar»); 2) Yahoo (objetivo medio 46,56, 8 analistas, sin rango); 3) MarketScreener (detrás de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FinanzaOnline (protección Cloudflare); 2) Stocktwits (símbolo IPGLF sin flujo); 3) Reddit y Investing (sin hilos recientes localizados)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sección se apoya en comentarios de prensa y de analistas para particulares, con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Relazione finanziaria annuale 2025 (bilancio consolidato, note, informativa di settore, sintesi dei risultati) en formato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Interpump Group S.p.A. (repositorio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https://filings.xbrl.org/815600C79D0F31F4D395/2025-12-31/ESEF/IT/0/815600C79D0F31F4D395-2025-12-31-1-it/reports/815600C79D0F31F4D395-2025-12-31-1-it.xhtml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Relazione finanziaria annuale 2023 (ESEF): sintesi dei risultati 2014-2023, informativa di settore, debiti finanziari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Interpump Group S.p.A. (repositorio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https://filings.xbrl.org/815600C79D0F31F4D395/2023-12-31/ESEF/IT/0/815600C79D0F31F4D395-2023-12-31-it/reports/815600C79D0F31F4D395-2023-12-31-it.xhtml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approves consolidated results for the second quarter of 2026 (cuenta, balance y flujos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https://www.emarketstorage.it/sites/default/files/comunicati/2026-08/20260805_187925.pdf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2026 Financial Results Conference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https://www.interpumpgroup.it/sites/default/files/documents/ip_2026_2q_transcript.pdf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 2025 results conference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https://www.interpumpgroup.it/sites/default/files/documents/ip_4q2025_results_conference_call_transcript_17_february_2026.pdf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approves consolidated Q4 results and the preliminary data for FY 2025; objectives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https://www.emarketstorage.it/sites/default/files/comunicati/2026-02/20260213_177483.pdf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1Q2026 Financial Results (presentación y datos del primer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https://www.emarketstorage.it/sites/default/files/comunicati/2026-05/20260515_184279.pdf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2022 (ESEF): informativa di settore 2021-2022, debiti finanziari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(repositorio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https://filings.xbrl.org/815600C79D0F31F4D395/2022-12-31/ESEF/IT/0/815600C79D0F31F4D395-2022-12-31-it/reports/815600C79D0F31F4D395-2022-12-31-it.xhtml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Closing White Drive: valor empresa de 278 M EUR con un EBITDA de 53 M a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https://www.interpumpgroup.it/download/comunicati/2021-10-01 Closing WD_EN.pdf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(historia y compras desde 1977)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https://en.wikipedia.org/wiki/Interpump_Group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Risultati bilancio 2020 (EBITDA 294,1 M; BPA 1,596; dividendo 0,26 EUR; 21,7 M de revalorizaciones fiscales en el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https://www.interpumpgroup.it/download/comunicati/2021-03-19 Risultati bilancio 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Risultati bilancio 2019 (BPA 1,699 frente a 1,619 en 2018; 11,4 M de ingresos no recurrentes en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https://www.interpumpgroup.it/download/comunicati/2020-03-16 Risultati bilancio 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en formato ESEF (XBRL), repositorio filings.xbrl.org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https://filings.xbrl.org/815600C79D0F31F4D395/2024-12-31/ESEF/IT/0/815600C79D0F31F4D395-2024-12-31-0-it.json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Hydraulics Market: 38.980 M USD en 2024 y 44.260 M USD en 2030 (2,4 %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https://www.marketsandmarkets.com/Market-Reports/hydraulics-market-209607944.html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Hydraulics Market by Product (44.920 M USD en 2025; 55.730 M USD en 2030; 4,38 %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 vía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https://www.giikorea.co.kr/report/ires1600938-hydraulics-market-by-product-hydraulic.html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High Pressure Pumps Market (3.860 M USD en 2025; 3,2 % anual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https://www.marketresearchfuture.com/reports/high-pressure-pumps-market-1880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IP.MI, FTSEMIB.MI y EXH4.DE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https://finance.yahoo.com/quote/IP.MI/history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«Hidráulica y bombas industriales» (sectores/hidraulica-bombas-2026-10-14.md)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https://github.com/HotisS/analisis-inversion/blob/main/sectores/hidraulica-bombas-2026-10-14.md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Take Off (PTO) Market (2.300 M USD en 2025; 5,97 % anual hasta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Prime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https://www.reportprime.com/power-take-off-pto-r7709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Danfoss formally completes US$3.3 billion acquisition of Eaton’s Hydraulics business (1.800 M USD de ventas en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Danfoss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https://www.businesswire.com/news/home/20210802005512/en/Danfoss-Formally-Completes-US3.3-Billion-Acquisition-of-Eaton%e2%80%99s-Hydraulics-Business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utili solidi e dividendo in crescita: Montipò confermato presidente esecutivo (junta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Stampa Reggiana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https://www.stampareggiana.it/2026/04/30/interpump-group-utili-solidi-e-dividendo-in-crescita-montipo-confermato-presidente/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azionariato (partecipazioni rilevanti ex art. 120 TUF, situación al 12-abr-2026)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https://www.consob.it/web/area-pubblica/w/interpump-group-spa-azionariato-1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cessato il rapporto di lavoro con il dirigente Riccardo Mastronardi (dirigente con responsabilità strategiche,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https://www.borsaitaliana.it/borsa/notizie/teleborsa/finanza/interpump-cessato-il-rapporto-di-lavoro-con-il-dirigente-riccardo-mastronardi-189_2026-10-06_TLB.html?lang=it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últimas noticias (salida del índice FTSE All-World, cambios de recomendación, compras de MVV y Teknoice)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https://www.marketscreener.com/quote/stock/INTERPUMP-GROUP-S-P-A-408413/news/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conti robusti e shopping sostanzioso: parla il presidente Montipò (deuda cero en tres años, más 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https://www.milanofinanza.it/news/interpump-conti-robusti-e-shopping-sostanzioso-parla-il-presidente-montipo-202602272140549891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cotización, PER adelantado y series fundamentales de Interpump y de los comparables (quoteSummary y fundamentals-timeseries)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https://finance.yahoo.com/quote/IP.MI/key-statistics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finances (estimaciones 2026-2028 de ventas, EBITDA, EBIT, beneficio, BPA, dividendo y deuda neta; 8 analistas, objetivo medio 46,56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https://www.zonebourse.com/cours/action/INTERPUMP-GROUP-S-P-A-41674324/finances/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(3,51 % el 14-oct-26)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Danfoss completes €3bn acquisition of Eaton’s hydraulics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Rubber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https://www.european-rubber-journal.com/article/2071425/danfoss-completes-3bn-acquisition-of-eaton-s-hydraulics-business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Ingersoll Rand to acquire Seepex GmbH (431,5 M EUR; ventas de unos 160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Ingersoll Rand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https://www.businesswire.com/news/home/20210621005237/en/Ingersoll-Rand-to-Acquire-Seepex-GmbH-into-Precision-and-Science-Technologies-Segment/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(13.600 M USD de valor empresa; ventas 2024 de 4.200 M y EBITDA ajustado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Hydrocarbon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https://www.hydrocarbonengineering.com/gas-processing/29072025/baker-hughes-to-acquire-chart-industries/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calendario finanziario 2026 (resoconto al 30-sep el 13-nov-2026)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Soldionline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https://www.soldionline.it/notizie/azioni-italia/interpump-group-calendario-finanziario-2026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Group S.p.A. (IPGLF): news and analysis feed (transcripciones y notas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https://seekingalpha.com/api/sa/combined/IPGLF.xml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riduce i margini ma conferma le stime 2026 (MF,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https://www.milanofinanza.it/news/interpump-riduce-i-margini-ma-conferma-le-stime-2026-2713397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Equita taglia target price con scenario 2026 più prudente su recupero ciclico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https://www.teleborsa.it/News/2026/04/30/interpump-equita-taglia-target-price-con-scenario-2026-piu-prudente-su-recupero-ciclico-113.html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 Confermiamo la raccomandazione positiva (comentario tras 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 (Intermonte)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https://www.websim.it/azioni/small-mid-cap/notizie/interpump-confermiamo-la-raccomandazione-positiva/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Questo grafico svela perché questa azione di Piazza Affari salirà ancora (Interpump)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https://www.money.it/questo-grafico-svela-perche-questa-azione-di-piazza-affari-salira-ancora-del-26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Interpump, margini in leggero calo nel primo trimestre, ricavi a 525 milioni di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https://www.teleborsa.it/News/2026/05/15/interpump-margini-in-leggero-calo-nel-primo-trimestre-ricavi-a-525-milioni-di-euro-133.html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86,1 %</w:t>
      </w:r>
      <w:r>
        <w:t xml:space="preserve"> · Secciones con menos del 60 % de campos cubiertos: </w:t>
      </w:r>
      <w:r>
        <w:rPr>
          <w:b/>
          <w:bCs/>
        </w:rPr>
        <w:t xml:space="preserve">gobierno, consenso</w:t>
      </w:r>
      <w:r>
        <w:t xml:space="preserve"> · Generado el 14 oct 2026.</w:t>
      </w:r>
    </w:p>
    <w:p>
      <w:pPr>
        <w:pStyle w:val="Nota"/>
        <w:spacing w:after="100"/>
      </w:pPr>
      <w:r>
        <w:t xml:space="preserve">Línea cotizada: Euronext Milan (IP), en EUR, la divisa de las cuentas. Cuentas 2021-2025 del XBRL ESEF (cuentas.mjs) comprobadas con los informes anuales 2022, 2023 y 2025: los gastos comerciales (que faltaban en el XBRL), el EBITDA, el reparto deuda/arrendamientos y los bancos a corto salen de las notas; el BPA histórico es el básico de la síntesis de resultados. Los PER de 2016-2020 usan el BPA de la síntesis de resultados de 2023 y de los comunicados de 2019 y 2020, con 2018 y 2020 normalizados por partidas no recurrentes publicadas. El texto ESEF de 2025 tiene páginas ilegibles (órganos sociales, auditor): el auditor se toma del informe 2023. El puente usa los arrendamientos de dic-25 (77,1 M) dentro de la deuda de jun-26. Sin acceso al informe de remuneraciones ni a los foros de particulares italianos (protección antibot). Comparables de Yahoo Finance convertidos a EUR al cambio del 14-oct-26; las estadounidenses publican BPA ajustado.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Interpump Group S.p.A. (IP)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35,88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(30,10 – 51,30)</c:v>
                </c:pt>
                <c:pt idx="1">
                  <c:v>Comparables: PER NTM (49,74 – 58,28)</c:v>
                </c:pt>
                <c:pt idx="2">
                  <c:v>DCF (WACC y g ± 0,5) (35,49 – 41,62)</c:v>
                </c:pt>
                <c:pt idx="3">
                  <c:v>Escenarios (bajista – alcista) (29,76 – 42,01)</c:v>
                </c:pt>
                <c:pt idx="4">
                  <c:v>DCF con la prima implícita del mercado (4,2 %)</c:v>
                </c:pt>
                <c:pt idx="5">
                  <c:v>Precio actual (35,88)</c:v>
                </c:pt>
              </c:strCache>
            </c:strRef>
          </c:cat>
          <c:val>
            <c:numRef>
              <c:f>Hoja1!$B$2:$B$7</c:f>
              <c:numCache>
                <c:formatCode>#,##0.0</c:formatCode>
                <c:ptCount val="6"/>
                <c:pt idx="0">
                  <c:v>30.1</c:v>
                </c:pt>
                <c:pt idx="1">
                  <c:v>49.74</c:v>
                </c:pt>
                <c:pt idx="2">
                  <c:v>35.49</c:v>
                </c:pt>
                <c:pt idx="3">
                  <c:v>29.76</c:v>
                </c:pt>
                <c:pt idx="4">
                  <c:v>41.63</c:v>
                </c:pt>
                <c:pt idx="5">
                  <c:v>35.7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(30,10 – 51,30)</c:v>
                </c:pt>
                <c:pt idx="1">
                  <c:v>Comparables: PER NTM (49,74 – 58,28)</c:v>
                </c:pt>
                <c:pt idx="2">
                  <c:v>DCF (WACC y g ± 0,5) (35,49 – 41,62)</c:v>
                </c:pt>
                <c:pt idx="3">
                  <c:v>Escenarios (bajista – alcista) (29,76 – 42,01)</c:v>
                </c:pt>
                <c:pt idx="4">
                  <c:v>DCF con la prima implícita del mercado (4,2 %)</c:v>
                </c:pt>
                <c:pt idx="5">
                  <c:v>Precio actual (35,88)</c:v>
                </c:pt>
              </c:strCache>
            </c:strRef>
          </c:cat>
          <c:val>
            <c:numRef>
              <c:f>Hoja1!$C$2:$C$7</c:f>
              <c:numCache>
                <c:formatCode>#,##0.0</c:formatCode>
                <c:ptCount val="6"/>
                <c:pt idx="0">
                  <c:v>21.199999999999996</c:v>
                </c:pt>
                <c:pt idx="1">
                  <c:v>8.54</c:v>
                </c:pt>
                <c:pt idx="2">
                  <c:v>6.1299999999999955</c:v>
                </c:pt>
                <c:pt idx="3">
                  <c:v>12.249999999999996</c:v>
                </c:pt>
                <c:pt idx="4">
                  <c:v>5.739999999999995</c:v>
                </c:pt>
                <c:pt idx="5">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Hydraulics (Olio)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1134.1</c:v>
                </c:pt>
                <c:pt idx="1">
                  <c:v>1541.6</c:v>
                </c:pt>
                <c:pt idx="2">
                  <c:v>1634.3</c:v>
                </c:pt>
                <c:pt idx="3">
                  <c:v>1407.5</c:v>
                </c:pt>
                <c:pt idx="4">
                  <c:v>1355</c:v>
                </c:pt>
              </c:numCache>
            </c:numRef>
          </c:val>
        </c:ser>
        <c:ser>
          <c:idx val="1"/>
          <c:order val="1"/>
          <c:tx>
            <c:strRef>
              <c:f>Hoja1!$C$1</c:f>
              <c:strCache>
                <c:ptCount val="1"/>
                <c:pt idx="0">
                  <c:v>Water Jetting (Acqua)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470.1</c:v>
                </c:pt>
                <c:pt idx="1">
                  <c:v>536.3</c:v>
                </c:pt>
                <c:pt idx="2">
                  <c:v>605.7</c:v>
                </c:pt>
                <c:pt idx="3">
                  <c:v>670.9</c:v>
                </c:pt>
                <c:pt idx="4">
                  <c:v>715.7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Hydraulics (Olio)</c:v>
                </c:pt>
                <c:pt idx="1">
                  <c:v>Water Jetting (Acqua)</c:v>
                </c:pt>
              </c:strCache>
            </c:strRef>
          </c:cat>
          <c:val>
            <c:numRef>
              <c:f>Hoja1!$B$2:$B$3</c:f>
              <c:numCache>
                <c:formatCode>General</c:formatCode>
                <c:ptCount val="2"/>
                <c:pt idx="0">
                  <c:v>65.4</c:v>
                </c:pt>
                <c:pt idx="1">
                  <c:v>34.6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Italia</c:v>
                </c:pt>
                <c:pt idx="1">
                  <c:v>Resto de Europa</c:v>
                </c:pt>
                <c:pt idx="2">
                  <c:v>Norteamérica</c:v>
                </c:pt>
                <c:pt idx="3">
                  <c:v>Lejano Oriente y Oceanía</c:v>
                </c:pt>
                <c:pt idx="4">
                  <c:v>Resto del mundo</c:v>
                </c:pt>
              </c:strCache>
            </c:strRef>
          </c:cat>
          <c:val>
            <c:numRef>
              <c:f>Hoja1!$B$2:$B$6</c:f>
              <c:numCache>
                <c:formatCode>0"%"</c:formatCode>
                <c:ptCount val="5"/>
                <c:pt idx="0">
                  <c:v>15.6</c:v>
                </c:pt>
                <c:pt idx="1">
                  <c:v>35.2</c:v>
                </c:pt>
                <c:pt idx="2">
                  <c:v>25.1</c:v>
                </c:pt>
                <c:pt idx="3">
                  <c:v>13.1</c:v>
                </c:pt>
                <c:pt idx="4">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(hidráulica mundial,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38980</c:v>
                </c:pt>
                <c:pt idx="1">
                  <c:v>44260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Interpump</c:v>
                </c:pt>
                <c:pt idx="1">
                  <c:v>Parker-Hannifin</c:v>
                </c:pt>
                <c:pt idx="2">
                  <c:v>Danfoss Power Solutions</c:v>
                </c:pt>
                <c:pt idx="3">
                  <c:v>Bucher Industries (Bucher Hydraulics)</c:v>
                </c:pt>
                <c:pt idx="4">
                  <c:v>Graco</c:v>
                </c:pt>
                <c:pt idx="5">
                  <c:v>IDEX</c:v>
                </c:pt>
                <c:pt idx="6">
                  <c:v>Dover (Pumps &amp; Process Solutions)</c:v>
                </c:pt>
              </c:strCache>
            </c:strRef>
          </c:cat>
          <c:val>
            <c:numRef>
              <c:f>Hoja1!$B$2:$B$8</c:f>
              <c:numCache>
                <c:formatCode>0.0"%"</c:formatCode>
                <c:ptCount val="7"/>
                <c:pt idx="0">
                  <c:v>16.3</c:v>
                </c:pt>
                <c:pt idx="1">
                  <c:v>23.1</c:v>
                </c:pt>
                <c:pt idx="3">
                  <c:v>7.7</c:v>
                </c:pt>
                <c:pt idx="4">
                  <c:v>28.9</c:v>
                </c:pt>
                <c:pt idx="5">
                  <c:v>20.8</c:v>
                </c:pt>
                <c:pt idx="6">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1604.3</c:v>
                </c:pt>
                <c:pt idx="1">
                  <c:v>2078</c:v>
                </c:pt>
                <c:pt idx="2">
                  <c:v>2240</c:v>
                </c:pt>
                <c:pt idx="3">
                  <c:v>2078.4</c:v>
                </c:pt>
                <c:pt idx="4">
                  <c:v>2070.7</c:v>
                </c:pt>
                <c:pt idx="5">
                  <c:v>2133</c:v>
                </c:pt>
                <c:pt idx="6">
                  <c:v>2239</c:v>
                </c:pt>
                <c:pt idx="7">
                  <c:v>2351</c:v>
                </c:pt>
                <c:pt idx="8">
                  <c:v>2457</c:v>
                </c:pt>
                <c:pt idx="9">
                  <c:v>2556</c:v>
                </c:pt>
                <c:pt idx="10">
                  <c:v>2645</c:v>
                </c:pt>
                <c:pt idx="11">
                  <c:v>2724</c:v>
                </c:pt>
                <c:pt idx="12">
                  <c:v>2792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379.8</c:v>
                </c:pt>
                <c:pt idx="1">
                  <c:v>492.3</c:v>
                </c:pt>
                <c:pt idx="2">
                  <c:v>536.7</c:v>
                </c:pt>
                <c:pt idx="3">
                  <c:v>456.6</c:v>
                </c:pt>
                <c:pt idx="4">
                  <c:v>462</c:v>
                </c:pt>
                <c:pt idx="5">
                  <c:v>476</c:v>
                </c:pt>
                <c:pt idx="6">
                  <c:v>504</c:v>
                </c:pt>
                <c:pt idx="7">
                  <c:v>531</c:v>
                </c:pt>
                <c:pt idx="8">
                  <c:v>555</c:v>
                </c:pt>
                <c:pt idx="9">
                  <c:v>578</c:v>
                </c:pt>
                <c:pt idx="10">
                  <c:v>598</c:v>
                </c:pt>
                <c:pt idx="11">
                  <c:v>616</c:v>
                </c:pt>
                <c:pt idx="12">
                  <c:v>631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35.8</c:v>
                </c:pt>
                <c:pt idx="1">
                  <c:v>34.9</c:v>
                </c:pt>
                <c:pt idx="2">
                  <c:v>34.8</c:v>
                </c:pt>
                <c:pt idx="3">
                  <c:v>34.3</c:v>
                </c:pt>
                <c:pt idx="4">
                  <c:v>35.3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23.7</c:v>
                </c:pt>
                <c:pt idx="1">
                  <c:v>23.7</c:v>
                </c:pt>
                <c:pt idx="2">
                  <c:v>24</c:v>
                </c:pt>
                <c:pt idx="3">
                  <c:v>22</c:v>
                </c:pt>
                <c:pt idx="4">
                  <c:v>22.3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18.4</c:v>
                </c:pt>
                <c:pt idx="1">
                  <c:v>18.5</c:v>
                </c:pt>
                <c:pt idx="2">
                  <c:v>19.1</c:v>
                </c:pt>
                <c:pt idx="3">
                  <c:v>16.3</c:v>
                </c:pt>
                <c:pt idx="4">
                  <c:v>16.3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12.2</c:v>
                </c:pt>
                <c:pt idx="1">
                  <c:v>12.8</c:v>
                </c:pt>
                <c:pt idx="2">
                  <c:v>12.2</c:v>
                </c:pt>
                <c:pt idx="3">
                  <c:v>10.9</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1</c:v>
                </c:pt>
                <c:pt idx="5">
                  <c:v>0.6</c:v>
                </c:pt>
                <c:pt idx="6">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2.5</c:v>
                </c:pt>
                <c:pt idx="5">
                  <c:v>2.2</c:v>
                </c:pt>
                <c:pt idx="6">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82</c:v>
                </c:pt>
                <c:pt idx="1">
                  <c:v>76</c:v>
                </c:pt>
                <c:pt idx="2">
                  <c:v>68</c:v>
                </c:pt>
                <c:pt idx="3">
                  <c:v>68</c:v>
                </c:pt>
                <c:pt idx="4">
                  <c:v>70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183</c:v>
                </c:pt>
                <c:pt idx="1">
                  <c:v>184</c:v>
                </c:pt>
                <c:pt idx="2">
                  <c:v>174</c:v>
                </c:pt>
                <c:pt idx="3">
                  <c:v>187</c:v>
                </c:pt>
                <c:pt idx="4">
                  <c:v>185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101</c:v>
                </c:pt>
                <c:pt idx="1">
                  <c:v>84</c:v>
                </c:pt>
                <c:pt idx="2">
                  <c:v>66</c:v>
                </c:pt>
                <c:pt idx="3">
                  <c:v>63</c:v>
                </c:pt>
                <c:pt idx="4">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129.2</c:v>
                </c:pt>
                <c:pt idx="1">
                  <c:v>45.40000000000001</c:v>
                </c:pt>
                <c:pt idx="2">
                  <c:v>143.8</c:v>
                </c:pt>
                <c:pt idx="3">
                  <c:v>199.20000000000005</c:v>
                </c:pt>
                <c:pt idx="4">
                  <c:v>212.2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195.9</c:v>
                </c:pt>
                <c:pt idx="1">
                  <c:v>266.5</c:v>
                </c:pt>
                <c:pt idx="2">
                  <c:v>274.3</c:v>
                </c:pt>
                <c:pt idx="3">
                  <c:v>227.1</c:v>
                </c:pt>
                <c:pt idx="4">
                  <c:v>208.1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11.6</c:v>
                </c:pt>
                <c:pt idx="1">
                  <c:v>14.3</c:v>
                </c:pt>
                <c:pt idx="2">
                  <c:v>14.3</c:v>
                </c:pt>
                <c:pt idx="3">
                  <c:v>10.5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14.7</c:v>
                </c:pt>
                <c:pt idx="1">
                  <c:v>18.5</c:v>
                </c:pt>
                <c:pt idx="2">
                  <c:v>16.4</c:v>
                </c:pt>
                <c:pt idx="3">
                  <c:v>11.9</c:v>
                </c:pt>
                <c:pt idx="4">
                  <c:v>10.1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c:v>
                </c:pt>
                <c:pt idx="1">
                  <c:v>1.1</c:v>
                </c:pt>
                <c:pt idx="2">
                  <c:v>0.91</c:v>
                </c:pt>
                <c:pt idx="3">
                  <c:v>0.9</c:v>
                </c:pt>
                <c:pt idx="4">
                  <c:v>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265.7</c:v>
                </c:pt>
                <c:pt idx="1">
                  <c:v>158.3</c:v>
                </c:pt>
                <c:pt idx="2">
                  <c:v>182.1</c:v>
                </c:pt>
                <c:pt idx="3">
                  <c:v>100.7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306.8</c:v>
                </c:pt>
                <c:pt idx="1">
                  <c:v>39.4</c:v>
                </c:pt>
                <c:pt idx="2">
                  <c:v>40.2</c:v>
                </c:pt>
                <c:pt idx="3">
                  <c:v>89.2</c:v>
                </c:pt>
                <c:pt idx="4">
                  <c:v>38.5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29.5</c:v>
                </c:pt>
                <c:pt idx="1">
                  <c:v>31.2</c:v>
                </c:pt>
                <c:pt idx="2">
                  <c:v>34.8</c:v>
                </c:pt>
                <c:pt idx="3">
                  <c:v>35</c:v>
                </c:pt>
                <c:pt idx="4">
                  <c:v>36.2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22.4</c:v>
                </c:pt>
                <c:pt idx="1">
                  <c:v>94.8</c:v>
                </c:pt>
                <c:pt idx="2">
                  <c:v>0</c:v>
                </c:pt>
                <c:pt idx="3">
                  <c:v>10.3</c:v>
                </c:pt>
                <c:pt idx="4">
                  <c:v>16.6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Gruppo IPG Holding S.p.A. (familia Montipò, vía Leila Montipò e Sorelle Sapa; Tamburi Investment Partners es socio minoritario del holding)</c:v>
                </c:pt>
                <c:pt idx="1">
                  <c:v>FMR LLC (Fidelity)</c:v>
                </c:pt>
                <c:pt idx="2">
                  <c:v>Reggiana Finanziaria S.r.l. (G. Albarelli)</c:v>
                </c:pt>
                <c:pt idx="3">
                  <c:v>Fulvio Montipò (directa)</c:v>
                </c:pt>
                <c:pt idx="4">
                  <c:v>Autocartera</c:v>
                </c:pt>
              </c:strCache>
            </c:strRef>
          </c:cat>
          <c:val>
            <c:numRef>
              <c:f>Hoja1!$B$2:$B$6</c:f>
              <c:numCache>
                <c:formatCode>0.0"%"</c:formatCode>
                <c:ptCount val="5"/>
                <c:pt idx="0">
                  <c:v>23.42</c:v>
                </c:pt>
                <c:pt idx="1">
                  <c:v>6.9</c:v>
                </c:pt>
                <c:pt idx="2">
                  <c:v>3.49</c:v>
                </c:pt>
                <c:pt idx="3">
                  <c:v>1.43</c:v>
                </c:pt>
                <c:pt idx="4">
                  <c:v>3.48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10.1</c:v>
                </c:pt>
                <c:pt idx="1">
                  <c:v>69.9</c:v>
                </c:pt>
                <c:pt idx="2">
                  <c:v>-0.1</c:v>
                </c:pt>
                <c:pt idx="3">
                  <c:v>9.5</c:v>
                </c:pt>
                <c:pt idx="4">
                  <c:v>44.1</c:v>
                </c:pt>
                <c:pt idx="5">
                  <c:v>60.7</c:v>
                </c:pt>
                <c:pt idx="6">
                  <c:v>-34.1</c:v>
                </c:pt>
                <c:pt idx="7">
                  <c:v>11.8</c:v>
                </c:pt>
                <c:pt idx="8">
                  <c:v>-8.3</c:v>
                </c:pt>
                <c:pt idx="9">
                  <c:v>10.7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19.4</c:v>
                </c:pt>
                <c:pt idx="1">
                  <c:v>10.2</c:v>
                </c:pt>
                <c:pt idx="2">
                  <c:v>10.3</c:v>
                </c:pt>
                <c:pt idx="3">
                  <c:v>10.9</c:v>
                </c:pt>
                <c:pt idx="4">
                  <c:v>11.4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10.9</c:v>
                </c:pt>
                <c:pt idx="1">
                  <c:v>10.9</c:v>
                </c:pt>
                <c:pt idx="2">
                  <c:v>10.9</c:v>
                </c:pt>
                <c:pt idx="3">
                  <c:v>10.9</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Interpump</c:v>
                </c:pt>
                <c:pt idx="1">
                  <c:v>Parker-Hannifin</c:v>
                </c:pt>
                <c:pt idx="2">
                  <c:v>IDEX</c:v>
                </c:pt>
                <c:pt idx="3">
                  <c:v>Graco</c:v>
                </c:pt>
                <c:pt idx="4">
                  <c:v>Nordson</c:v>
                </c:pt>
                <c:pt idx="5">
                  <c:v>Dover</c:v>
                </c:pt>
                <c:pt idx="6">
                  <c:v>Atlas Copco</c:v>
                </c:pt>
                <c:pt idx="7">
                  <c:v>Alfa Laval</c:v>
                </c:pt>
                <c:pt idx="8">
                  <c:v>Bucher Industries</c:v>
                </c:pt>
              </c:strCache>
            </c:strRef>
          </c:cat>
          <c:val>
            <c:numRef>
              <c:f>Hoja1!$B$2:$B$10</c:f>
              <c:numCache>
                <c:formatCode>0.0"x"</c:formatCode>
                <c:ptCount val="9"/>
                <c:pt idx="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White Drive Motors &amp; Steering (hidráulica móvil)</c:v>
                </c:pt>
                <c:pt idx="1">
                  <c:v>Eaton Hydraulics</c:v>
                </c:pt>
                <c:pt idx="2">
                  <c:v>Seepex (bombas de cavidad progresiva)</c:v>
                </c:pt>
                <c:pt idx="3">
                  <c:v>Chart Industries (equipos criogénicos y de proceso)</c:v>
                </c:pt>
                <c:pt idx="4">
                  <c:v>Teknoice (líneas industriales de helado)</c:v>
                </c:pt>
                <c:pt idx="5">
                  <c:v>MVV (bombas dosificadoras de engranajes)</c:v>
                </c:pt>
              </c:strCache>
            </c:strRef>
          </c:cat>
          <c:val>
            <c:numRef>
              <c:f>Hoja1!$B$2:$B$7</c:f>
              <c:numCache>
                <c:formatCode>0.0"x"</c:formatCode>
                <c:ptCount val="6"/>
                <c:pt idx="0">
                  <c:v>5.2</c:v>
                </c:pt>
                <c:pt idx="3">
                  <c:v>13.6</c:v>
                </c:pt>
                <c:pt idx="4">
                  <c:v>4.3</c:v>
                </c:pt>
                <c:pt idx="5">
                  <c:v>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216</c:v>
                </c:pt>
                <c:pt idx="1">
                  <c:v>204</c:v>
                </c:pt>
                <c:pt idx="2">
                  <c:v>221</c:v>
                </c:pt>
                <c:pt idx="3">
                  <c:v>239</c:v>
                </c:pt>
                <c:pt idx="4">
                  <c:v>258</c:v>
                </c:pt>
                <c:pt idx="5">
                  <c:v>265</c:v>
                </c:pt>
                <c:pt idx="6">
                  <c:v>283</c:v>
                </c:pt>
                <c:pt idx="7">
                  <c:v>303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1325</c:v>
                </c:pt>
                <c:pt idx="1">
                  <c:v>3119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35,88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29.76</c:v>
                </c:pt>
                <c:pt idx="1">
                  <c:v>38.19</c:v>
                </c:pt>
                <c:pt idx="2">
                  <c:v>42.01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35,88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(30,10 – 51,30)</c:v>
                </c:pt>
                <c:pt idx="1">
                  <c:v>Comparables: PER NTM (49,74 – 58,28)</c:v>
                </c:pt>
                <c:pt idx="2">
                  <c:v>DCF (WACC y g ± 0,5) (35,49 – 41,62)</c:v>
                </c:pt>
                <c:pt idx="3">
                  <c:v>Escenarios (bajista – alcista) (29,76 – 42,01)</c:v>
                </c:pt>
                <c:pt idx="4">
                  <c:v>DCF con la prima implícita del mercado (4,2 %)</c:v>
                </c:pt>
                <c:pt idx="5">
                  <c:v>Precio actual (35,88)</c:v>
                </c:pt>
              </c:strCache>
            </c:strRef>
          </c:cat>
          <c:val>
            <c:numRef>
              <c:f>Hoja1!$B$2:$B$7</c:f>
              <c:numCache>
                <c:formatCode>#,##0.0</c:formatCode>
                <c:ptCount val="6"/>
                <c:pt idx="0">
                  <c:v>30.1</c:v>
                </c:pt>
                <c:pt idx="1">
                  <c:v>49.74</c:v>
                </c:pt>
                <c:pt idx="2">
                  <c:v>35.49</c:v>
                </c:pt>
                <c:pt idx="3">
                  <c:v>29.76</c:v>
                </c:pt>
                <c:pt idx="4">
                  <c:v>41.63</c:v>
                </c:pt>
                <c:pt idx="5">
                  <c:v>35.7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(30,10 – 51,30)</c:v>
                </c:pt>
                <c:pt idx="1">
                  <c:v>Comparables: PER NTM (49,74 – 58,28)</c:v>
                </c:pt>
                <c:pt idx="2">
                  <c:v>DCF (WACC y g ± 0,5) (35,49 – 41,62)</c:v>
                </c:pt>
                <c:pt idx="3">
                  <c:v>Escenarios (bajista – alcista) (29,76 – 42,01)</c:v>
                </c:pt>
                <c:pt idx="4">
                  <c:v>DCF con la prima implícita del mercado (4,2 %)</c:v>
                </c:pt>
                <c:pt idx="5">
                  <c:v>Precio actual (35,88)</c:v>
                </c:pt>
              </c:strCache>
            </c:strRef>
          </c:cat>
          <c:val>
            <c:numRef>
              <c:f>Hoja1!$C$2:$C$7</c:f>
              <c:numCache>
                <c:formatCode>#,##0.0</c:formatCode>
                <c:ptCount val="6"/>
                <c:pt idx="0">
                  <c:v>21.199999999999996</c:v>
                </c:pt>
                <c:pt idx="1">
                  <c:v>8.54</c:v>
                </c:pt>
                <c:pt idx="2">
                  <c:v>6.1299999999999955</c:v>
                </c:pt>
                <c:pt idx="3">
                  <c:v>12.249999999999996</c:v>
                </c:pt>
                <c:pt idx="4">
                  <c:v>5.739999999999995</c:v>
                </c:pt>
                <c:pt idx="5">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