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BELIMO Holding AG</w:t>
      </w:r>
    </w:p>
    <w:p>
      <w:pPr>
        <w:spacing w:after="60"/>
        <w:rPr>
          <w:color w:val="52514E"/>
          <w:sz w:val="22"/>
          <w:szCs w:val="22"/>
        </w:rPr>
      </w:pPr>
      <w:r>
        <w:rPr>
          <w:color w:val="52514E"/>
          <w:sz w:val="22"/>
          <w:szCs w:val="22"/>
        </w:rPr>
        <w:t xml:space="preserve">BEAN · SIX Swiss Exchange · ISIN CH1101098163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800,00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901,00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+13,9 % (base +18,1 %)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427,67 CHF · mercado 541,70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9.840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25,4x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BELIMO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BEAN / CH1101098163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(^SSMI); sector: SPI (CHSPI)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Hinwil (Suiza)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www.belimo.com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800,00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608,50 – 969,50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9.873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CHF/día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ene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901,00 CHF</w:t>
      </w:r>
      <w:r>
        <w:t xml:space="preserve"> frente a 800,00 · Rentabilidad a 12 meses </w:t>
      </w:r>
      <w:r>
        <w:rPr>
          <w:b/>
          <w:bCs/>
        </w:rPr>
        <w:t xml:space="preserve">+13,9 % (base +18,1 %)</w:t>
      </w:r>
      <w:r>
        <w:t xml:space="preserve"> · Valor intrínseco 427,67 CHF · con la prima implícita del mercado: 541,70 (-32,3 %) · Alcista / bajista -33,7 % / -64,6 %</w:t>
      </w:r>
    </w:p>
    <w:p>
      <w:pPr>
        <w:spacing w:after="100"/>
      </w:pPr>
      <w:r>
        <w:rPr>
          <w:b/>
        </w:rPr>
        <w:t xml:space="preserve">La recomendación y por qué.</w:t>
      </w:r>
      <w:r>
        <w:t xml:space="preserve"> Mantener, con convicción media. El objetivo a 12 meses es de 901,00 CHF (ponderado 25/50/25) frente a un precio de 800 CHF: rentabilidad ponderada del 13,9 % y del 18,1 % en el base, con dividendo. No llega al 15 % que exige un Comprar y, sobre todo, el valor intrínseco (427,67 CHF) está un 46,5 % por debajo del precio, así que no pasa el filtro de valor real. El objetivo medio de los analistas (1.010,40) queda por encima de nuestro base (935,08), dentro de su rango. La convicción es media porque las dos lecturas tiran en sentidos opuestos: a 12 meses el beneficio y el múltiplo sostienen el precio; a largo plazo, el precio está muy por encima de lo que vale. Bajaría a Vender si el crecimiento de 2026 en divisa local quedara por debajo del 18 % (18-ene-2027).</w:t>
      </w:r>
    </w:p>
    <w:p>
      <w:pPr>
        <w:spacing w:after="100"/>
      </w:pPr>
      <w:r>
        <w:rPr>
          <w:b/>
        </w:rPr>
        <w:t xml:space="preserve">El negocio.</w:t>
      </w:r>
      <w:r>
        <w:t xml:space="preserve"> Belimo es el especialista mundial de actuadores, válvulas y sensores de climatización, con un ROIC del 37,2 % frente a un WACC del 7,21 %, sin deuda relevante ni compras, y un margen EBIT del 20,8 % en 2025 y del 22,5 % en el 1S26, por encima de Trane (17,8 %) o Siemens (16,4 %) [1, 4, 14]. Los centros de datos explican algo más de la mitad del crecimiento del 1S26: sus válvulas regulan la refrigeración líquida directa al chip [4]. La sostenibilidad es «Sí»: el 8,6 % anual que proyectamos es financiable con su ROIC (reinversión del 23 % del NOPAT) y la cuota pasaría del 20 % al 28,3 % de su mercado accesible en 2030.</w:t>
      </w:r>
    </w:p>
    <w:p>
      <w:pPr>
        <w:spacing w:after="100"/>
      </w:pPr>
      <w:r>
        <w:rPr>
          <w:b/>
        </w:rPr>
        <w:t xml:space="preserve">Sector y ciclo.</w:t>
      </w:r>
      <w:r>
        <w:t xml:space="preserve"> La obra nueva no residencial está floja en Europa y China; la tiran la renovación (EPBD) y los centros de datos, un mercado de refrigeración líquida que crecerá un 20-22 % anual hasta 2030 [8, 9].</w:t>
      </w:r>
    </w:p>
    <w:p>
      <w:pPr>
        <w:spacing w:after="100"/>
      </w:pPr>
      <w:r>
        <w:rPr>
          <w:b/>
        </w:rPr>
        <w:t xml:space="preserve">Finanzas.</w:t>
      </w:r>
      <w:r>
        <w:t xml:space="preserve"> Ventas de 1.120,8 M CHF en 2025 (+23,3 % en divisa local) y 676,4 M en el 1S26 (+29,6 %) [1, 4]. El FCF es débil (0,9 % sobre la capitalización) por el capex de ampliación (7,7 % de ventas) y el circulante; la deuda neta es de 27,7 M tras pagar el dividendo con crédito [4].</w:t>
      </w:r>
    </w:p>
    <w:p>
      <w:pPr>
        <w:spacing w:after="100"/>
      </w:pPr>
      <w:r>
        <w:rPr>
          <w:b/>
        </w:rPr>
        <w:t xml:space="preserve">Equipo y gobierno.</w:t>
      </w:r>
      <w:r>
        <w:t xml:space="preserve"> Equipo estable que ha superado su guía en 2024 y 2025; remuneración moderada (1,75 M CHF el consejero delegado) sin plan a largo plazo; la familia Linsi (19,55 %) y un límite de voto del 5 % hacen improbable una opa [1].</w:t>
      </w:r>
    </w:p>
    <w:p>
      <w:pPr>
        <w:spacing w:after="100"/>
      </w:pPr>
      <w:r>
        <w:rPr>
          <w:b/>
        </w:rPr>
        <w:t xml:space="preserve">Valoración.</w:t>
      </w:r>
      <w:r>
        <w:t xml:space="preserve"> El DCF da 426,07 CHF y, con la prima implícita del mercado, 554,80; comparables (481 por PER) y escenarios (282,98-530,38) tampoco llegan al precio. El DCF inverso pide un 19,1 % anual de crecimiento de 2027 a 2035, frente a nuestro 7,4 % y al 5 % del mercado: el precio descuenta una década de crecimiento al ritmo de la IA. Nuestro BPA de 2028 (24,10) está un 9,3 % bajo el consenso por margen y divisa. La regla a 12 meses parte del PER de hoy (36,9 veces) y de una historia adelantada de 40,8 veces.</w:t>
      </w:r>
    </w:p>
    <w:p>
      <w:pPr>
        <w:spacing w:after="100"/>
      </w:pPr>
      <w:r>
        <w:rPr>
          <w:b/>
        </w:rPr>
        <w:t xml:space="preserve">Riesgos y catalizadores.</w:t>
      </w:r>
      <w:r>
        <w:t xml:space="preserve"> El riesgo mayor es el múltiplo: si el mercado deja de pagar la tesis de la IA y lo lleva hacia el de los comparables (21,4 veces), la acción perdería un 30-45 %; el segundo, un frenazo del capex de los hiperescaladores. El riesgo de que la IA se coma el negocio es bajo: Belimo vende hardware físico que la IA necesita. Catalizadores: ventas de 2026 (18-ene-2027) y guía de 2027 (1-mar-2027). Los foros, divididos, empeoran desde junio.</w:t>
      </w:r>
    </w:p>
    <w:p>
      <w:pPr>
        <w:spacing w:after="100"/>
      </w:pPr>
      <w:r>
        <w:rPr>
          <w:b/>
        </w:rPr>
        <w:t xml:space="preserve">Qué cambiaría la decisión.</w:t>
      </w:r>
      <w:r>
        <w:t xml:space="preserve"> Compraríamos por debajo de 427,67 CHF y venderíamos por encima de 1.012,22. Un crecimiento de 2026 por debajo del 18 % en divisa local nos llevaría a Vender; una guía de 2027 de más del 15 % con margen EBIT del 22 % subiría el caso base.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901,00 CHF</w:t>
      </w:r>
      <w:r>
        <w:t xml:space="preserve"> (rentabilidad +13,9 % (base +18,1 %)) · Valor intrínseco: 427,67 CHF (-46,5 % sobre 800,00) · con la prima implícita del mercado: 541,70 (-32,3 %)</w:t>
      </w:r>
    </w:p>
    <w:p>
      <w:pPr>
        <w:spacing w:after="100"/>
      </w:pPr>
      <w:r>
        <w:t xml:space="preserve">Belimo es el especialista mundial de los dispositivos de campo de climatización: actuadores, válvulas y sensores que ejecutan las órdenes del sistema de control de un edificio. Gana un ROIC del 37,2 %, no tiene deuda relevante, crece sin compras y desde 2025 añade un motor nuevo: sus válvulas regulan la refrigeración líquida directa al chip de los centros de datos de IA, que explicó algo más de la mitad del crecimiento del 1S26 (+29,6 % en divisa local) [4].</w:t>
      </w:r>
    </w:p>
    <w:p>
      <w:pPr>
        <w:spacing w:after="100"/>
      </w:pPr>
      <w:r>
        <w:t xml:space="preserve">El precio descuenta mucho más de lo que hay: a 800 CHF cotiza a 36,9 veces nuestro BPA de 2027 y 33,1 veces el EBITDA, y el DCF inverso pide un crecimiento del 19,1 % anual hasta 2035 frente al 7,4 % de nuestro caso base y al 5 % de su mercado accesible. El DCF da 426,07 CHF y el valor intrínseco ponderado 427,67.</w:t>
      </w:r>
    </w:p>
    <w:p>
      <w:pPr>
        <w:spacing w:after="100"/>
      </w:pPr>
      <w:r>
        <w:t xml:space="preserve">El mercado acierta en la calidad y en que los centros de datos son un motor real; se equivoca, a nuestro juicio, en la duración. Para invertir hay que creer que la refrigeración líquida crecerá al 20 % una década y que Belimo mantendrá su cuota frente a los integradores. A 12 meses la regla de múltiplos da un 13,9 %: no hay margen para comprar, y la tesis de valor es contraria.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901,00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 × 20,32 = 629,92 · 38,8x × 24,10 = 935,08 · 41,5x × 26,60 = 1.103,90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18,1 %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1.010,40 (nuestro base -7,5 %)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427,67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 / -64,6 %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 frente a 7,2 % y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541,70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(8,6 % anual proyectado; financiable al ROIC actual: 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427,67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427,67 y 1.012,22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1.012,22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427,67 CHF (precio de compra: ponderada a 12 meses ≥ 15 %, base ≥ 12 % y precio ≤ valor intrínseco), pasaríamos a Comprar.</w:t>
      </w:r>
    </w:p>
    <w:p>
      <w:pPr>
        <w:pStyle w:val="ListParagraph"/>
        <w:numPr>
          <w:ilvl w:val="0"/>
          <w:numId w:val="2"/>
        </w:numPr>
        <w:spacing w:after="60"/>
      </w:pPr>
      <w:r>
        <w:t xml:space="preserve">Por encima de 1.012,22 CHF (ponderada a 12 meses ≤ −10 %), pasaríamos a Vender.</w:t>
      </w:r>
    </w:p>
    <w:p>
      <w:pPr>
        <w:pStyle w:val="ListParagraph"/>
        <w:numPr>
          <w:ilvl w:val="0"/>
          <w:numId w:val="2"/>
        </w:numPr>
        <w:spacing w:after="60"/>
      </w:pPr>
      <w:r>
        <w:t xml:space="preserve">Si el crecimiento en divisa local de 2026 baja del 18 % (ventas del 18-ene-2027), rebajaríamos el BPA de 2028 y probablemente la señal a Vender.</w:t>
      </w:r>
    </w:p>
    <w:p>
      <w:pPr>
        <w:pStyle w:val="ListParagraph"/>
        <w:numPr>
          <w:ilvl w:val="0"/>
          <w:numId w:val="2"/>
        </w:numPr>
        <w:spacing w:after="60"/>
      </w:pPr>
      <w:r>
        <w:t xml:space="preserve">Si la guía de 2027 da un crecimiento ≥ 15 % y un margen EBIT ≥ 22 %, subiríamos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Belimo es un «ganador de la IA» de crecimiento sostenido: el PER de 36,9 veces el beneficio de 2027 y el objetivo medio de los analistas de 1.010,40 CHF suponen que el crecimiento del 20 % se prolonga mucho más allá de 2028 y que el múltiplo actual es permanente.</w:t>
      </w:r>
    </w:p>
    <w:p>
      <w:pPr>
        <w:keepNext/>
        <w:spacing w:after="100"/>
      </w:pPr>
      <w:r>
        <w:rPr>
          <w:b/>
          <w:bCs/>
        </w:rPr>
        <w:t xml:space="preserve">Lo que creemos nosotros.</w:t>
      </w:r>
    </w:p>
    <w:p>
      <w:pPr>
        <w:spacing w:after="100"/>
      </w:pPr>
      <w:r>
        <w:t xml:space="preserve">Compartimos el negocio (ROIC del 37 %, foso amplio, centros de datos como motor real), pero no la duración: nuestro base, con un crecimiento que baja del 13 % al 3 % en diez años, vale 426 CHF por acción. A 12 meses, el beneficio sube un 13-14 % al año y el múltiplo puede sostenerse, de ahí el Mantener.</w:t>
      </w:r>
    </w:p>
    <w:p>
      <w:pPr>
        <w:keepNext/>
        <w:spacing w:after="100"/>
      </w:pPr>
      <w:r>
        <w:rPr>
          <w:b/>
          <w:bCs/>
        </w:rPr>
        <w:t xml:space="preserve">Por qué podemos tener razón.</w:t>
      </w:r>
    </w:p>
    <w:p>
      <w:pPr>
        <w:spacing w:after="100"/>
      </w:pPr>
      <w:r>
        <w:t xml:space="preserve">Los centros de datos son un mercado de ciclos de inversión (los hiperescaladores ya han tenido parones), los integradores tienen poder de compra y el franco resta. La historia de Belimo (10 % anual en francos en 2021-2025) y el tamaño de su mercado (4.900 M CHF) no sostienen un 19 % anual durante nueve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37,2 % frente a un WACC del 7,21 %, sin deuda relevante ni fondo de comercio.</w:t>
      </w:r>
    </w:p>
    <w:p>
      <w:pPr>
        <w:pStyle w:val="ListParagraph"/>
        <w:numPr>
          <w:ilvl w:val="0"/>
          <w:numId w:val="2"/>
        </w:numPr>
        <w:spacing w:after="60"/>
      </w:pPr>
      <w:r>
        <w:rPr>
          <w:b/>
        </w:rPr>
        <w:t xml:space="preserve">Motor de centros de datos</w:t>
      </w:r>
      <w:r>
        <w:t xml:space="preserve">: algo más de la mitad del crecimiento del 1S26, con ventas totales +29,6 % en divisa local [4].</w:t>
      </w:r>
    </w:p>
    <w:p>
      <w:pPr>
        <w:pStyle w:val="ListParagraph"/>
        <w:numPr>
          <w:ilvl w:val="0"/>
          <w:numId w:val="2"/>
        </w:numPr>
        <w:spacing w:after="60"/>
      </w:pPr>
      <w:r>
        <w:rPr>
          <w:b/>
        </w:rPr>
        <w:t xml:space="preserve">Poder de precios</w:t>
      </w:r>
      <w:r>
        <w:t xml:space="preserve">: repercutió los aranceles de 2025 y el margen EBIT subió del 19,2 % al 20,8 % [1].</w:t>
      </w:r>
    </w:p>
    <w:p>
      <w:pPr>
        <w:pStyle w:val="ListParagraph"/>
        <w:numPr>
          <w:ilvl w:val="0"/>
          <w:numId w:val="2"/>
        </w:numPr>
        <w:spacing w:after="60"/>
      </w:pPr>
      <w:r>
        <w:rPr>
          <w:b/>
        </w:rPr>
        <w:t xml:space="preserve">Guía superada</w:t>
      </w:r>
      <w:r>
        <w:t xml:space="preserve">: crecimiento del 23,3 % en 2025 frente a una guía del 15-20 % [1, 5].</w:t>
      </w:r>
    </w:p>
    <w:p>
      <w:pPr>
        <w:pStyle w:val="ListParagraph"/>
        <w:numPr>
          <w:ilvl w:val="0"/>
          <w:numId w:val="2"/>
        </w:numPr>
        <w:spacing w:after="60"/>
      </w:pPr>
      <w:r>
        <w:rPr>
          <w:b/>
        </w:rPr>
        <w:t xml:space="preserve">Sostenibilidad «Sí»</w:t>
      </w:r>
      <w:r>
        <w:t xml:space="preserve">: el crecimiento proyectado (8,6 %) es financiable con su ROIC.</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19,1 % anual hasta 2035; el valor intrínseco (427,67) está un 46,5 % por debajo.</w:t>
      </w:r>
    </w:p>
    <w:p>
      <w:pPr>
        <w:pStyle w:val="ListParagraph"/>
        <w:numPr>
          <w:ilvl w:val="0"/>
          <w:numId w:val="2"/>
        </w:numPr>
        <w:spacing w:after="60"/>
      </w:pPr>
      <w:r>
        <w:rPr>
          <w:b/>
        </w:rPr>
        <w:t xml:space="preserve">La más cara del sector</w:t>
      </w:r>
      <w:r>
        <w:t xml:space="preserve">: 33,1 veces el EBITDA frente a 24,4 de Trane y 33,7 de Vertiv, que crece igual [14].</w:t>
      </w:r>
    </w:p>
    <w:p>
      <w:pPr>
        <w:pStyle w:val="ListParagraph"/>
        <w:numPr>
          <w:ilvl w:val="0"/>
          <w:numId w:val="2"/>
        </w:numPr>
        <w:spacing w:after="60"/>
      </w:pPr>
      <w:r>
        <w:rPr>
          <w:b/>
        </w:rPr>
        <w:t xml:space="preserve">Dependencia de un ciclo</w:t>
      </w:r>
      <w:r>
        <w:t xml:space="preserve">: los centros de datos dependen del capex de IA de unos pocos clientes finales.</w:t>
      </w:r>
    </w:p>
    <w:p>
      <w:pPr>
        <w:pStyle w:val="ListParagraph"/>
        <w:numPr>
          <w:ilvl w:val="0"/>
          <w:numId w:val="2"/>
        </w:numPr>
        <w:spacing w:after="60"/>
      </w:pPr>
      <w:r>
        <w:rPr>
          <w:b/>
        </w:rPr>
        <w:t xml:space="preserve">FCF bajo</w:t>
      </w:r>
      <w:r>
        <w:t xml:space="preserve">: 0,9 % de rentabilidad por FCF; capex del 7,7 % de ventas y dividendo financiado con deuda en el 1S26 [4].</w:t>
      </w:r>
    </w:p>
    <w:p>
      <w:pPr>
        <w:pStyle w:val="ListParagraph"/>
        <w:numPr>
          <w:ilvl w:val="0"/>
          <w:numId w:val="2"/>
        </w:numPr>
        <w:spacing w:after="60"/>
      </w:pPr>
      <w:r>
        <w:rPr>
          <w:b/>
        </w:rPr>
        <w:t xml:space="preserve">Divisa</w:t>
      </w:r>
      <w:r>
        <w:t xml:space="preserve">: solo el 5 % de las ventas en francos.</w:t>
      </w:r>
    </w:p>
    <w:p>
      <w:pPr>
        <w:pStyle w:val="Heading2"/>
      </w:pPr>
      <w:r>
        <w:t xml:space="preserve">Qué tiene que pasar para que la tesis funcione</w:t>
      </w:r>
    </w:p>
    <w:p>
      <w:pPr>
        <w:spacing w:after="100"/>
      </w:pPr>
      <w:r>
        <w:t xml:space="preserve">La tesis del mercado depende de que los centros de datos sigan creciendo al 20 % o más durante años. La señal de que no se cumple sería un crecimiento en divisa local de América por debajo del 15 % en las ventas de 2026 (18-ene-2027) o en el 1S27, o que la empresa evite dar la cifra de centros de datos cuando el crecimiento se frene. En sentido contrario, una guía de 2027 por encima del 15 % mantendría el múltiplo.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divisa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paga 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 (guía)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América en divisa local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centros de datos.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del ciclo de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Vertiv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Termómetro del múltiplo de la refrigeración de IA.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33,1x / 25,4x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47,9x / 35,6x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Belimo nace en 1975 en Suiza para fabricar actuadores de compuertas de aire; cotiza en la bolsa suiza desde 1995 [1]. Creció con un solo foco, los dispositivos de campo de climatización (actuadores, válvulas y sensores), sin compras relevantes, con filiales comerciales propias en más de 80 países y centros de producción y logística en Suiza, EE. UU., China, Alemania y otros [1]. La familia Linsi, fundadora, conserva el 19,6 % [1]. Las válvulas de control (Energy Valve, válvulas independientes de presión) pasaron a ser la mayor línea en 2023 y desde 2025 los centros de datos son una iniciativa estratégica propia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Suiza; primer actuador de compuerta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2000s</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Primeros clientes de centros de datos (inicio de los años 2000)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Energy Valve, válvula que mide y regula la energía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Iniciativa RetroFIT+ para la renovación de edificios existentes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válvulas de control superan a los actuadores de compuerta en ventas (49 % frente a 47 %)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como pilar estratégico; ventas +23,3 % en divisa local; Data Center Experience Center en Singapur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Centro de aplicaciones de refrigeración de centros de datos en Danbury (EE. UU.); ampliación de capacidad en Suiza y EE. UU. [4].</w:t>
            </w:r>
          </w:p>
        </w:tc>
      </w:tr>
    </w:tbl>
    <w:p>
      <w:pPr>
        <w:spacing w:after="160" w:before="0"/>
      </w:pPr>
    </w:p>
    <w:p>
      <w:pPr>
        <w:pStyle w:val="Heading1"/>
      </w:pPr>
      <w:r>
        <w:t xml:space="preserve">2. Modelo de negocio</w:t>
      </w:r>
    </w:p>
    <w:p>
      <w:pPr>
        <w:spacing w:after="100"/>
      </w:pPr>
      <w:r>
        <w:t xml:space="preserve">Belimo diseña, fabrica y vende dispositivos de campo para la climatización de edificios: actuadores que mueven las compuertas de aire (42 % de las ventas de 2025), válvulas de control de agua con actuador, incluida la Energy Valve que mide y regula la energía (53 %), y sensores y contadores (5 %) [1]. Los clientes son fabricantes de equipos de climatización (OEM), integradores de sistemas de control, instaladores y mayoristas; Belimo no vende el sistema, sino la pieza que lo ejecuta. Envía unos 10 millones de dispositivos al año desde fábricas en Suiza, EE. UU., Alemania y China y vende en más de 80 países: EE. UU. es el 39 % de las ventas, EMEA el 38 % y Asia-Pacífico el 13 % [1]. Desde 2025 los centros de datos son una iniciativa estratégica: sus válvulas regulan el agua de la refrigeración líquida directa al chip de los servidores de IA [4].</w:t>
      </w:r>
    </w:p>
    <w:p>
      <w:pPr>
        <w:pStyle w:val="Heading2"/>
      </w:pPr>
      <w:r>
        <w:t xml:space="preserve">Cómo gana dinero</w:t>
      </w:r>
    </w:p>
    <w:p>
      <w:pPr>
        <w:spacing w:after="100"/>
      </w:pPr>
      <w:r>
        <w:t xml:space="preserve">Margen bruto alto y estable (los aprovisionamientos son el 40 % de las ventas) y un gasto fijo de personal y de I+D que se diluye con el volumen: el margen EBIT pasó del 17,8 % en 2023 al 20,8 % en 2025 y al 22,5 % en el 1S26 con ventas un 30 % mayores [1, 4]. No hay ingresos recurrentes por contrato, pero sí de reposición: un tercio largo de las ventas va a renovación de edificios, cuya demanda es menos cíclica que la obra nueva [1]. El margen depende de la mezcla (las válvulas de centros de datos, de mayor precio, suben su peso), del franco (95 % de las ventas en otras divisas y buena parte del coste en Suiza) y del precio, que repercutió los aranceles de EE. UU. en el 2S25 [1]. Estacionalidad suave: el 1S suele tener mejor margen.</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Actuadores de compuerta (Damper Actuators)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Válvulas de control (Control Valves)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Sensores y contadores (Sensors and Meters)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Actuadores de compuerta (Damper Actuators)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Válvulas de control (Control Valves)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Sensores y contadores (Sensors and Meters)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muy fragmentados: Belimo no publica concentración y ningún cliente aparece como relevante en las notas [1]. Vende a través de OEM de climatización (que incorporan el actuador o la válvula en sus equipos), de integradores y de mayoristas. En centros de datos el decisor es el operador o el fabricante del chip, que homologa la válvula: la empresa dice ser «la solución preferida» de los principales fabricantes de chips e hiperescaladores [4]. Poder de precios demostrado: compensó los aranceles de 2025 con subidas en el 2S25 y el margen EBIT siguió subiendo; el 1S26 sumó precio, mezcla y apalancamiento frente a una divisa adversa [1,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en divisa local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 (2025); 29,6 %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por centros de datos y renovación (RetroFIT+)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(2025); 22,5 %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y mezcla, menos divisa y aranceles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publicado por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alternativa de la empresa; ROCE 36,3 %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las válvulas de control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 (2025); 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pp en 18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válvulas son el producto de la refrigeración líquida de centros de datos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inventario (DIO)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días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Bajan desde el máximo de 188 días de 2023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(equivalentes a tiempo completo)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2.704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Contratación para la ampliación de capacidad en Suiza y EE. UU. [1,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dispositivos de campo para climatización de edificios (actuadores de compuertas, válvulas de control y sensores y contadores), que Belimo estima en 4.900 M CHF en 2023 (25 % actuadores, 45 % válvulas, 30 % sensores; EMEA 1.200 M, América 2.100 M, Asia-Pacífico 1.600 M) [7]. Es un nicho del mercado de control y automatización de edificios y de los equipos de climatización. Dentro está la refrigeración de centros de datos: el mercado de refrigeración líquida se estima entre 9.500 y 17.770 M USD en 2030, con crecimientos del 20-22 % anual, según el informe [8, 9]. Usamos el tamaño de Belimo porque es el único con el mismo perímetro que su cuota; las cifras de refrigeración líquida son de consultoras con definiciones distintas.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4.900 M CHF en 2023 (estimación de la empresa)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(IA) y refrigeración líquida directa al chip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más de la mitad del crecimiento absoluto de Belimo en el 1S26; mercado de refrigeración líquida +20-22 % anual hasta 2030 [4, 8,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por eficiencia energética (EPBD, Ley de Energía de Edificios alemana)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RetroFIT+ con cartera creciente; la EPBD obliga a renovar el parque europeo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no residencial nueva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 «moderado» en 2025-26; sin recuperación en Alemania prevista para 2026 [1,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del aire interior y digitalización (sensores, Ethernet, BelOS)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contadores +25,1 % en divisa local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Franco fuerte y 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el 5 % de las ventas en CHF; aranceles compensados con precio en el 2S25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grandes (Siemens, Honeywell, Johnson Controls, Schneider, Danfoss) que venden el dispositivo dentro de su sistema; Belimo gana con plazo y calidad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fragmentados (fabricantes de equipos, integradores, mayoristas); el dispositivo es una parte pequeña del coste del sistema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metales; aranceles repercutidos en precio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especificación por ingenierías y red global de distribución; entrantes chinos en gama baja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por inmersión podría reducir válvulas por rack frente a la de placa fría directa al chip (riesgo de tecnología) [4].</w:t>
            </w:r>
          </w:p>
        </w:tc>
      </w:tr>
    </w:tbl>
    <w:p>
      <w:pPr>
        <w:spacing w:after="160" w:before="0"/>
      </w:pPr>
    </w:p>
    <w:p>
      <w:pPr>
        <w:pStyle w:val="Heading2"/>
      </w:pPr>
      <w:r>
        <w:t xml:space="preserve">Ciclo</w:t>
      </w:r>
    </w:p>
    <w:p>
      <w:pPr>
        <w:spacing w:after="100"/>
      </w:pPr>
      <w:r>
        <w:t xml:space="preserve">La construcción no residencial está floja (EMEA solo crece «modestamente», Alemania sin rebote), pero la demanda de centros de datos y la renovación tiran: Belimo creció un 29,6 % en divisa local en el 1S26 [4]. En 2009 sus ventas cayeron; en 2020 bajaron un 4,5 % en francos (+1,4 % en divisa local aprox.) [3]; en 2023 el desabastecimiento de 2022 se convirtió en reducción de inventario de los clientes y el 2S23 cayó un 4,7 % [2].</w:t>
      </w:r>
    </w:p>
    <w:p>
      <w:pPr>
        <w:pStyle w:val="Heading2"/>
      </w:pPr>
      <w:r>
        <w:t xml:space="preserve">Regulación</w:t>
      </w:r>
    </w:p>
    <w:p>
      <w:pPr>
        <w:spacing w:after="100"/>
      </w:pPr>
      <w:r>
        <w:t xml:space="preserve">La Directiva europea de eficiencia energética de edificios (EPBD, refundida en 2024) obliga a renovar el parque menos eficiente y a instalar automatización en edificios no residenciales grandes; su trasposición alemana (Ley de Energía de Edificios) favorece la renovación [2]. En EE. UU., los aranceles de 2025 afectaron a costes y se repercutieron en precio [1]. Las normas ASHRAE de eficiencia y de centros de datos fijan los requisitos de válvulas y sensores.</w:t>
      </w:r>
    </w:p>
    <w:p>
      <w:pPr>
        <w:pStyle w:val="Heading2"/>
      </w:pPr>
      <w:r>
        <w:t xml:space="preserve">Tendencias y disrupción</w:t>
      </w:r>
    </w:p>
    <w:p>
      <w:pPr>
        <w:spacing w:after="100"/>
      </w:pPr>
      <w:r>
        <w:t xml:space="preserve">El cambio de la refrigeración por aire a la líquida directa al chip en los centros de datos de IA multiplica las válvulas de control por megavatio; Belimo dice ser «la solución preferida» de los grandes fabricantes de chips e hiperescaladores [4]. La digitalización (válvulas con Ethernet y software propio, BelOS) sube el valor por dispositivo. Riesgo: los grandes integradores (Vertiv, Schneider-Motivair, Eaton-Boyd) integran verticalmente la distribución de refrigerante (CDU) y podrían elegir otro proveedor de válvulas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actuadores de compuerta y uno de los primeros en válvulas de control para climatización; cuota &lt; 20 % del mercado accesible de dispositivos de campo (estimación de la empresa)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 (Smart Infrastructure)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del grupo; compite con dispositivos dentro de su sistema Desigo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Controles Metasys y dispositivos propios; vende equipos y servicio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Automatización de edificios (EcoStruxure) y, con Motivair, refrigeración líquida [10].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 (Building Automation)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actuadores y válvulas; cifras del segmento no recogidas.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Danfoss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Válvulas de climatización;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Fabricante de equipos y cliente de dispositivos; referencia de margen del sector [10].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Especificación por ingenierías y formación de instaladores; efecto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dispositivo se especifica en el proyecto y se reemplaza con el mismo modelo; en centros de datos se homologa con el chip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Energy Valve y válvulas independientes de presión; ROIC del 25-28 % durante cinco años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10 millones de dispositivos al año y plazo de entrega corto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 de 4.900 M CHF donde Belimo es el único especialista global [3].</w:t>
            </w:r>
          </w:p>
        </w:tc>
      </w:tr>
    </w:tbl>
    <w:p>
      <w:pPr>
        <w:spacing w:after="160" w:before="0"/>
      </w:pPr>
    </w:p>
    <w:p>
      <w:pPr>
        <w:pStyle w:val="Heading2"/>
      </w:pPr>
      <w:r>
        <w:t xml:space="preserve">Amenazas</w:t>
      </w:r>
    </w:p>
    <w:p>
      <w:pPr>
        <w:spacing w:after="100"/>
      </w:pPr>
      <w:r>
        <w:t xml:space="preserve">Las amenazas son tres. (1) Que los integradores de refrigeración líquida (Vertiv, Schneider-Motivair, Eaton-Boyd) estandaricen válvulas propias o de un competidor en sus unidades de distribución de refrigerante: probabilidad media a 3-5 años. (2) Competidores chinos en gama baja de actuadores, sobre todo en Asia: probabilidad media, efecto limitado al precio de la gama básica. (3) Un cambio de tecnología (inmersión) que reduzca válvulas por megavatio: probabilidad baja a cinco años [4].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2021-2025: ingresos </w:t>
      </w:r>
      <w:r>
        <w:rPr>
          <w:b/>
          <w:bCs/>
        </w:rPr>
        <w:t xml:space="preserve">10,0 %</w:t>
      </w:r>
      <w:r>
        <w:t xml:space="preserve">, EBITDA </w:t>
      </w:r>
      <w:r>
        <w:rPr>
          <w:b/>
          <w:bCs/>
        </w:rPr>
        <w:t xml:space="preserve">11,0 %</w:t>
      </w:r>
      <w:r>
        <w:t xml:space="preserve">, BPA </w:t>
      </w:r>
      <w:r>
        <w:rPr>
          <w:b/>
          <w:bCs/>
        </w:rPr>
        <w:t xml:space="preserve">11,9 %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Belimo no hace compras relevantes: todo el crecimiento es orgánico. Las ventas pasan de 765,3 M CHF en 2021 a 1.120,8 M en 2025 y el crecimiento en divisa local se acelera de 7,2 % (2023) a 13,1 % (2024) y 23,3 % (2025) [1, 2]; en francos el efecto divisa resta entre 2 y 6 puntos al año porque solo el 5 % de las ventas está en CHF (46 % en USD) [1]. El margen EBIT oscila entre 17,8 % (2023) y 20,8 % (2025): sube por apalancamiento operativo y mezcla (válvulas), y lo frenan la divisa, la I+D (8,9 % de ventas en 2023) y en 2025 los aranceles de EE. UU., compensados con subidas de precio en el segundo semestre [1, 2]. En el 1S26 las ventas crecen un 29,6 % en divisa local y el margen EBIT es del 22,5 % (22,8 % en el 1S25) [4].</w:t>
      </w:r>
    </w:p>
    <w:p>
      <w:pPr>
        <w:pStyle w:val="Heading2"/>
      </w:pPr>
      <w:r>
        <w:t xml:space="preserve">Ajustes y partidas no recurrentes</w:t>
      </w:r>
    </w:p>
    <w:p>
      <w:pPr>
        <w:spacing w:after="100"/>
      </w:pPr>
      <w:r>
        <w:t xml:space="preserve">Cifras reportadas (NIIF). La cuenta se presenta por naturaleza: en «coste_ventas» van los aprovisionamientos (consumos menos variación de existencias) [1]. La partida no recurrente relevante es fiscal: en 2023 el impuesto incluye un efecto único favorable de 17,1 M CHF (tipo efectivo del 3,9 %), por lo que el BPA de 2023 (11,14) está inflado; normalizado con un tipo del 16-17 % sería ≈ 9,74 CHF [2]. Las diferencias de cambio van en el resultado financiero (−10,4 M en 2025, −8,6 M en 2023) y no se ajustan porque se repiten con el franco fuerte [1, 2]. No hay deterioros ni costes de reestructuración.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Belimo publica semestres. En los resultados anuales (febrero de 2026) la dirección guió un crecimiento en divisa local «mid-teens», «por encima de la historia», y un margen EBIT superior al 20 %, con presión de la divisa y apoyo del apalancamiento y la mezcla [1]. En julio el 1S26 superó con holgura esa guía (+29,6 % en divisa local, margen EBIT del 22,5 %), pero la empresa no la subió: avisó de que el crecimiento del 2S se moderará por el efecto base y por anualizar las subidas de precio, y solo reiteró el margen &gt; 20 % [4]. El cambio de discurso es claro: los centros de datos pasan de «impulso» a explicar «algo más de la mitad» del crecimiento absoluto, con mención expresa a la refrigeración líquida directa al chip [4]. La prensa recogió la preocupación por la caída del FCF (−26,7 %, por capex de 45,4 M y circulante) y por el margen, que bajó 0,3 puntos [15, 25]. La empresa no da la cifra de ventas de centros de datos (Jefferies estima que crecieron un 77 %, cifra no verificada), que es la pregunta que más se repite. No hemos podido leer las transcripciones.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costes operativos de caja (ingresos − EBITDA), por ser una cuenta por naturaleza.</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casi sin deuda: hasta 2023 la caja neta superaba los 95 M CHF. A 30-jun-26 hay deuda neta de 27,7 M porque el dividendo de 123 M se pagó en abril con líneas de crédito a corto (préstamos de 94,5 M) y el circulante subió 78,7 M en el semestre [4]. El circulante comercial pasa del 21 % de las ventas en 2021 al 27 % en 2025: inventario alto desde la crisis de suministros (DIO de 188 días en 2023, 154 en 2025) [1]. Los arrendamientos se triplican en 2025 (de 12,0 a 30,9 M) por nuevas naves en EE. UU.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479</w:t>
      </w:r>
      <w:r>
        <w:t xml:space="preserve">, conversión </w:t>
      </w:r>
      <w:r>
        <w:rPr>
          <w:b/>
          <w:bCs/>
        </w:rPr>
        <w:t xml:space="preserve">68 %</w:t>
      </w:r>
      <w:r>
        <w:t xml:space="preserve"> del beneficio neto; adquisiciones 0, dividendos 523, recompras 17.</w:t>
      </w:r>
    </w:p>
    <w:p>
      <w:pPr>
        <w:spacing w:after="100"/>
      </w:pPr>
      <w:r>
        <w:t xml:space="preserve">El flujo operativo crece de 153 M CHF (2021) a 185 M (2025), pero la conversión es irregular por el circulante: −68 M en 2022 (inventario de seguridad) y −67 M en 2025 (crecimiento) [1, 3]. El capex sube de 47 M (6,1 % de ventas) a 86,8 M (7,7 %) en 2025 y 45,4 M en el 1S26 por la ampliación de capacidad en Hinwil (Suiza), Danbury y Sparks (EE. UU.), que la empresa califica de «temporalmente elevado» [1, 4]. Estimación propia: el capex de mantenimiento ronda la amortización (≈ 3,4 % de ventas) y el resto, unos 4 puntos de ventas, es crecimiento. Las recompras son solo para planes de empleados; casi todo el FCF va a dividendos (pagados 116,8 M en 2025 frente a un FCF sin depósitos de 98,5 M)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AG (EY),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desde 2023 (antes KPMG); socio responsable desde 2023 [1]. Cuentas NIIF sin ajustes «subyacentes»: Belimo publica el EBIT reportado y no capitaliza I+D de forma relevante (intangibles de 23 M frente a una I+D de ≈ 8 % de ventas) [1]. La remuneración en acciones es mínima (2,2 M en 2025). La partida a vigilar es el efecto fiscal único de 17,1 M en 2023, que infla el BPA de ese año [2]. No hay fondo de comercio ni deterioros. El inventario es alto (154 días) pero baja desde 2023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fiscal único en 2023 (tipo efectivo 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17,1 M CHF; normalizado en la historia del PER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al alza en 2025 y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+76 M e inventario +24 M en el 1S26 con ventas +20,5 %; explicable por crecimiento, a vigilar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46,2 % · </w:t>
      </w:r>
      <w:r>
        <w:rPr>
          <w:b/>
          <w:bCs/>
        </w:rPr>
        <w:t xml:space="preserve">WACC</w:t>
      </w:r>
      <w:r>
        <w:t xml:space="preserve">: 7,2 %.</w:t>
      </w:r>
    </w:p>
    <w:p>
      <w:pPr>
        <w:spacing w:after="100"/>
      </w:pPr>
      <w:r>
        <w:t xml:space="preserve">Belimo crea valor con holgura: el ROIC calculado pasa del 33,2 % en 2021 al 37,2 % en 2025, frente a un WACC del 7,21 %, unos 30 puntos por encima; el ROIC que publica la empresa (27,8 % en 2025) va en la misma línea con otra definición [1]. El motor del ROIC es el margen (NOPAT del 16,9 % de las ventas en 2025) más que la rotación (1,3 veces el capital), porque el inventario es alto (154 días) [1]. El ROIC incremental histórico es del 46,2 %: el crecimiento reciente ha sido muy rentable porque el capital invertido sube menos que el beneficio. Frente a los comparables, solo Lennox (34 %) se acerca; Trane y Vertiv rondan el 24 % y Siemens y Schneider el 9-13 % [14]. El riesgo para el ROIC es el capex de ampliación (7,7 % de ventas en 2025): si la demanda de centros de datos se frena, esa capacidad rendirá menos.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103,1 M CHF a 30-jun-26 más líneas de crédito comprometidas de hasta 115 M (dispuestos 79 M en el 1S26, de los que se devolvieron 45 M en el periodo según la nota 6)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por prestaciones a empleados de 6,5 M (plan suizo) [4]. Provisiones de 9,6 M (garantías). Rappels a clientes acumulados de 26,9 M y otras cuentas a pagar de 29,1 M [4]. Una filial incumplía a dic-25 un covenant de su préstamo bancario local, sin efecto relevante [1]. Sin garantías ni pagos aplazados de compras.</w:t>
      </w:r>
    </w:p>
    <w:p>
      <w:pPr>
        <w:pStyle w:val="Heading1"/>
      </w:pPr>
      <w:r>
        <w:t xml:space="preserve">12. Asignación de capital</w:t>
      </w:r>
    </w:p>
    <w:p>
      <w:pPr>
        <w:pStyle w:val="Confianza"/>
        <w:spacing w:after="100"/>
      </w:pPr>
      <w:r>
        <w:t xml:space="preserve">Confianza: Alta</w:t>
      </w:r>
    </w:p>
    <w:p>
      <w:pPr>
        <w:spacing w:after="100"/>
      </w:pPr>
      <w:r>
        <w:t xml:space="preserve">Dividendo con reparto de entre el 50 % y el 70 % del beneficio, según la práctica de los últimos años (10,00 CHF por acción en 2025, 68 % del beneficio, pagados 123,0 M en abril de 2026) [1, 4]. No hay programa de recompra: la empresa solo compra acciones para los planes de empleados (6,6 M en el 1S26) [4]. Prioridad declarada de la caja: crecimiento orgánico (capacidad en Suiza y EE. UU.), I+D y dividendo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BELIMO Automation Italy (antes BEREVA)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residual; sin efecto en cifras [1].</w:t>
            </w:r>
          </w:p>
        </w:tc>
      </w:tr>
    </w:tbl>
    <w:p>
      <w:pPr>
        <w:spacing w:after="160" w:before="0"/>
      </w:pPr>
    </w:p>
    <w:p>
      <w:pPr>
        <w:spacing w:after="100"/>
      </w:pPr>
      <w:r>
        <w:t xml:space="preserve">Asignación de capital conservadora y coherente: entre 2021 y 2025 el FCF financió dividendos de 523 M CHF sin deuda ni dilución, y la empresa no ha hecho compras que destruyan valor (no tiene fondo de comercio) [1]. El ROIC incremental del 46,2 % confirma que la reinversión orgánica rinde. La pega es que el dividendo (68 % del beneficio) supera al FCF en los años de inversión: en 2025 se pagaron 116,8 M con un FCF sin depósitos de 98,5 M, y en el 1S26 el dividendo de 123 M se financió con 79 M de líneas de crédito [1, 4]. Con la ampliación de capacidad en marcha, el balance pasa de caja neta a una deuda neta pequeña (27,7 M a junio), sin riesgo pero con menos margen. No hay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van der Haegen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Belimo desde 2000 (producto en Europa y EE. UU., Italia, jefe de América 2011-2015). Con él las ventas pasaron de unos 580 M CHF a 1.121 M en 2025 y el margen EBIT se mantuvo entre el 16 % y el 21 %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Burkhalter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2014 y presidente; carrera previa en Ergon Informatik (consejero delegado hasta 2018)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Markus Schürch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en ingeniería química; director financiero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Bencic</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Jefa de la división 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a James Furlong (marzo de 2026), que dirigía la región que más crece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Gary Economides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de dirección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divisa local en torno a la media de cinco años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+7,2 % en divisa local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el extremo bajo del corredor guiado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+13,1 % en divisa local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15-20 % en divisa local y margen EBIT &gt; 20 %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+23,3 % y 20,8 %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«mid-teens» en divisa local y margen EBIT &gt; 20 % [1,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+29,6 % y 22,5 %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casa: el consejero delegado lleva 26 años en la empresa y 11 en el cargo. La guía se ha cumplido o superado desde 2024 [1, 5]. Cambio relevante en 2026: nueva jefa de América (la región del 49 % de las ventas y de los centros de datos) y salida de dos consejeros veteranos [1]. Sucesión del consejero delegado no anunciada.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Burkhalter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Dr. Martin Zwyssig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(sale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 Adrian Altenburger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Emme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Hallam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Urban Linsi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Ines Pöschel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(vicepresidenta propuesta)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 Ranstrand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(sale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Estrategia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Linsi (familia fundadora)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(ancla)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límite de inscripción ampliado al 19,51 %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6,6 M en el 1S26 para planes de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1,75 M CHF en 2025 (fijo 0,72 M y variable anual 1,03 M), una cifra baja para su tamaño [1]. El variable es solo anual: un 70 % depende de objetivos financieros (margen EBIT del grupo, ROCE, crecimiento regional de ventas y costes) y un 30 % de un cuadro de mando; tope del 176 % del fijo; parte se paga en acciones bloqueadas tres años [1]. No hay plan a largo plazo ligado a la rentabilidad del accionista. Hay cláusula de recuperación (</w:t>
      </w:r>
      <w:r>
        <w:rPr>
          <w:i/>
        </w:rPr>
        <w:t xml:space="preserve">clawback</w:t>
      </w:r>
      <w:r>
        <w:t xml:space="preserve">) por conducta grave y por reformulación de cuentas [1]. Ratio de la remuneración más alta frente a la mediana de la plantilla: 19,75 [1]. Votos de la junta sobre remuneración: no recogidos.</w:t>
      </w:r>
    </w:p>
    <w:p>
      <w:pPr>
        <w:pStyle w:val="Heading2"/>
      </w:pPr>
      <w:r>
        <w:t xml:space="preserve">Operaciones vinculadas, estructura de control y defensas</w:t>
      </w:r>
    </w:p>
    <w:p>
      <w:pPr>
        <w:spacing w:after="100"/>
      </w:pPr>
      <w:r>
        <w:t xml:space="preserve">No hay accionista de control: la familia Linsi tiene el 19,55 % y un consejero dominical [1]. Los estatutos limitan la inscripción con derecho de voto al 5 % del capital por accionista (excepción para el grupo Linsi, hasta el 19,51 %), lo que actúa como defensa frente a una toma de control y rompe el principio de una acción, un voto [1]. Una sola clase de acciones. Operaciones vinculadas menores: compras a Google y a BKW (empleadores de dos consejeras/consejeros) en condiciones de mercado [1].</w:t>
      </w:r>
    </w:p>
    <w:p>
      <w:pPr>
        <w:pStyle w:val="Heading2"/>
      </w:pPr>
      <w:r>
        <w:t xml:space="preserve">Señales de alerta</w:t>
      </w:r>
    </w:p>
    <w:p>
      <w:pPr>
        <w:pStyle w:val="ListParagraph"/>
        <w:numPr>
          <w:ilvl w:val="0"/>
          <w:numId w:val="2"/>
        </w:numPr>
        <w:spacing w:after="60"/>
      </w:pPr>
      <w:r>
        <w:t xml:space="preserve">Límite estatutario de inscripción con voto del 5 % (defensa anti-OPA) [1].</w:t>
      </w:r>
    </w:p>
    <w:p>
      <w:pPr>
        <w:pStyle w:val="ListParagraph"/>
        <w:numPr>
          <w:ilvl w:val="0"/>
          <w:numId w:val="2"/>
        </w:numPr>
        <w:spacing w:after="60"/>
      </w:pPr>
      <w:r>
        <w:t xml:space="preserve">Salida en 2026 del presidente de la comisión de auditoría (15 años) y de otro consejero; relevo previsto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la empresa espera un crecimiento de ventas en divisa local «mid-teens», por encima de su historia, y un margen EBIT superior al 20 % (informe anual de febrero de 2026); en julio, con el 1S26 (+29,6 %), reiteró el margen &gt; 20 % y avisó de que el crecimiento del 2S se moderará por la base y por anualizar las subidas de precio, sin cifra nueva [23]. No publica objetivos a medio plazo numéricos.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3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790,00 – 1.150,00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10 analistas) [12]. La prensa suiza de julio de 2026 daba un objetivo medio de 951,30 CHF con seis compras, tres mantener y dos ventas [15]; hoy MarketScreener da 1.010,40 CHF: los objetivos suben tras el 1S26. El reparto de recomendaciones de la tabla es el de julio [15]. Van Lanschot Kempen rebajó a Vender (668 CHF) por valoración y Jefferies a Mantener; Research Partners subió su objetivo a 931 [15, 16].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Belimo ha multiplicado su precio por 2,0 en tres años (+25,7 % anual frente a +9,0 % del SMI) al pasar de valor de climatización a «beneficiario de la IA» por los centros de datos [11, 16]. En 2026 el recorrido es plano (+2,4 % en el año): máximo de 969,5 CHF el 17-jun y caídas del 7,4 % el 8-jul (rebaja de Van Lanschot Kempen por valoración) y del 9,2 % el 14-sep [11, 15]. La volatilidad del 39,8 % y la caída máxima del 44 % en 2022 muestran que el múltiplo se mueve con el sentimiento sobre la IA [11].</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Belimo cotiza a 33,1 veces el EBITDA de los últimos 12 meses y a 47,9 veces el beneficio, en la parte baja de su propio rango de cinco años (media de 33,3 y 50,2 veces; percentil 40). Que la acción no esté cara frente a su historia no la hace barata: desde 2020 el mercado le paga múltiplos de 40-60 veces el beneficio porque crece más que el sector y casi no necesita capital, y en 2021 llegó a casi 60 veces [16]. Lo estructural que ha cambiado es positivo (centros de datos, ROIC del 37 %) y negativo (tipos más altos que en 2020-21). Frente a la media larga de algo más de 23 veces que cita la prensa, el múltiplo actual dobla la referencia [16].</w:t>
      </w:r>
    </w:p>
    <w:p>
      <w:pPr>
        <w:pStyle w:val="Heading1"/>
      </w:pPr>
      <w:r>
        <w:t xml:space="preserve">18. Comparables cotizados</w:t>
      </w:r>
    </w:p>
    <w:p>
      <w:pPr>
        <w:pStyle w:val="Confianza"/>
        <w:spacing w:after="100"/>
      </w:pPr>
      <w:r>
        <w:t xml:space="preserve">Confianza: Media</w:t>
      </w:r>
    </w:p>
    <w:p>
      <w:pPr>
        <w:spacing w:after="100"/>
      </w:pPr>
      <w:r>
        <w:t xml:space="preserve">Nueve cotizadas de climatización y control de edificios y de refrigeración de centros de datos: Trane, Johnson Controls, Carrier, Lennox y Daikin (equipos de climatización, clientes y competidores de Belimo), Siemens y Schneider (automatización de edificios), Vertiv (refrigeración de centros de datos) y Halma y Spirax (especialistas de nicho de alta calidad). Todas con datos de Yahoo del 14-oct-2026 pasados a CHF [14]. Ninguna es un especialista puro de dispositivos de campo: Belimo no tiene comparable directo cotizado.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Belimo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Daikin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Siemens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Spirax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 / 18,1x / 23,6x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 / 21,4x / 24,0x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3,6x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Belimo es la más cara del grupo: 33,1 veces el EBITDA de los últimos 12 meses y 35,6 veces el beneficio de los próximos 12, frente a una mediana de los comparables de 21,4 veces el PER [14]. La prima tiene razón de ser en parte: crece más (16,4 % de ventas en los próximos 12 meses frente a un 4-11 % de Trane, JCI o Carrier; solo Vertiv, también a 33,7 veces el EBITDA, crece como ella), tiene el ROIC más alto (37,2 %) y no tiene deuda. Lo que no justifica es doblar el múltiplo: Vertiv, el gran beneficiario de los centros de datos, cotiza a 24 veces el beneficio esperado [14]. Por PER de los próximos 12 meses el valor implícito es de unos 481 CHF por acción; por EV/EBITDA, 437. Damos un 10 % a los comparables porque ninguno es especialista en dispositivos de campo.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múltiplo sobre el EBITDA estimado de 2026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 calderas)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13x con sinergias según Carrier, ≈ 17x sin ellas [18,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Motivair (refrigeración líquida,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850 M USD por el 75 %; «múltiplo de un dígito medio de las ventas de 2025» (5x: punto medio, estimación) [20].</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pagan entre 17 y 22,5 veces el EBITDA: Eaton pagó 22,5 veces el EBITDA de 2026 por Boyd Thermal (refrigeración líquida) y Carrier unas 17 veces sin sinergias por Viessmann [17, 18, 19]. Belimo cotiza ya a 33 veces, por encima de lo que pagan los compradores estratégicos por activos de refrigeración de centros de datos, así que el valor de control no da soporte al precio. Además, una opa es improbable: la familia Linsi tiene el 19,55 % y los estatutos limitan el voto al 5 % por accionista [1].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un 2026 casi cerrado (+19 % en francos, fijo): el 1S26 creció un 20,5 % en francos y la empresa avisa de un 2S más lento por base y precios [4]; el consenso da +20 % (1.345 M) [12]. Después bajamos de un 13 % en 2027 a un 3 % en 2035: media del 7,4 % en los años no fijos, frente a un 10,0 % anual en francos de 2021-2025 y a un consenso de +15 % en 2027 y +12 % en 2028 [12]. El crecimiento de la refrigeración líquida (20-22 % anual hasta 2030 [8, 9]) sostiene los primeros años; el negocio tradicional crece con la renovación (5-7 %). Somos más prudentes que el consenso por la divisa y porque los centros de datos son cíclicos.</w:t>
      </w:r>
    </w:p>
    <w:p>
      <w:pPr>
        <w:keepNext/>
        <w:spacing w:after="100"/>
      </w:pPr>
      <w:r>
        <w:rPr>
          <w:b/>
          <w:bCs/>
        </w:rPr>
        <w:t xml:space="preserve">Márgenes.</w:t>
      </w:r>
    </w:p>
    <w:p>
      <w:pPr>
        <w:spacing w:after="100"/>
      </w:pPr>
      <w:r>
        <w:t xml:space="preserve">Margen EBITDA del 24,8 % en 2026 (25,8 % en el 1S26, 22,2 % en el 2S25) y del 25,5 % desde 2027, frente al 24,2 % de 2025, al 21,9-23,3 % de 2021-2024 y al 26,0 % que da el consenso para 2027 [1, 12]. La mejora viene de la mezcla (válvulas) y del apalancamiento; no la llevamos más arriba porque el franco resta y la I+D crece.</w:t>
      </w:r>
    </w:p>
    <w:p>
      <w:pPr>
        <w:keepNext/>
        <w:spacing w:after="100"/>
      </w:pPr>
      <w:r>
        <w:rPr>
          <w:b/>
          <w:bCs/>
        </w:rPr>
        <w:t xml:space="preserve">Inversión y circulante.</w:t>
      </w:r>
    </w:p>
    <w:p>
      <w:pPr>
        <w:spacing w:after="100"/>
      </w:pPr>
      <w:r>
        <w:t xml:space="preserve">Capex del 7,0 % de las ventas en 2026 (6,7 % en el 1S26) que baja al 4,9 % en 2035, frente a una amortización del 3,4 %: incluye la ampliación de capacidad y las altas de derechos de uso [1, 4]. Lo subimos medio punto sobre la historia para que la reinversión financie el crecimiento proyectado al ROIC actual (prueba de sostenibilidad). Circulante del 27 % de las ventas, el de 2025 [1]. Tipo impositivo del 18,5 % (18,6 % en 2025, 16,7 % en 2024) [1].</w:t>
      </w:r>
    </w:p>
    <w:p>
      <w:pPr>
        <w:keepNext/>
        <w:spacing w:after="100"/>
      </w:pPr>
      <w:r>
        <w:rPr>
          <w:b/>
          <w:bCs/>
        </w:rPr>
        <w:t xml:space="preserve">Coste del capital.</w:t>
      </w:r>
    </w:p>
    <w:p>
      <w:pPr>
        <w:spacing w:after="100"/>
      </w:pPr>
      <w:r>
        <w:t xml:space="preserve">Todo en francos. Tasa libre del 0,54 % (bono de la Confederación a 10 años del 8-oct-2026) [21]; beta de 1,05 (ajustada, mensual de 5 años frente al SMI; la semanal de 5 años da 1,11 y la de 2 años 0,83) [11]; prima de mercado del 5,5 % y 1 punto adicional porque el bono suizo es anormalmente bajo y Belimo vende el 95 % fuera de Suiza (mismo criterio que en Roche, Schindler y Kuehne+Nagel de este repositorio). Coste de la deuda del 2,5 % y un 2 % de deuda. WACC del 7,21 %. Con la prima implícita del mercado (4,2 %) [22] el WACC baja al 5,87 % y el DCF sube a 554,80 CHF.</w:t>
      </w:r>
    </w:p>
    <w:p>
      <w:pPr>
        <w:keepNext/>
        <w:spacing w:after="100"/>
      </w:pPr>
      <w:r>
        <w:rPr>
          <w:b/>
          <w:bCs/>
        </w:rPr>
        <w:t xml:space="preserve">Valor terminal.</w:t>
      </w:r>
    </w:p>
    <w:p>
      <w:pPr>
        <w:spacing w:after="100"/>
      </w:pPr>
      <w:r>
        <w:t xml:space="preserve">Crecimiento terminal del 1 % en francos, coherente con un bono al 0,54 % y una inflación suiza del 0,5-1 %: el franco se aprecia a largo plazo y un terminal del 2 % sería incoherente con esa tasa libre (regla del prompt). Sin etapa de transición: la proyección explícita ya dura diez años y el crecimiento de 2035 (3 %) está cerca del terminal. El valor terminal es el 64 % del valor. El múltiplo de salida implícito es bajo frente a la historia de Belimo: esa es la diferencia con 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528,42</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 M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(ROIC 37,2 %)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 (histórico: 46,2 %)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(hoy: 20,0 %)</w:t>
            </w:r>
          </w:p>
        </w:tc>
      </w:tr>
    </w:tbl>
    <w:p>
      <w:pPr>
        <w:spacing w:after="160" w:before="0"/>
      </w:pPr>
    </w:p>
    <w:p>
      <w:pPr>
        <w:spacing w:after="100"/>
      </w:pPr>
      <w:r>
        <w:t xml:space="preserve">La proyección reinvierte el 23 % del NOPAT. Con el ROIC del último ejercicio (37,2 %), eso financia un crecimiento del 8,6 % anual, frente al 8,6 % de ingresos proyectado. Supone que el capital nuevo rinde un 32,0 %, frente a un ROIC incremental histórico del 46,2 %; la cuota de mercado pasaría al 28,3 % desde el 20,0 %.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20,5 % (centros de datos algo más de la mitad del crecimiento; renovación) y precio de un 3 % (subidas por aranceles del 2S25 que se anualizan), menos 4,5 puntos de divisa (USD más débil en el 1S)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11 %: refrigeración líquida al 20 % y negocio tradicional al 6-7 %; precio del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9 % y precio del 2 %; el peso de los centros de datos sube.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7,5 %: los centros de datos se acercan a la madurez.</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6 % y precio del 2 %, cerca del mercado accesible más centros de datos.</w:t>
            </w:r>
          </w:p>
        </w:tc>
      </w:tr>
    </w:tbl>
    <w:p>
      <w:pPr>
        <w:spacing w:after="160" w:before="0"/>
      </w:pPr>
    </w:p>
    <w:p>
      <w:pPr>
        <w:spacing w:after="100"/>
      </w:pPr>
      <w:r>
        <w:t xml:space="preserve">Sí. La calidad de Belimo sostiene el 8,6 % anual proyectado: con un ROIC del 37,2 % basta reinvertir el 23 % del NOPAT para financiarlo (crecimiento financiable del 8,6 %, tras subir el capex medio punto sobre la historia), el capital nuevo rinde un 32,0 % frente a un ROIC incremental histórico del 46,2 % y la cuota del mercado accesible pasaría del 20 % al 28,3 % en 2030, menos de 1,5 veces la actual. Tiene poder de precios demostrado (aranceles repercutidos en 2025) y ha crecido más que su mercado durante el ciclo, incluido 2023 [1, 2]. Lo que no sostiene es el 19,1 % anual que descuenta el precio.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41,7 %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 (WACC: 7,2 %)</w:t>
            </w:r>
          </w:p>
        </w:tc>
      </w:tr>
    </w:tbl>
    <w:p>
      <w:pPr>
        <w:spacing w:after="160" w:before="0"/>
      </w:pPr>
    </w:p>
    <w:p>
      <w:pPr>
        <w:spacing w:after="100"/>
      </w:pPr>
      <w:r>
        <w:t xml:space="preserve">El DCF da 426,07 CHF por acción, un 46,7 % por debajo del precio de 800 CHF, con un 64 % del valor en el terminal. El DCF inverso es la clave: para justificar 800 CHF con nuestro margen, las ventas tendrían que crecer un 19,1 % anual de 2027 a 2035 (nuestro caso base: 7,4 %), o el margen EBITDA tendría que ser del 41,6 % con nuestras ventas (25,5 % en el base); la rentabilidad anual implícita en el precio es del 4,5 %, por debajo del WACC del 7,21 % y del 5,9 % que pide hoy el mercado. Es muy exigente: Belimo nunca ha crecido un 19 % durante nueve años seguidos (10,0 % anual en francos en 2021-2025) y su mercado accesible crece al 5 %. Ni con la prima implícita del mercado (DCF de 554,80) se llega al precio. La lectura no es que el negocio sea malo, sino que el precio ya descuenta que los centros de datos crecerán una década al ritmo de 2025-2026.</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frenan el capex de IA en 2027 y los integradores homologan una segunda válvula: el crecimiento cae 4 puntos al año y el margen 2 puntos (como en 2023, cuando las ventas del 2S cayeron un 4,7 %)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siguen creciendo al 20 % hasta 2028 y luego se normalizan; el negocio tradicional crece con la renovación; margen EBITDA del 25,5 %.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530,38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se generaliza más rápido (3 puntos más de crecimiento al año) y la mezcla sube el margen un punto: Belimo supera los 2.200 M CHF de ventas en 2030.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CHF) · precio actual 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416,38 CHF (-48,0 %).</w:t>
      </w:r>
    </w:p>
    <w:p>
      <w:pPr>
        <w:spacing w:after="100"/>
      </w:pPr>
      <w:r>
        <w:t xml:space="preserve">La asimetría es negativa en valor intrínseco: incluso el alcista (530,38 CHF) queda un 33,7 % bajo el precio, y el bajista (282,98) un 64,6 %. Con la prima del mercado el alcista llega a 735,59, todavía por debajo de 800. El precio está por encima de todos nuestros escenarios del DCF: compensa solo si se cree que el crecimiento alto dura más de una década o que el múltiplo de 35-40 veces el beneficio se mantiene para siempre.</w:t>
      </w:r>
    </w:p>
    <w:p>
      <w:pPr>
        <w:pStyle w:val="Heading1"/>
      </w:pPr>
      <w:r>
        <w:t xml:space="preserve">22. Suma de partes</w:t>
      </w:r>
    </w:p>
    <w:p>
      <w:pPr>
        <w:pStyle w:val="Confianza"/>
        <w:spacing w:after="100"/>
      </w:pPr>
      <w:r>
        <w:t xml:space="preserve">Confianza: Media</w:t>
      </w:r>
    </w:p>
    <w:p>
      <w:pPr>
        <w:spacing w:after="100"/>
      </w:pPr>
      <w:r>
        <w:t xml:space="preserve">No aplica: las tres líneas (actuadores, válvulas, sensores) comparten fábricas, canal y clientes y Belimo no publica su resultado; los centros de datos son un mercado final, no un segmento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CHF) · precio actual 8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804,00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427,67 CHF (-46,5 % sobre 800,00).</w:t>
      </w:r>
    </w:p>
    <w:p>
      <w:pPr>
        <w:spacing w:after="100"/>
      </w:pPr>
      <w:r>
        <w:t xml:space="preserve">Pesamos el DCF un 50 %, los escenarios un 40 % y los comparables un 10 %; las transacciones, cero (prima de control y opa improbable). El DCF es el método más fiable para un negocio sin deuda, con flujos previsibles y una década de crecimiento por delante; los comparables pesan poco porque ninguno es un especialista de dispositivos de campo y casi todos crecen menos. La dispersión es pequeña: todos los métodos dan entre 345 y 570 CHF por acción y ninguno llega a 800. El valor intrínseco ponderado es de 427,67 CHF (−46,5 %); con la prima implícita del mercado, 541,70. Lo que separa el precio de nuestro valor es el múltiplo terminal y la duración del crecimiento alto, no el beneficio de los próximos dos años, en el que solo nos separamos del consenso un 5-9 %.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(36.9x) a mitad de camino hacia la mediana de 5 años (40.8x)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1.103,90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r>
    </w:tbl>
    <w:p>
      <w:pPr>
        <w:spacing w:after="160" w:before="0"/>
      </w:pPr>
    </w:p>
    <w:p>
      <w:pPr>
        <w:spacing w:after="100"/>
      </w:pPr>
      <w:r>
        <w:rPr>
          <w:b/>
          <w:bCs/>
        </w:rPr>
        <w:t xml:space="preserve">Objetivo a 12 meses (ponderado):</w:t>
      </w:r>
      <w:r>
        <w:t xml:space="preserve"> 901,00 CHF · rentabilidad +13,9 % (base +18,1 %) · señal Mantener.</w:t>
      </w:r>
    </w:p>
    <w:p>
      <w:pPr>
        <w:spacing w:after="100"/>
      </w:pPr>
      <w:r>
        <w:t xml:space="preserve">Para comparar, con la regla v2 (historia al cierre, mismo precio): 31,4x / 36,9x / 48,0x, 16,7 %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está por debajo del consenso de MarketScreener (10 analistas): 18,51 frente a 19,58 CHF en 2026 (−5,5 %), 21,67 frente a 23,25 en 2027 (−6,8 %) y 24,10 frente a 26,58 en 2028 (−9,3 %) [12]. La diferencia es de margen y de crecimiento: el consenso da un margen EBIT del 22,9 % en 2027 y un 15 % de crecimiento; nosotros, un 22,1 % y un 13 %, por la divisa y la prudencia en centros de datos. Nuestro base (935,08) queda un 7,5 % por debajo del objetivo medio de 1.010,40 CHF, dentro del rango de los analistas (790-1.150) [13]. No lo acercamos: la diferencia está explicada.</w:t>
      </w:r>
    </w:p>
    <w:p>
      <w:pPr>
        <w:keepNext/>
        <w:spacing w:after="100"/>
      </w:pPr>
      <w:r>
        <w:rPr>
          <w:b/>
          <w:bCs/>
        </w:rPr>
        <w:t xml:space="preserve">Del valor intrínseco al objetivo a 12 meses.</w:t>
      </w:r>
    </w:p>
    <w:p>
      <w:pPr>
        <w:spacing w:after="100"/>
      </w:pPr>
      <w:r>
        <w:t xml:space="preserve">El objetivo a 12 meses (901,00 CHF) dobla el valor intrínseco (427,67): la regla de múltiplos parte del PER al que cotiza hoy Belimo (36,9 veces nuestro BPA de 2027) y de su historia adelantada (40,8 veces), que es la de un valor que el mercado lleva años pagando muy caro. Para cerrar la distancia haría falta que el múltiplo bajase hacia el de los comparables (21,4 veces), algo que puede pasar con un frenazo de la IA pero que no tiene fecha. Por eso la señal a 12 meses (Mantener) y el valor real (muy por debajo del precio) apuntan en direcciones distintas: la tesis de valor es a varios años y en contra.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del 2S26: si el crecimiento en divisa local se mantiene por encima del 20 %, el mercado subirá estimaciones; por debajo del 15 %, castigo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crecimiento y margen de 2027; posible cifra de centros de datos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Planes de inversión de los hiperescaladores para 2027 (resultados de oct-26 y feb-27)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recorte del capex de IA golpearía el múltiplo de todo el sector de refrigeración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 (2S)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del centro de aplicaciones de Danbury y de la nueva Energy Valve de acero inoxidable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la posición en refrigeración líquida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2027-03-22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previsto en torno a 12-13 CHF (consenso 12,57)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ciclo de capex de ampliación (Hinwil, Danbury, Sparks)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FCF debería recuperarse hacia el 12-14 %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si el mercado deja de pagar la tesis de la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a −45 % (de 36 veces el beneficio de 2027 a 22-25 veces, la mediana de los comparables)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real del beneficio del 15-20 % anual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Vertiv y de los proveedores de refrigeración; capex de los hiperescaladores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inversión en centros de datos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(escenario bajista del motor: −64,6 % sobre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negocio tradicional y la renovación crecen sin centros de datos (actuadores +7,6 % en el 1S26)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en divisa local de América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en la refrigeración líquida: integradores (Vertiv, Schneider-Motivair, Eaton-Boyd) que usen válvulas propias o de otro proveedor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con fabricantes de chips y plazo de entrega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la dirección sobre cuota en centros de datos; adquisiciones de fabricantes de válvulas por los integradores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del beneficio por cada 10 % de apreciación frente al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creciente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0,78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no residencial débil en Europa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(RetroFIT+) y EPBD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EMEA por debajo del 5 % en divisa local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la ampliación de capacidad (capex del 7-8 % de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casi sin deuda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por debajo del 8 % de las ventas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repercutido en 2025 y fabricación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2S26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Que la IA se coma el negocio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vende hardware físico (válvulas, actuadores) que la IA necesita para refrigerarse; el software de control de edificios con IA (de Siemens, JCI, Honeywell o empresas nuevas) sigue necesitando sus dispositivos de campo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Que el control con IA reduzca el número de válvulas o actuadores por edificio, sin indicios hoy</w:t>
            </w:r>
          </w:p>
        </w:tc>
      </w:tr>
    </w:tbl>
    <w:p>
      <w:pPr>
        <w:spacing w:after="160" w:before="0"/>
      </w:pPr>
    </w:p>
    <w:p>
      <w:pPr>
        <w:pStyle w:val="Heading2"/>
      </w:pPr>
      <w:r>
        <w:t xml:space="preserve">Pre-mortem</w:t>
      </w:r>
    </w:p>
    <w:p>
      <w:pPr>
        <w:spacing w:after="100"/>
      </w:pPr>
      <w:r>
        <w:t xml:space="preserve">Octubre de 2029: la acción ha perdido un 40 % y cotiza a 480 CHF. La historia más probable no es un desastre del negocio, sino de múltiplo. En 2027 los hiperescaladores frenaron el capex de IA tras dos años de inversión récord sin el retorno esperado; los pedidos de refrigeración líquida se aplazaron y Belimo pasó de crecer un 25 % a un 8 % en divisa local en el 2S27. A la vez, Vertiv y Schneider-Motivair empezaron a homologar válvulas de un segundo proveedor asiático para bajar costes en sus unidades de distribución. El beneficio por acción siguió subiendo, de 18,5 CHF en 2026 a 22 CHF en 2028, pero el mercado dejó de pagar 36 veces y lo valoró como a Trane o Siemens, a 22 veces. El capex de ampliación, ya comprometido, bajó el ROIC. Lo habrían anticipado: el crecimiento de América por debajo del 15 %, el silencio de la empresa sobre la cifra de centros de datos y la caída del PER de Vertiv.</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SBTi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climáticos validados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2025-08</w:t>
            </w:r>
          </w:p>
        </w:tc>
      </w:tr>
    </w:tbl>
    <w:p>
      <w:pPr>
        <w:spacing w:after="160" w:before="0"/>
      </w:pPr>
    </w:p>
    <w:p>
      <w:pPr>
        <w:pStyle w:val="Heading2"/>
      </w:pPr>
      <w:r>
        <w:t xml:space="preserve">Asuntos materiales</w:t>
      </w:r>
    </w:p>
    <w:p>
      <w:pPr>
        <w:spacing w:after="100"/>
      </w:pPr>
      <w:r>
        <w:t xml:space="preserve">Lo material es la eficiencia energética de los edificios que controla: los dispositivos de Belimo reducen el consumo de climatización y la empresa publica su contribución [1]. Sus emisiones propias son pequeñas (1.956 t CO2e de alcances 1 y 2 en 2025, 1,75 kg por cada 1.000 CHF de ventas) [1]. Riesgo de cadena de suministro (trabajo infantil y metales) vigilado desde 2021 [1].</w:t>
      </w:r>
    </w:p>
    <w:p>
      <w:pPr>
        <w:pStyle w:val="Heading2"/>
      </w:pPr>
      <w:r>
        <w:t xml:space="preserve">Controversias</w:t>
      </w:r>
    </w:p>
    <w:p>
      <w:pPr>
        <w:spacing w:after="100"/>
      </w:pPr>
      <w:r>
        <w:t xml:space="preserve">No hemos encontrado sanciones, litigios ni incidentes relevantes en los últimos tres años en el informe anual ni en la prensa revisada.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2025 y del 1S26 vino de centros de datos, y cuánta de refrigeración líquida?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paga el múltiplo y la empresa no lo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refrigeración líquida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fabricantes de unidades de distribución de refrigerante homologan una segunda válvula además de la de Belimo?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y la cuota en centros de datos aguantan.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soporta la capacidad tras las ampliaciones de Hinwil, Danbury y Sparks, y cuándo baja el capex al 5 % de las ventas?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FCF de los próximos dos años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coste está en CHF y cuánto resta al margen una apreciación del 10 % frente al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franco es el riesgo de margen más probable.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«por encima de la historia» es sostenible en 2027 con la base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19 % anual durante nueve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mantendrá el reparto del 60-70 % aunque haya que financiarlo con deuda en los años de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2025 y 2026 el dividendo superó al FCF.</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Debate entre «beneficiario de la IA» y «la más cara del sector de centros de datos» tras la rebaja de Van Lanschot Kempen [15].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(¿oportunidad tras la corrección?)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plantea si la caída del 17 % desde máximos es una ocasión; el argumento en contra es el PER de más de 40 veces frente a una media de 23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(flujo BLHWF)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centrados en el crecimiento del 1S26 y en Belimo como ganadora de la refrigeración de IA junto a Vertiv y Eaton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Börse Express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Destaca «más beneficio, menos caja»: el FCF del semestre cae un 27 % por el capex y el circulante [25].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 crecimiento de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el PER de 2027 es de 34 veces y la historia adelantada de 41 veces, pero la acción vale menos que lo que pide el precio en nuestro DCF.</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crecimiento en el 2S26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avisó (efecto base y anualización de precios) y no subió la guía tras un 1S de +29,6 %.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y capex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Correcto pero temporal: el capex del 6,7 % de ventas en el 1S26 es de ampliación.</w:t>
            </w:r>
          </w:p>
        </w:tc>
      </w:tr>
    </w:tbl>
    <w:p>
      <w:pPr>
        <w:spacing w:after="160" w:before="0"/>
      </w:pPr>
    </w:p>
    <w:p>
      <w:pPr>
        <w:spacing w:after="100"/>
      </w:pPr>
      <w:r>
        <w:t xml:space="preserve">Poco debate de particulares (empresa suiza mediana; Reddit y Stocktwits no tienen hilos útiles). El tono es dividido y ha empeorado desde junio: tras el máximo de 969,5 CHF la conversación pasó de la tesis de la IA a la valoración. No contradice a los analistas (mayoría de compra) pero coincide con nuestra lectura: el negocio es excelente y el precio exigente. No anticipa ningún riesgo que el informe no recoja.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25 (10 primarias); citas distintas en el texto: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explica la causa (créditos fiscales, regularizaciones, mezcla de países) y no lo proyectes en el DCF. Explicación: El 3,9 % de 2023 incluye un efecto fiscal único favorable de 17,1 M CHF [2]; no se proyecta (DCF al 18,5 %) y la historia del PER usa el BPA de 2023 normalizado (9,74 CHF).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32,0 % frente a un ROIC de 37,2 % y un incremental histórico de 46,2 %: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28,3 % en 2030e frente al 20,0 %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26,9 % real: genera una variación de circulante de 58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competidores (Honeywell, Danfoss: cifras de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Belimo (no nombra competidores); 2) Yahoo Finance (solo grupo); 3) Danfoss no cotiza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Belimo (solo su cuota &lt; 20 %); 2) informes de consultoras (no publican cuota por dispositivo);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y votos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(operaciones de directivos anónimas: solo cargo e importe); 2) informe anual 2025 (participaciones del comité ejecutivo, sin operaciones); 3) actas de la junta 2026 no localizadas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 (Bosch-JCI residencial, Vertiv-CoolTera, otras)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las empresas; 2) búsqueda web de múltiplos publicados; 3) prensa sectorial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SIX (no hay registro público de posiciones cortas en Suiza); 2) prensa; 3) proveedores gratuitos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y transcripciones de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Belimo (descargas bloqueadas por antibot); 2) Seeking Alpha (transcripciones de pago); 3) prensa suiza (cash.ch, AWP) sin el consenso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(cuentas consolidadas NIIF 2025 y 2024, notas 1.1 segmentos, 3.3 pasivos financieros, 3.5 dividendo; resumen de cinco años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https://report.belimo.com/HY26/app/uploads/Annual-Report-2025.pdf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(cuentas 2023 y 2022; efecto fiscal único de 17,1 M en 2023; resumen de cinco años 2019-2023)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https://report.belimo.com/HY24/app/uploads/Annual-Report-2023.pdf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2022 (cuentas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 (copia en UN Global Compact)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https://cop.unglobalcompact.org/2023/files/6457_Annual-Report-2022_en.pdf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Semiannual Report 2026 (cuentas del 1S26, balance a 30-jun-26, préstamos 94,5 M y arrendamientos 34,7 M, perspectivas)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https://report.belimo.com/HY26/app/uploads/Semiannual-Report-2026.pdf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Semiannual Report 2025 (cuentas del 1S25 y resumen semestral de cinco años 1S21-1S25)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https://report.belimo.com/HY26/app/uploads/Semiannual-Report-2025.pdf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online: «Belimo Accelerated Sales Growth in The First Half of 2026» (ventas por región y línea de negocio)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https://report.belimo.com/HY26/en?p=430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Company Presentation 2025: mercado accesible de 4.900 M CHF en 2023 (25 % actuadores, 45 % válvulas, 30 % sensores; cuota de Belimo &lt; 20 %, «own analysis»)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https://www.belimo.com/mam/corporate-communications/company-presentation/belimo-company-presentation_2025_en-gb.pdf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Liquid Cooling Market to Surge to USD 17.77 Billion by 2030 with a 21.60% CAGR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https://secure.businesswire.com/news/home/20250707847166/en/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Liquid Cooling Business Research Report 2025: Market to Reach $9.5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https://www.globenewswire.com/news-release/2025/11/25/3194498/28124/en/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ventas y EBIT de los últimos 12 meses de Trane, Johnson Controls, Carrier, Siemens, Schneider, Daikin, Vertiv, Halma y Spirax (pasados a CHF)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BEAN.SW, ^SSMI y CHSPI.SW (precio, rango, volumen,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https://finance.yahoo.com/quote/BEAN.SW/history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 previsiones anuales 2026-2028 (ventas, EBITDA, EBIT, BPA, dividendo, deuda neta)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https://www.marketscreener.com/quote/stock/BELIMO-HOLDING-AG-73773/finances/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 consenso (10 analistas, «Outperform», objetivo medio 1.010,40 CHF, máximo 1.150, mínimo 790)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https://www.marketscreener.com/quote/stock/BELIMO-HOLDING-AG-73773/consensus/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capitalización, ventas, EBITDA, EBIT, deuda neta, capital invertido, FCF y PER adelantado de Yahoo (fundamentals-timeseries y quoteSummary), pasados a CHF con el cambio de Yahoo del 14-oct-2026 (0,8362 CHF/USD)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Nach der gestrigen Kursschlappe … (Van Lanschot Kempen rebaja a Vender, objetivo 668 CHF; 33x EV/EBITDA esperado; consenso de 11 analistas con objetivo medio de 951,30)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https://www.cash.ch/news/top-news/nach-der-gestrigen-kursschlappe-findet-die-aktie-dieses-schweizer-ki-profiteurs-zu-alter-starke-zuruck-951700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Bieten die Aktien von Belimo nach der Korrektur eine Kaufgelegenheit? (PER adelantado &gt; 40x, récord de casi 60x en 2021, media larga de algo más de 23x; Research Partners objetivo 931)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https://www.cash.ch/news/top-news/bieten-die-aktien-von-belimo-nach-der-korrektur-eine-kaufgelegenheit-952118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22,5 veces el EBITDA ajustado estimado de 2026; ventas de 1.700 M USD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announces portfolio transformation … to acquire Viessmann Climate Solutions (12.000 M EUR, ≈ 13 veces el EBITDA 2023 con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Carrier (TipRanks,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https://www.tipranks.com/news/press-releases/carrier-announces-portfolio-transformation-to-create-global-leader-in-intelligent-climate-and-energy-solutions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Carrier Corporation making a huge mistake? (EBITDA 2023 de Viessmann de 770 M USD: ≈ 17 veces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https://www.fool.com/investing/2023/05/01/is-carrier-corporation-making-a-huge-mistake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to acquire controlling interest in Motivair (75 % por 850 M USD; múltiplo de un dígito medio de las ventas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(vía rfp.wiki /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https://www.rfp.wiki/cloud-computing/data-center-outsourcing-services/data-center-cooling/eaton/motivair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 la Confederación a 10 años (0,54 % el 8-oct-2026), tomado del informe de Roche del 14-oct-2026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(SNB)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informes/roche-2026-10-14/datos.json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calendario financiero (ventas 2026 el 18-ene-2027; informe anual el 1-mar-2027)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BELIMO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https://report.belimo.com/HY26/en/financial-agenda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flujo de noticias y análisis de BLHWF (resultados 1S26, «Vertiv, Eaton seen as top AI data center cooling winners»)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https://seekingalpha.com/api/sa/combined/BLHWF.xml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 «Belimo Aktie: Rechenzentren als Hoffnungsträger?» y «Mehr Gewinn, weniger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https://www.boerse-express.com/news/articles/belimo-holding-aktie-mehr-gewinn-weniger-cash-930161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87,8 %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acción nominativa BEAN en la SIX (única clase). Cuentas NIIF en CHF de los informes anuales 2022, 2023 y 2025 y de los semestrales 2025 y 2026 (Suiza no tiene XBRL público). El balance de 2021 no separa la caja de los depósitos a plazo: la caja de 2021 incluye 60 M de depósitos y la deuda bancaria y los arrendamientos de 2021 se reparten con la nota de vencimientos (estimación). Comparables de Yahoo Finance con divisas pasadas a CHF con su cambio del 14-oct-2026; sin EV/EBITDA ni crecimiento de los próximos 12 meses de la misma fuente. Consenso de una sola fuente gratuita con estimaciones (MarketScreener). No se han leído las transcripciones de las conferencias; el mensaje de la dirección sale de los informes y de la prensa. El mercado accesible de 4.900 M CHF es una estimación de la propia empresa (presentación de 2025, leída a través del buscador porque belimo.com bloquea las descargas).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BELIMO Holding AG (BEAN)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(608,50 – 969,50)</c:v>
                </c:pt>
                <c:pt idx="1">
                  <c:v>Precio objetivo de los analistas (790,00 – 1.150,00)</c:v>
                </c:pt>
                <c:pt idx="2">
                  <c:v>Comparables: PER NTM (458,31 – 539,19)</c:v>
                </c:pt>
                <c:pt idx="3">
                  <c:v>DCF (WACC y g ± 0,5) (373,24 – 498,83)</c:v>
                </c:pt>
                <c:pt idx="4">
                  <c:v>Escenarios (bajista – alcista) (282,98 – 530,38)</c:v>
                </c:pt>
                <c:pt idx="5">
                  <c:v>DCF con la prima implícita del mercado (4,2 %)</c:v>
                </c:pt>
                <c:pt idx="6">
                  <c:v>Precio actual (800,00)</c:v>
                </c:pt>
              </c:strCache>
            </c:strRef>
          </c:cat>
          <c:val>
            <c:numRef>
              <c:f>Hoja1!$B$2:$B$8</c:f>
              <c:numCache>
                <c:formatCode>#,##0</c:formatCode>
                <c:ptCount val="7"/>
                <c:pt idx="0">
                  <c:v>608.5</c:v>
                </c:pt>
                <c:pt idx="1">
                  <c:v>790</c:v>
                </c:pt>
                <c:pt idx="2">
                  <c:v>458.31</c:v>
                </c:pt>
                <c:pt idx="3">
                  <c:v>373.24</c:v>
                </c:pt>
                <c:pt idx="4">
                  <c:v>282.98</c:v>
                </c:pt>
                <c:pt idx="5">
                  <c:v>499.05</c:v>
                </c:pt>
                <c:pt idx="6">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(608,50 – 969,50)</c:v>
                </c:pt>
                <c:pt idx="1">
                  <c:v>Precio objetivo de los analistas (790,00 – 1.150,00)</c:v>
                </c:pt>
                <c:pt idx="2">
                  <c:v>Comparables: PER NTM (458,31 – 539,19)</c:v>
                </c:pt>
                <c:pt idx="3">
                  <c:v>DCF (WACC y g ± 0,5) (373,24 – 498,83)</c:v>
                </c:pt>
                <c:pt idx="4">
                  <c:v>Escenarios (bajista – alcista) (282,98 – 530,38)</c:v>
                </c:pt>
                <c:pt idx="5">
                  <c:v>DCF con la prima implícita del mercado (4,2 %)</c:v>
                </c:pt>
                <c:pt idx="6">
                  <c:v>Precio actual (800,00)</c:v>
                </c:pt>
              </c:strCache>
            </c:strRef>
          </c:cat>
          <c:val>
            <c:numRef>
              <c:f>Hoja1!$C$2:$C$8</c:f>
              <c:numCache>
                <c:formatCode>#,##0</c:formatCode>
                <c:ptCount val="7"/>
                <c:pt idx="0">
                  <c:v>361</c:v>
                </c:pt>
                <c:pt idx="1">
                  <c:v>360</c:v>
                </c:pt>
                <c:pt idx="2">
                  <c:v>80.88000000000005</c:v>
                </c:pt>
                <c:pt idx="3">
                  <c:v>125.58999999999997</c:v>
                </c:pt>
                <c:pt idx="4">
                  <c:v>247.39999999999998</c:v>
                </c:pt>
                <c:pt idx="5">
                  <c:v>124.44999999999999</c:v>
                </c:pt>
                <c:pt idx="6">
                  <c:v>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Actuadores de compuerta (Damper Actuators)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405.1</c:v>
                </c:pt>
                <c:pt idx="1">
                  <c:v>423.8</c:v>
                </c:pt>
                <c:pt idx="2">
                  <c:v>404.8</c:v>
                </c:pt>
                <c:pt idx="3">
                  <c:v>431.7</c:v>
                </c:pt>
                <c:pt idx="4">
                  <c:v>476.3</c:v>
                </c:pt>
              </c:numCache>
            </c:numRef>
          </c:val>
        </c:ser>
        <c:ser>
          <c:idx val="1"/>
          <c:order val="1"/>
          <c:tx>
            <c:strRef>
              <c:f>Hoja1!$C$1</c:f>
              <c:strCache>
                <c:ptCount val="1"/>
                <c:pt idx="0">
                  <c:v>Válvulas de control (Control Valves)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338.5</c:v>
                </c:pt>
                <c:pt idx="1">
                  <c:v>393.5</c:v>
                </c:pt>
                <c:pt idx="2">
                  <c:v>417.5</c:v>
                </c:pt>
                <c:pt idx="3">
                  <c:v>468</c:v>
                </c:pt>
                <c:pt idx="4">
                  <c:v>591.4</c:v>
                </c:pt>
              </c:numCache>
            </c:numRef>
          </c:val>
        </c:ser>
        <c:ser>
          <c:idx val="2"/>
          <c:order val="2"/>
          <c:tx>
            <c:strRef>
              <c:f>Hoja1!$D$1</c:f>
              <c:strCache>
                <c:ptCount val="1"/>
                <c:pt idx="0">
                  <c:v>Sensores y contadores (Sensors and Meters)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21.7</c:v>
                </c:pt>
                <c:pt idx="1">
                  <c:v>29.6</c:v>
                </c:pt>
                <c:pt idx="2">
                  <c:v>36.5</c:v>
                </c:pt>
                <c:pt idx="3">
                  <c:v>44.2</c:v>
                </c:pt>
                <c:pt idx="4">
                  <c:v>53.1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Actuadores de compuerta (Damper Actuators)</c:v>
                </c:pt>
                <c:pt idx="1">
                  <c:v>Válvulas de control (Control Valves)</c:v>
                </c:pt>
                <c:pt idx="2">
                  <c:v>Sensores y contadores (Sensors and Meters)</c:v>
                </c:pt>
              </c:strCache>
            </c:strRef>
          </c:cat>
          <c:val>
            <c:numRef>
              <c:f>Hoja1!$B$2:$B$4</c:f>
              <c:numCache>
                <c:formatCode>General</c:formatCode>
                <c:ptCount val="3"/>
                <c:pt idx="0">
                  <c:v>42.5</c:v>
                </c:pt>
                <c:pt idx="1">
                  <c:v>52.8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Estados Unidos</c:v>
                </c:pt>
                <c:pt idx="1">
                  <c:v>Canadá y resto de América</c:v>
                </c:pt>
                <c:pt idx="2">
                  <c:v>Alemania</c:v>
                </c:pt>
                <c:pt idx="3">
                  <c:v>Europa central y del este</c:v>
                </c:pt>
                <c:pt idx="4">
                  <c:v>Resto de EMEA</c:v>
                </c:pt>
                <c:pt idx="5">
                  <c:v>China</c:v>
                </c:pt>
                <c:pt idx="6">
                  <c:v>Resto de Asia-Pacífico</c:v>
                </c:pt>
              </c:strCache>
            </c:strRef>
          </c:cat>
          <c:val>
            <c:numRef>
              <c:f>Hoja1!$B$2:$B$8</c:f>
              <c:numCache>
                <c:formatCode>0"%"</c:formatCode>
                <c:ptCount val="7"/>
                <c:pt idx="0">
                  <c:v>39</c:v>
                </c:pt>
                <c:pt idx="1">
                  <c:v>10</c:v>
                </c:pt>
                <c:pt idx="2">
                  <c:v>7</c:v>
                </c:pt>
                <c:pt idx="3">
                  <c:v>7</c:v>
                </c:pt>
                <c:pt idx="4">
                  <c:v>24</c:v>
                </c:pt>
                <c:pt idx="5">
                  <c:v>5</c:v>
                </c:pt>
                <c:pt idx="6">
                  <c:v>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2025e</c:v>
                </c:pt>
                <c:pt idx="2">
                  <c:v>2030e</c:v>
                </c:pt>
              </c:strCache>
            </c:strRef>
          </c:cat>
          <c:val>
            <c:numRef>
              <c:f>Hoja1!$B$2:$B$4</c:f>
              <c:numCache>
                <c:formatCode>#,##0</c:formatCode>
                <c:ptCount val="3"/>
                <c:pt idx="0">
                  <c:v>4900</c:v>
                </c:pt>
                <c:pt idx="1">
                  <c:v>5500</c:v>
                </c:pt>
                <c:pt idx="2">
                  <c:v>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Belimo</c:v>
                </c:pt>
                <c:pt idx="1">
                  <c:v>Siemens (Smart Infrastructure)</c:v>
                </c:pt>
                <c:pt idx="2">
                  <c:v>Johnson Controls</c:v>
                </c:pt>
                <c:pt idx="3">
                  <c:v>Schneider Electric</c:v>
                </c:pt>
                <c:pt idx="4">
                  <c:v>Honeywell (Building Automation)</c:v>
                </c:pt>
                <c:pt idx="5">
                  <c:v>Danfoss</c:v>
                </c:pt>
                <c:pt idx="6">
                  <c:v>Trane Technologies</c:v>
                </c:pt>
              </c:strCache>
            </c:strRef>
          </c:cat>
          <c:val>
            <c:numRef>
              <c:f>Hoja1!$B$2:$B$8</c:f>
              <c:numCache>
                <c:formatCode>0.0"%"</c:formatCode>
                <c:ptCount val="7"/>
                <c:pt idx="0">
                  <c:v>20.8</c:v>
                </c:pt>
                <c:pt idx="1">
                  <c:v>16.4</c:v>
                </c:pt>
                <c:pt idx="2">
                  <c:v>11.7</c:v>
                </c:pt>
                <c:pt idx="3">
                  <c:v>16.9</c:v>
                </c:pt>
                <c:pt idx="6">
                  <c:v>17.8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765.3</c:v>
                </c:pt>
                <c:pt idx="1">
                  <c:v>846.9</c:v>
                </c:pt>
                <c:pt idx="2">
                  <c:v>858.8</c:v>
                </c:pt>
                <c:pt idx="3">
                  <c:v>943.9</c:v>
                </c:pt>
                <c:pt idx="4">
                  <c:v>1120.8</c:v>
                </c:pt>
                <c:pt idx="5">
                  <c:v>1334</c:v>
                </c:pt>
                <c:pt idx="6">
                  <c:v>1507</c:v>
                </c:pt>
                <c:pt idx="7">
                  <c:v>1673</c:v>
                </c:pt>
                <c:pt idx="8">
                  <c:v>1832</c:v>
                </c:pt>
                <c:pt idx="9">
                  <c:v>1978</c:v>
                </c:pt>
                <c:pt idx="10">
                  <c:v>2117</c:v>
                </c:pt>
                <c:pt idx="11">
                  <c:v>2244</c:v>
                </c:pt>
                <c:pt idx="12">
                  <c:v>2356</c:v>
                </c:pt>
                <c:pt idx="13">
                  <c:v>2450</c:v>
                </c:pt>
                <c:pt idx="14">
                  <c:v>2524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178.4</c:v>
                </c:pt>
                <c:pt idx="1">
                  <c:v>189</c:v>
                </c:pt>
                <c:pt idx="2">
                  <c:v>188.3</c:v>
                </c:pt>
                <c:pt idx="3">
                  <c:v>217.6</c:v>
                </c:pt>
                <c:pt idx="4">
                  <c:v>271.2</c:v>
                </c:pt>
                <c:pt idx="5">
                  <c:v>331</c:v>
                </c:pt>
                <c:pt idx="6">
                  <c:v>384</c:v>
                </c:pt>
                <c:pt idx="7">
                  <c:v>427</c:v>
                </c:pt>
                <c:pt idx="8">
                  <c:v>467</c:v>
                </c:pt>
                <c:pt idx="9">
                  <c:v>504</c:v>
                </c:pt>
                <c:pt idx="10">
                  <c:v>540</c:v>
                </c:pt>
                <c:pt idx="11">
                  <c:v>572</c:v>
                </c:pt>
                <c:pt idx="12">
                  <c:v>601</c:v>
                </c:pt>
                <c:pt idx="13">
                  <c:v>625</c:v>
                </c:pt>
                <c:pt idx="14">
                  <c:v>644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59.9</c:v>
                </c:pt>
                <c:pt idx="1">
                  <c:v>59.9</c:v>
                </c:pt>
                <c:pt idx="2">
                  <c:v>60.5</c:v>
                </c:pt>
                <c:pt idx="3">
                  <c:v>61.5</c:v>
                </c:pt>
                <c:pt idx="4">
                  <c:v>60.4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23.3</c:v>
                </c:pt>
                <c:pt idx="1">
                  <c:v>22.3</c:v>
                </c:pt>
                <c:pt idx="2">
                  <c:v>21.9</c:v>
                </c:pt>
                <c:pt idx="3">
                  <c:v>23.1</c:v>
                </c:pt>
                <c:pt idx="4">
                  <c:v>24.2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c:v>
                </c:pt>
                <c:pt idx="1">
                  <c:v>18</c:v>
                </c:pt>
                <c:pt idx="2">
                  <c:v>17.8</c:v>
                </c:pt>
                <c:pt idx="3">
                  <c:v>19.2</c:v>
                </c:pt>
                <c:pt idx="4">
                  <c:v>20.8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15.1</c:v>
                </c:pt>
                <c:pt idx="1">
                  <c:v>14.5</c:v>
                </c:pt>
                <c:pt idx="2">
                  <c:v>16</c:v>
                </c:pt>
                <c:pt idx="3">
                  <c:v>15.6</c:v>
                </c:pt>
                <c:pt idx="4">
                  <c:v>16.2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2S22</c:v>
                </c:pt>
                <c:pt idx="1">
                  <c:v>1S23</c:v>
                </c:pt>
                <c:pt idx="2">
                  <c:v>2S23</c:v>
                </c:pt>
                <c:pt idx="3">
                  <c:v>1S24</c:v>
                </c:pt>
                <c:pt idx="4">
                  <c:v>2S24</c:v>
                </c:pt>
                <c:pt idx="5">
                  <c:v>1S25</c:v>
                </c:pt>
                <c:pt idx="6">
                  <c:v>2S25</c:v>
                </c:pt>
                <c:pt idx="7">
                  <c:v>1S26</c:v>
                </c:pt>
              </c:strCache>
            </c:strRef>
          </c:cat>
          <c:val>
            <c:numRef>
              <c:f>Hoja1!$B$2:$B$9</c:f>
              <c:numCache>
                <c:formatCode>0.0"%"</c:formatCode>
                <c:ptCount val="8"/>
                <c:pt idx="0">
                  <c:v>13.1</c:v>
                </c:pt>
                <c:pt idx="1">
                  <c:v>7.7</c:v>
                </c:pt>
                <c:pt idx="2">
                  <c:v>-4.7</c:v>
                </c:pt>
                <c:pt idx="3">
                  <c:v>5.6</c:v>
                </c:pt>
                <c:pt idx="4">
                  <c:v>14.6</c:v>
                </c:pt>
                <c:pt idx="5">
                  <c:v>18.6</c:v>
                </c:pt>
                <c:pt idx="6">
                  <c:v>18.9</c:v>
                </c:pt>
                <c:pt idx="7">
                  <c:v>20.5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2S22</c:v>
                </c:pt>
                <c:pt idx="1">
                  <c:v>1S23</c:v>
                </c:pt>
                <c:pt idx="2">
                  <c:v>2S23</c:v>
                </c:pt>
                <c:pt idx="3">
                  <c:v>1S24</c:v>
                </c:pt>
                <c:pt idx="4">
                  <c:v>2S24</c:v>
                </c:pt>
                <c:pt idx="5">
                  <c:v>1S25</c:v>
                </c:pt>
                <c:pt idx="6">
                  <c:v>2S25</c:v>
                </c:pt>
                <c:pt idx="7">
                  <c:v>1S26</c:v>
                </c:pt>
              </c:strCache>
            </c:strRef>
          </c:cat>
          <c:val>
            <c:numRef>
              <c:f>Hoja1!$C$2:$C$9</c:f>
              <c:numCache>
                <c:formatCode>0.0"%"</c:formatCode>
                <c:ptCount val="8"/>
                <c:pt idx="5">
                  <c:v>20.6</c:v>
                </c:pt>
                <c:pt idx="7">
                  <c:v>29.6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47</c:v>
                </c:pt>
                <c:pt idx="1">
                  <c:v>48</c:v>
                </c:pt>
                <c:pt idx="2">
                  <c:v>47</c:v>
                </c:pt>
                <c:pt idx="3">
                  <c:v>49</c:v>
                </c:pt>
                <c:pt idx="4">
                  <c:v>51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79</c:v>
                </c:pt>
                <c:pt idx="1">
                  <c:v>98</c:v>
                </c:pt>
                <c:pt idx="2">
                  <c:v>83</c:v>
                </c:pt>
                <c:pt idx="3">
                  <c:v>82</c:v>
                </c:pt>
                <c:pt idx="4">
                  <c:v>89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c:v>
                </c:pt>
                <c:pt idx="1">
                  <c:v>15</c:v>
                </c:pt>
                <c:pt idx="2">
                  <c:v>12</c:v>
                </c:pt>
                <c:pt idx="3">
                  <c:v>20</c:v>
                </c:pt>
                <c:pt idx="4">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101.19999999999999</c:v>
                </c:pt>
                <c:pt idx="1">
                  <c:v>53.900000000000006</c:v>
                </c:pt>
                <c:pt idx="2">
                  <c:v>104.9</c:v>
                </c:pt>
                <c:pt idx="3">
                  <c:v>126.20000000000002</c:v>
                </c:pt>
                <c:pt idx="4">
                  <c:v>92.9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115.7</c:v>
                </c:pt>
                <c:pt idx="1">
                  <c:v>122.8</c:v>
                </c:pt>
                <c:pt idx="2">
                  <c:v>137</c:v>
                </c:pt>
                <c:pt idx="3">
                  <c:v>146.8</c:v>
                </c:pt>
                <c:pt idx="4">
                  <c:v>181.6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33.2</c:v>
                </c:pt>
                <c:pt idx="1">
                  <c:v>32.8</c:v>
                </c:pt>
                <c:pt idx="2">
                  <c:v>34.4</c:v>
                </c:pt>
                <c:pt idx="3">
                  <c:v>33.6</c:v>
                </c:pt>
                <c:pt idx="4">
                  <c:v>37.2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7.2</c:v>
                </c:pt>
                <c:pt idx="1">
                  <c:v>7.2</c:v>
                </c:pt>
                <c:pt idx="2">
                  <c:v>7.2</c:v>
                </c:pt>
                <c:pt idx="3">
                  <c:v>7.2</c:v>
                </c:pt>
                <c:pt idx="4">
                  <c:v>7.2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22.6</c:v>
                </c:pt>
                <c:pt idx="1">
                  <c:v>23.8</c:v>
                </c:pt>
                <c:pt idx="2">
                  <c:v>26</c:v>
                </c:pt>
                <c:pt idx="3">
                  <c:v>26.4</c:v>
                </c:pt>
                <c:pt idx="4">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-0.89</c:v>
                </c:pt>
                <c:pt idx="1">
                  <c:v>-0.54</c:v>
                </c:pt>
                <c:pt idx="2">
                  <c:v>-0.52</c:v>
                </c:pt>
                <c:pt idx="3">
                  <c:v>-0.53</c:v>
                </c:pt>
                <c:pt idx="4">
                  <c:v>-0.26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81.1</c:v>
                </c:pt>
                <c:pt idx="1">
                  <c:v>13.4</c:v>
                </c:pt>
                <c:pt idx="2">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0.4</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92.2</c:v>
                </c:pt>
                <c:pt idx="1">
                  <c:v>104.5</c:v>
                </c:pt>
                <c:pt idx="2">
                  <c:v>104.5</c:v>
                </c:pt>
                <c:pt idx="3">
                  <c:v>104.5</c:v>
                </c:pt>
                <c:pt idx="4">
                  <c:v>116.8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5.2</c:v>
                </c:pt>
                <c:pt idx="1">
                  <c:v>4.1</c:v>
                </c:pt>
                <c:pt idx="2">
                  <c:v>3.6</c:v>
                </c:pt>
                <c:pt idx="3">
                  <c:v>4</c:v>
                </c:pt>
                <c:pt idx="4">
                  <c:v>0.4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Dominical</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Grupo Linsi (familia fundadora)</c:v>
                </c:pt>
                <c:pt idx="1">
                  <c:v>UBS Fund Management (Switzerland)</c:v>
                </c:pt>
                <c:pt idx="2">
                  <c:v>BlackRock</c:v>
                </c:pt>
                <c:pt idx="3">
                  <c:v>Autocartera</c:v>
                </c:pt>
              </c:strCache>
            </c:strRef>
          </c:cat>
          <c:val>
            <c:numRef>
              <c:f>Hoja1!$B$2:$B$5</c:f>
              <c:numCache>
                <c:formatCode>0.0"%"</c:formatCode>
                <c:ptCount val="4"/>
                <c:pt idx="0">
                  <c:v>19.55</c:v>
                </c:pt>
                <c:pt idx="1">
                  <c:v>5.56</c:v>
                </c:pt>
                <c:pt idx="2">
                  <c:v>5.18</c:v>
                </c:pt>
                <c:pt idx="3">
                  <c:v>0.0003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25.6</c:v>
                </c:pt>
                <c:pt idx="1">
                  <c:v>38.6</c:v>
                </c:pt>
                <c:pt idx="2">
                  <c:v>-7.6</c:v>
                </c:pt>
                <c:pt idx="3">
                  <c:v>85</c:v>
                </c:pt>
                <c:pt idx="4">
                  <c:v>5.3</c:v>
                </c:pt>
                <c:pt idx="5">
                  <c:v>51</c:v>
                </c:pt>
                <c:pt idx="6">
                  <c:v>-24.1</c:v>
                </c:pt>
                <c:pt idx="7">
                  <c:v>5.4</c:v>
                </c:pt>
                <c:pt idx="8">
                  <c:v>29.3</c:v>
                </c:pt>
                <c:pt idx="9">
                  <c:v>30.3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-6.8</c:v>
                </c:pt>
                <c:pt idx="1">
                  <c:v>14.1</c:v>
                </c:pt>
                <c:pt idx="2">
                  <c:v>-10.2</c:v>
                </c:pt>
                <c:pt idx="3">
                  <c:v>26</c:v>
                </c:pt>
                <c:pt idx="4">
                  <c:v>0.8</c:v>
                </c:pt>
                <c:pt idx="5">
                  <c:v>20.3</c:v>
                </c:pt>
                <c:pt idx="6">
                  <c:v>-16.7</c:v>
                </c:pt>
                <c:pt idx="7">
                  <c:v>3.8</c:v>
                </c:pt>
                <c:pt idx="8">
                  <c:v>4.2</c:v>
                </c:pt>
                <c:pt idx="9">
                  <c:v>14.4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39.1</c:v>
                </c:pt>
                <c:pt idx="1">
                  <c:v>28.1</c:v>
                </c:pt>
                <c:pt idx="2">
                  <c:v>29.8</c:v>
                </c:pt>
                <c:pt idx="3">
                  <c:v>33.3</c:v>
                </c:pt>
                <c:pt idx="4">
                  <c:v>35.2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33.3</c:v>
                </c:pt>
                <c:pt idx="1">
                  <c:v>33.3</c:v>
                </c:pt>
                <c:pt idx="2">
                  <c:v>33.3</c:v>
                </c:pt>
                <c:pt idx="3">
                  <c:v>33.3</c:v>
                </c:pt>
                <c:pt idx="4">
                  <c:v>33.3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Belimo</c:v>
                </c:pt>
                <c:pt idx="1">
                  <c:v>Trane Technologies</c:v>
                </c:pt>
                <c:pt idx="2">
                  <c:v>Johnson Controls</c:v>
                </c:pt>
                <c:pt idx="3">
                  <c:v>Carrier Global</c:v>
                </c:pt>
                <c:pt idx="4">
                  <c:v>Lennox International</c:v>
                </c:pt>
                <c:pt idx="5">
                  <c:v>Daikin Industries</c:v>
                </c:pt>
                <c:pt idx="6">
                  <c:v>Siemens</c:v>
                </c:pt>
                <c:pt idx="7">
                  <c:v>Schneider Electric</c:v>
                </c:pt>
                <c:pt idx="8">
                  <c:v>Vertiv</c:v>
                </c:pt>
                <c:pt idx="9">
                  <c:v>Halma</c:v>
                </c:pt>
                <c:pt idx="10">
                  <c:v>Spirax Group</c:v>
                </c:pt>
              </c:strCache>
            </c:strRef>
          </c:cat>
          <c:val>
            <c:numRef>
              <c:f>Hoja1!$B$2:$B$12</c:f>
              <c:numCache>
                <c:formatCode>0.0"x"</c:formatCode>
                <c:ptCount val="11"/>
                <c:pt idx="0">
                  <c:v>25.4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Boyd Thermal (refrigeración líquida)</c:v>
                </c:pt>
                <c:pt idx="1">
                  <c:v>Viessmann Climate Solutions (bombas de calor, calderas)</c:v>
                </c:pt>
                <c:pt idx="2">
                  <c:v>Motivair (refrigeración líquida, 75 %)</c:v>
                </c:pt>
              </c:strCache>
            </c:strRef>
          </c:cat>
          <c:val>
            <c:numRef>
              <c:f>Hoja1!$B$2:$B$4</c:f>
              <c:numCache>
                <c:formatCode>0.0"x"</c:formatCode>
                <c:ptCount val="3"/>
                <c:pt idx="0">
                  <c:v>22.5</c:v>
                </c:pt>
                <c:pt idx="1">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126</c:v>
                </c:pt>
                <c:pt idx="1">
                  <c:v>173</c:v>
                </c:pt>
                <c:pt idx="2">
                  <c:v>206</c:v>
                </c:pt>
                <c:pt idx="3">
                  <c:v>241</c:v>
                </c:pt>
                <c:pt idx="4">
                  <c:v>271</c:v>
                </c:pt>
                <c:pt idx="5">
                  <c:v>299</c:v>
                </c:pt>
                <c:pt idx="6">
                  <c:v>325</c:v>
                </c:pt>
                <c:pt idx="7">
                  <c:v>352</c:v>
                </c:pt>
                <c:pt idx="8">
                  <c:v>377</c:v>
                </c:pt>
                <c:pt idx="9">
                  <c:v>397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1874</c:v>
                </c:pt>
                <c:pt idx="1">
                  <c:v>3399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800,00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282.98</c:v>
                </c:pt>
                <c:pt idx="1">
                  <c:v>426.07</c:v>
                </c:pt>
                <c:pt idx="2">
                  <c:v>530.38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800,00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(608,50 – 969,50)</c:v>
                </c:pt>
                <c:pt idx="1">
                  <c:v>Precio objetivo de los analistas (790,00 – 1.150,00)</c:v>
                </c:pt>
                <c:pt idx="2">
                  <c:v>Comparables: PER NTM (458,31 – 539,19)</c:v>
                </c:pt>
                <c:pt idx="3">
                  <c:v>DCF (WACC y g ± 0,5) (373,24 – 498,83)</c:v>
                </c:pt>
                <c:pt idx="4">
                  <c:v>Escenarios (bajista – alcista) (282,98 – 530,38)</c:v>
                </c:pt>
                <c:pt idx="5">
                  <c:v>DCF con la prima implícita del mercado (4,2 %)</c:v>
                </c:pt>
                <c:pt idx="6">
                  <c:v>Precio actual (800,00)</c:v>
                </c:pt>
              </c:strCache>
            </c:strRef>
          </c:cat>
          <c:val>
            <c:numRef>
              <c:f>Hoja1!$B$2:$B$8</c:f>
              <c:numCache>
                <c:formatCode>#,##0</c:formatCode>
                <c:ptCount val="7"/>
                <c:pt idx="0">
                  <c:v>608.5</c:v>
                </c:pt>
                <c:pt idx="1">
                  <c:v>790</c:v>
                </c:pt>
                <c:pt idx="2">
                  <c:v>458.31</c:v>
                </c:pt>
                <c:pt idx="3">
                  <c:v>373.24</c:v>
                </c:pt>
                <c:pt idx="4">
                  <c:v>282.98</c:v>
                </c:pt>
                <c:pt idx="5">
                  <c:v>499.05</c:v>
                </c:pt>
                <c:pt idx="6">
                  <c:v>796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(608,50 – 969,50)</c:v>
                </c:pt>
                <c:pt idx="1">
                  <c:v>Precio objetivo de los analistas (790,00 – 1.150,00)</c:v>
                </c:pt>
                <c:pt idx="2">
                  <c:v>Comparables: PER NTM (458,31 – 539,19)</c:v>
                </c:pt>
                <c:pt idx="3">
                  <c:v>DCF (WACC y g ± 0,5) (373,24 – 498,83)</c:v>
                </c:pt>
                <c:pt idx="4">
                  <c:v>Escenarios (bajista – alcista) (282,98 – 530,38)</c:v>
                </c:pt>
                <c:pt idx="5">
                  <c:v>DCF con la prima implícita del mercado (4,2 %)</c:v>
                </c:pt>
                <c:pt idx="6">
                  <c:v>Precio actual (800,00)</c:v>
                </c:pt>
              </c:strCache>
            </c:strRef>
          </c:cat>
          <c:val>
            <c:numRef>
              <c:f>Hoja1!$C$2:$C$8</c:f>
              <c:numCache>
                <c:formatCode>#,##0</c:formatCode>
                <c:ptCount val="7"/>
                <c:pt idx="0">
                  <c:v>361</c:v>
                </c:pt>
                <c:pt idx="1">
                  <c:v>360</c:v>
                </c:pt>
                <c:pt idx="2">
                  <c:v>80.88000000000005</c:v>
                </c:pt>
                <c:pt idx="3">
                  <c:v>125.58999999999997</c:v>
                </c:pt>
                <c:pt idx="4">
                  <c:v>247.39999999999998</c:v>
                </c:pt>
                <c:pt idx="5">
                  <c:v>124.44999999999999</c:v>
                </c:pt>
                <c:pt idx="6">
                  <c:v>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