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Hon. Precision, Inc.</w:t>
      </w:r>
    </w:p>
    <w:p>
      <w:pPr>
        <w:spacing w:after="60"/>
        <w:rPr>
          <w:color w:val="52514E"/>
          <w:sz w:val="22"/>
          <w:szCs w:val="22"/>
        </w:rPr>
      </w:pPr>
      <w:r>
        <w:rPr>
          <w:color w:val="52514E"/>
          <w:sz w:val="22"/>
          <w:szCs w:val="22"/>
        </w:rPr>
        <w:t xml:space="preserve">7769.TW · Bolsa de Taiwán (TWSE) · ISIN n.d. · Tecnología de la información</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20 oct 2026</w:t>
      </w:r>
      <w:r>
        <w:rPr>
          <w:color w:val="52514E"/>
          <w:sz w:val="18"/>
          <w:szCs w:val="18"/>
        </w:rPr>
        <w:t xml:space="preserve"> · Divisa: </w:t>
      </w:r>
      <w:r>
        <w:rPr>
          <w:b/>
          <w:bCs/>
          <w:color w:val="52514E"/>
          <w:sz w:val="18"/>
          <w:szCs w:val="18"/>
        </w:rPr>
        <w:t xml:space="preserve">TWD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5.205,00 TWD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5.685,35 TWD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+10,3 % (base +1,2 %)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3.113,43 TWD · mercado 3.452,49</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936.536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20,7x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-2,2x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Hon. Precision, Inc.</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7769.TW / n.d.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Bolsa de Taiwán (TWSE)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TAIEX (rentabilidades con el ETF 0050, Yuanta Taiwan Top 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Tecnología de la información / Equipos de semiconductores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Dahya, Taichung (Taiwán) · 1999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https://www.honprec.com/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5.205,00 (20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1.990,00 – 8.465,00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179,9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Free float</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63,4 %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936.536 M TWD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891.966 M TWD</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Volumen medio diario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4.485 M TWD/día (3 meses)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 nov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5.685,35 TWD</w:t>
      </w:r>
      <w:r>
        <w:t xml:space="preserve"> frente a 5.205,00 · Rentabilidad a 12 meses </w:t>
      </w:r>
      <w:r>
        <w:rPr>
          <w:b/>
          <w:bCs/>
        </w:rPr>
        <w:t xml:space="preserve">+10,3 % (base +1,2 %)</w:t>
      </w:r>
      <w:r>
        <w:t xml:space="preserve"> · Valor intrínseco 3.113,43 TWD · con la prima implícita del mercado: 3.452,49 (-33,7 %) · Alcista / bajista -37,3 % / -76,2 %</w:t>
      </w:r>
    </w:p>
    <w:p>
      <w:pPr>
        <w:spacing w:after="100"/>
      </w:pPr>
      <w:r>
        <w:rPr>
          <w:b/>
        </w:rPr>
        <w:t xml:space="preserve">La recomendación y por qué.</w:t>
      </w:r>
      <w:r>
        <w:t xml:space="preserve"> Mantener (no comprar), con convicción media. El objetivo a 12 meses es de 5.685,35 TWD, un +10,3 % con el dividendo (base 5.211,18, +1,2 %), por debajo del 15 % que pide una compra; el valor intrínseco (3.113,43 TWD) está un 40,2 % por debajo del precio de 5.205 y el objetivo medio de los 17 analistas (9.227,24) queda por encima de nuestro base, dentro del alcista [26]. La razón: el negocio es excelente, pero el precio ya paga casi nueve años de crecimiento del ciclo de IA sin un año de ajuste. La convicción es media porque las dos reglas coinciden y la ponderada está a 4,7 puntos del umbral; subiría si el 3T26 y la guía de 2027 apuntan al consenso (ventas de 2027 por encima de 90.000 M) y bajaría con dos meses de ventas por debajo del año anterior.</w:t>
      </w:r>
    </w:p>
    <w:p>
      <w:pPr>
        <w:spacing w:after="100"/>
      </w:pPr>
      <w:r>
        <w:rPr>
          <w:b/>
        </w:rPr>
        <w:t xml:space="preserve">El negocio.</w:t>
      </w:r>
      <w:r>
        <w:t xml:space="preserve"> Hon fabrica los manipuladores con control térmico en los que se prueban los chips de IA de Nvidia, Google, AWS o AMD; según la prensa tiene ≈90 % de la prueba final de IA [9]. Gana un 49,7 % de margen operativo y su ROIC fue del 245,6 % en 2025, frente a un WACC del 10,67 %, con muy poco capital. La calidad sostiene nuestro crecimiento solo «en parte»: las pruebas del motor pasan (cuota del 13,7 % en 2030e frente al 9,5 % de hoy), pero el 77 % de los pedidos depende de cuatro o cinco diseñadoras de IA, el foso es tecnológico y estrecho y la empresa nunca ha cotizado un ciclo bajista [6].</w:t>
      </w:r>
    </w:p>
    <w:p>
      <w:pPr>
        <w:spacing w:after="100"/>
      </w:pPr>
      <w:r>
        <w:rPr>
          <w:b/>
        </w:rPr>
        <w:t xml:space="preserve">Sector y ciclo.</w:t>
      </w:r>
      <w:r>
        <w:t xml:space="preserve"> Estamos en la parte alta: SEMI prevé +31 % en equipos de prueba en 2026 tras +55,3 % en 2025 [11]; en 2023 las ventas de Hon cayeron un 29,6 % [2].</w:t>
      </w:r>
    </w:p>
    <w:p>
      <w:pPr>
        <w:spacing w:after="100"/>
      </w:pPr>
      <w:r>
        <w:rPr>
          <w:b/>
        </w:rPr>
        <w:t xml:space="preserve">Finanzas.</w:t>
      </w:r>
      <w:r>
        <w:t xml:space="preserve"> Caja neta de 56.036 M sin deuda; el circulante crece con las ventas y el flujo operativo fue el 59 % del beneficio en los últimos doce meses [3, 4].</w:t>
      </w:r>
    </w:p>
    <w:p>
      <w:pPr>
        <w:spacing w:after="100"/>
      </w:pPr>
      <w:r>
        <w:rPr>
          <w:b/>
        </w:rPr>
        <w:t xml:space="preserve">Equipo y gobierno.</w:t>
      </w:r>
      <w:r>
        <w:t xml:space="preserve"> El fundador controla la junta (36,58 % del consejo, sin ventas desde diciembre; diez primeros accionistas con el 83,6 %) [21, 23]. Suma por la alineación; resta por el flotante pequeño y el cambio de director general de 2026 sin anuncio localizado.</w:t>
      </w:r>
    </w:p>
    <w:p>
      <w:pPr>
        <w:spacing w:after="100"/>
      </w:pPr>
      <w:r>
        <w:rPr>
          <w:b/>
        </w:rPr>
        <w:t xml:space="preserve">Valoración.</w:t>
      </w:r>
      <w:r>
        <w:t xml:space="preserve"> El DCF da 2.085,71 TWD y el DCF inverso exige un 27,3 % de crecimiento anual en 2027-2035 frente al 8,6 % de nuestro base; con nuestro crecimiento ningún margen lo justifica. Los comparables dan 7.101,52, pero todo el grupo cotiza a 36,8x en plena euforia. Nuestro BPA de 2028e (198,90) está un 43 % por debajo del consenso (351,30): el consenso supone el 22 % de todo el mercado de equipos de prueba en 2028, 2,3 veces la cuota de hoy. Con la regla v2 la ponderada sería del 22,7 % (base 11,1 %): tampoco compra, por el base y el valor intrínseco.</w:t>
      </w:r>
    </w:p>
    <w:p>
      <w:pPr>
        <w:spacing w:after="100"/>
      </w:pPr>
      <w:r>
        <w:rPr>
          <w:b/>
        </w:rPr>
        <w:t xml:space="preserve">Riesgos y catalizadores.</w:t>
      </w:r>
      <w:r>
        <w:t xml:space="preserve"> El mayor riesgo es una pausa de la inversión en IA en 2027-2028 (bajista a 12 meses −71,5 %); después, la concentración de clientes y la competencia de Chroma en SLT; y Taiwán y los controles de exportación (China, 24 % por región). Catalizadores: resultados del 3T26 hacia el 10-nov, ventas mensuales y presupuestos de inversión de los clientes de nube en febrero. Los foros han pasado de la euforia de mayo a una prudencia extrema; no añaden un riesgo nuevo [38].</w:t>
      </w:r>
    </w:p>
    <w:p>
      <w:pPr>
        <w:spacing w:after="100"/>
      </w:pPr>
      <w:r>
        <w:rPr>
          <w:b/>
        </w:rPr>
        <w:t xml:space="preserve">Qué cambiaría la decisión.</w:t>
      </w:r>
      <w:r>
        <w:t xml:space="preserve"> Compraríamos por debajo de 3.113,43 TWD (donde se cumplen a la vez la rentabilidad, el base y el valor intrínseco) y venderíamos por encima de 6.378,17. Revisaríamos al alza si la empresa confirma pedidos firmes para llenar +50 % de capacidad en 2027 con margen bruto de más del 55 %, y a la baja si las ventas mensuales caen interanualmente o el margen bruto baja del 52 % sin partidas únicas.</w:t>
      </w:r>
    </w:p>
    <w:p>
      <w:r>
        <w:br w:type="page"/>
      </w:r>
    </w:p>
    <w:p>
      <w:pPr>
        <w:pStyle w:val="Heading1"/>
      </w:pPr>
      <w:r>
        <w:t xml:space="preserve">Resumen ejecutivo</w:t>
      </w:r>
    </w:p>
    <w:p>
      <w:pPr>
        <w:pStyle w:val="Confianza"/>
        <w:spacing w:after="100"/>
      </w:pPr>
      <w:r>
        <w:t xml:space="preserve">Confianza: Media</w:t>
      </w:r>
    </w:p>
    <w:p>
      <w:pPr>
        <w:spacing w:after="100"/>
      </w:pPr>
      <w:r>
        <w:rPr>
          <w:b/>
          <w:bCs/>
        </w:rPr>
        <w:t xml:space="preserve">Recomendación: Mantener</w:t>
      </w:r>
      <w:r>
        <w:t xml:space="preserve"> · Convicción: Media · Horizonte: 12 meses · Objetivo a 12 meses: </w:t>
      </w:r>
      <w:r>
        <w:rPr>
          <w:b/>
          <w:bCs/>
        </w:rPr>
        <w:t xml:space="preserve">5.685,35 TWD</w:t>
      </w:r>
      <w:r>
        <w:t xml:space="preserve"> (rentabilidad +10,3 % (base +1,2 %)) · Valor intrínseco: 3.113,43 TWD (-40,2 % sobre 5.205,00) · con la prima implícita del mercado: 3.452,49 (-33,7 %)</w:t>
      </w:r>
    </w:p>
    <w:p>
      <w:pPr>
        <w:spacing w:after="100"/>
      </w:pPr>
      <w:r>
        <w:t xml:space="preserve">Hon. Precision es el especialista que hace posible probar los chips de IA más calientes: sus manipuladores mantienen la temperatura de procesadores de varios kilovatios durante la prueba final y la de sistema. Con ≈90 % de la prueba final de IA según la prensa, multiplicó las ventas por 2,2 en 2025 (30.271 M TWD) con un margen operativo del 49,7 %, y en 2026 vuelve a casi doblarlas (+94 % en enero-septiembre), con caja neta de 56.036 M y un ROIC del 245,6 % [1, 2, 9].</w:t>
      </w:r>
    </w:p>
    <w:p>
      <w:pPr>
        <w:spacing w:after="100"/>
      </w:pPr>
      <w:r>
        <w:t xml:space="preserve">El precio de 5.205 TWD descuenta mucho más: 28,8 veces nuestro beneficio de 2027e y, según el DCF inverso, un 27,3 % de crecimiento anual durante nueve años, cuando SEMI espera un 21,2 % anual para todo el mercado de equipos de prueba solo hasta 2028 [11]. El consenso, que pone el BPA de 2028 en 351,30 TWD, implica que Hon tendría el 22 % de todos los equipos de prueba del mundo [26].</w:t>
      </w:r>
    </w:p>
    <w:p>
      <w:pPr>
        <w:spacing w:after="100"/>
      </w:pPr>
      <w:r>
        <w:t xml:space="preserve">El mercado acierta en la calidad y se equivoca, a nuestro juicio, en la duración: es un fabricante de bienes de equipo cuya demanda depende de la inversión de cuatro o cinco clientes de IA, que en 2023 perdió el 29,6 % de las ventas y que amplía capacidad un 50 % en lo alto del ciclo. Para invertir hoy hay que creer que la IA no tendrá un año de digestión antes de 2029 y que Chroma, Advantest y China no recortarán el margen. Con nuestro base, el precio ya está en el objetivo a 12 meses; con un ciclo normal, sobra un 40 %.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5.685,35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 × 95,29 = 1.429,35 · 26,2x × 198,90 = 5.211,18 · 35,3x × 308,49 = 10.889,70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10,3 % / 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 (selector de método: historia adelantada de 2 años: decide la más baja de v3 y v2 (v3))</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9.227,24 (nuestro base -43,5 %)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3.113,43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-39,1 %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-37,3 % / -76,2 %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-0,49x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4,9 % frente a 10,7 % y 9,0 %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9,0 %)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3.452,49 TWD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-0,32x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27,3 % frente a 21,2 %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En parte (16,8 %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3.113,43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3.113,43 y 6.378,17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6.378,17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3.113,43 TWD (con el objetivo fijo), se cumplen la rentabilidad, el base y el valor intrínseco: pasaríamos a Comprar si la calidad lo confirma.</w:t>
      </w:r>
    </w:p>
    <w:p>
      <w:pPr>
        <w:pStyle w:val="ListParagraph"/>
        <w:numPr>
          <w:ilvl w:val="0"/>
          <w:numId w:val="2"/>
        </w:numPr>
        <w:spacing w:after="60"/>
      </w:pPr>
      <w:r>
        <w:t xml:space="preserve">Si la empresa confirma pedidos o anticipos para llenar +50 % de capacidad en 2027 y las ventas de 2027 apuntan a más de 90.000 M TWD, rehacemos el informe al alza.</w:t>
      </w:r>
    </w:p>
    <w:p>
      <w:pPr>
        <w:pStyle w:val="ListParagraph"/>
        <w:numPr>
          <w:ilvl w:val="0"/>
          <w:numId w:val="2"/>
        </w:numPr>
        <w:spacing w:after="60"/>
      </w:pPr>
      <w:r>
        <w:t xml:space="preserve">Si las ventas mensuales caen interanualmente dos meses seguidos o el margen bruto baja del 52 % sin partidas únicas, pasamos el base al bajista.</w:t>
      </w:r>
    </w:p>
    <w:p>
      <w:pPr>
        <w:pStyle w:val="ListParagraph"/>
        <w:numPr>
          <w:ilvl w:val="0"/>
          <w:numId w:val="2"/>
        </w:numPr>
        <w:spacing w:after="60"/>
      </w:pPr>
      <w:r>
        <w:t xml:space="preserve">Por encima de 6.378,17 TWD la regla a 12 meses da Vender.</w:t>
      </w:r>
    </w:p>
    <w:p>
      <w:pPr>
        <w:pStyle w:val="Heading2"/>
      </w:pPr>
      <w:r>
        <w:t xml:space="preserve">Dónde discrepamos del mercado</w:t>
      </w:r>
    </w:p>
    <w:p>
      <w:pPr>
        <w:keepNext/>
        <w:spacing w:after="100"/>
      </w:pPr>
      <w:r>
        <w:rPr>
          <w:b/>
          <w:bCs/>
        </w:rPr>
        <w:t xml:space="preserve">Lo que descuenta el precio.</w:t>
      </w:r>
    </w:p>
    <w:p>
      <w:pPr>
        <w:spacing w:after="100"/>
      </w:pPr>
      <w:r>
        <w:t xml:space="preserve">Que las ventas crecen +62 % en 2027 y +65 % en 2028 (152.075 M TWD) con márgenes del 52-54 % de EBITDA, y que ese beneficio merece después un múltiplo de crecimiento: los 17 analistas recomiendan comprar con un objetivo medio de 9.227 TWD [26, 27].</w:t>
      </w:r>
    </w:p>
    <w:p>
      <w:pPr>
        <w:keepNext/>
        <w:spacing w:after="100"/>
      </w:pPr>
      <w:r>
        <w:rPr>
          <w:b/>
          <w:bCs/>
        </w:rPr>
        <w:t xml:space="preserve">Lo que creemos nosotros.</w:t>
      </w:r>
    </w:p>
    <w:p>
      <w:pPr>
        <w:spacing w:after="100"/>
      </w:pPr>
      <w:r>
        <w:t xml:space="preserve">La capacidad de +50 % se llena en 2027 (+45 % de ventas), pero 2028 crece un 15 % y el ciclo madura: BPA de 198,90 TWD en 2028e, un 43 % por debajo del consenso, y margen EBITDA hacia el 40 % a largo plazo por la competencia.</w:t>
      </w:r>
    </w:p>
    <w:p>
      <w:pPr>
        <w:keepNext/>
        <w:spacing w:after="100"/>
      </w:pPr>
      <w:r>
        <w:rPr>
          <w:b/>
          <w:bCs/>
        </w:rPr>
        <w:t xml:space="preserve">Por qué podemos tener razón.</w:t>
      </w:r>
    </w:p>
    <w:p>
      <w:pPr>
        <w:spacing w:after="100"/>
      </w:pPr>
      <w:r>
        <w:t xml:space="preserve">El consenso necesita que Hon tenga el 22 % de todo el mercado de equipos de prueba en 2028, 2,3 veces su cuota de hoy, y triplicar la capacidad de 2026 cuando solo ha anunciado +50 %; la historia de los equipos de prueba (2023: −29,6 % de ventas para Hon) dice que los ciclos de inversión no duran cinco años seguidos.</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TWD) · precio actual 5.20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7.101,52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2.167,56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Líder en la prueba de chips de IA</w:t>
      </w:r>
      <w:r>
        <w:t xml:space="preserve">: ≈90 % de la prueba final de IA y ≈30 % de los manipuladores según la prensa [9].</w:t>
      </w:r>
    </w:p>
    <w:p>
      <w:pPr>
        <w:pStyle w:val="ListParagraph"/>
        <w:numPr>
          <w:ilvl w:val="0"/>
          <w:numId w:val="2"/>
        </w:numPr>
        <w:spacing w:after="60"/>
      </w:pPr>
      <w:r>
        <w:rPr>
          <w:b/>
        </w:rPr>
        <w:t xml:space="preserve">Rentabilidad excepcional</w:t>
      </w:r>
      <w:r>
        <w:t xml:space="preserve">: margen operativo del 49,7 % y ROIC del 245,6 % en 2025.</w:t>
      </w:r>
    </w:p>
    <w:p>
      <w:pPr>
        <w:pStyle w:val="ListParagraph"/>
        <w:numPr>
          <w:ilvl w:val="0"/>
          <w:numId w:val="2"/>
        </w:numPr>
        <w:spacing w:after="60"/>
      </w:pPr>
      <w:r>
        <w:rPr>
          <w:b/>
        </w:rPr>
        <w:t xml:space="preserve">Balance sin riesgo</w:t>
      </w:r>
      <w:r>
        <w:t xml:space="preserve">: caja neta de 56.036 M TWD (≈6 % de la capitalización) y ninguna deuda [3].</w:t>
      </w:r>
    </w:p>
    <w:p>
      <w:pPr>
        <w:pStyle w:val="ListParagraph"/>
        <w:numPr>
          <w:ilvl w:val="0"/>
          <w:numId w:val="2"/>
        </w:numPr>
        <w:spacing w:after="60"/>
      </w:pPr>
      <w:r>
        <w:rPr>
          <w:b/>
        </w:rPr>
        <w:t xml:space="preserve">Crecimiento visible a corto plazo</w:t>
      </w:r>
      <w:r>
        <w:t xml:space="preserve">: ventas de enero-septiembre +94 % y capacidad llena hasta final de 2026 [1, 6].</w:t>
      </w:r>
    </w:p>
    <w:p>
      <w:pPr>
        <w:pStyle w:val="ListParagraph"/>
        <w:numPr>
          <w:ilvl w:val="0"/>
          <w:numId w:val="2"/>
        </w:numPr>
        <w:spacing w:after="60"/>
      </w:pPr>
      <w:r>
        <w:rPr>
          <w:b/>
        </w:rPr>
        <w:t xml:space="preserve">Más barata que sus pares</w:t>
      </w:r>
      <w:r>
        <w:t xml:space="preserve">: 27,0x el BPA de los próximos doce meses frente a 36,8x de mediana del grupo.</w:t>
      </w:r>
    </w:p>
    <w:p>
      <w:pPr>
        <w:pStyle w:val="Heading2"/>
      </w:pPr>
      <w:r>
        <w:t xml:space="preserve">En contra</w:t>
      </w:r>
    </w:p>
    <w:p>
      <w:pPr>
        <w:pStyle w:val="ListParagraph"/>
        <w:numPr>
          <w:ilvl w:val="0"/>
          <w:numId w:val="2"/>
        </w:numPr>
        <w:spacing w:after="60"/>
      </w:pPr>
      <w:r>
        <w:rPr>
          <w:b/>
        </w:rPr>
        <w:t xml:space="preserve">El precio exige un crecimiento sin precedente</w:t>
      </w:r>
      <w:r>
        <w:t xml:space="preserve">: 27,3 % anual hasta 2035 según el DCF inverso, frente a nuestro 8,6 %.</w:t>
      </w:r>
    </w:p>
    <w:p>
      <w:pPr>
        <w:pStyle w:val="ListParagraph"/>
        <w:numPr>
          <w:ilvl w:val="0"/>
          <w:numId w:val="2"/>
        </w:numPr>
        <w:spacing w:after="60"/>
      </w:pPr>
      <w:r>
        <w:rPr>
          <w:b/>
        </w:rPr>
        <w:t xml:space="preserve">Valor intrínseco muy por debajo del precio</w:t>
      </w:r>
      <w:r>
        <w:t xml:space="preserve">: 3.113,43 TWD, un 40,2 % menos.</w:t>
      </w:r>
    </w:p>
    <w:p>
      <w:pPr>
        <w:pStyle w:val="ListParagraph"/>
        <w:numPr>
          <w:ilvl w:val="0"/>
          <w:numId w:val="2"/>
        </w:numPr>
        <w:spacing w:after="60"/>
      </w:pPr>
      <w:r>
        <w:rPr>
          <w:b/>
        </w:rPr>
        <w:t xml:space="preserve">Concentración</w:t>
      </w:r>
      <w:r>
        <w:t xml:space="preserve">: 77 % de los pedidos en IA, HPC y ASIC de cuatro o cinco diseñadoras [6].</w:t>
      </w:r>
    </w:p>
    <w:p>
      <w:pPr>
        <w:pStyle w:val="ListParagraph"/>
        <w:numPr>
          <w:ilvl w:val="0"/>
          <w:numId w:val="2"/>
        </w:numPr>
        <w:spacing w:after="60"/>
      </w:pPr>
      <w:r>
        <w:rPr>
          <w:b/>
        </w:rPr>
        <w:t xml:space="preserve">Ciclo</w:t>
      </w:r>
      <w:r>
        <w:t xml:space="preserve">: en 2023 las ventas cayeron un 29,6 % y la empresa amplía capacidad un 50 % en lo alto del ciclo [2, 6].</w:t>
      </w:r>
    </w:p>
    <w:p>
      <w:pPr>
        <w:pStyle w:val="ListParagraph"/>
        <w:numPr>
          <w:ilvl w:val="0"/>
          <w:numId w:val="2"/>
        </w:numPr>
        <w:spacing w:after="60"/>
      </w:pPr>
      <w:r>
        <w:rPr>
          <w:b/>
        </w:rPr>
        <w:t xml:space="preserve">Historia corta y poca información</w:t>
      </w:r>
      <w:r>
        <w:t xml:space="preserve">: dos cierres cotizados, sin acceso a MOPS ni al informe anual; bajista a 12 meses de −71,5 %.</w:t>
      </w:r>
    </w:p>
    <w:p>
      <w:pPr>
        <w:pStyle w:val="Heading2"/>
      </w:pPr>
      <w:r>
        <w:t xml:space="preserve">Qué tiene que pasar para que la tesis funcione</w:t>
      </w:r>
    </w:p>
    <w:p>
      <w:pPr>
        <w:spacing w:after="100"/>
      </w:pPr>
      <w:r>
        <w:t xml:space="preserve">La tesis depende de que la inversión en IA siga creciendo en 2027-2028 lo bastante para llenar +50 % de capacidad sin bajar precios. La señal de que no se cumple: ventas mensuales por debajo del mismo mes del año anterior dos meses seguidos, anticipos de clientes que siguen bajando con existencias al alza, o margen bruto por debajo del 52 % sin partidas únicas.</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mensuales (interanual)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+100,2 % (septiembre de 2026)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0 % dos meses seguidos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señal del fin del ciclo.</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 trimestral</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56,1 %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del 52 % sin partidas únicas</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Competencia o mezcla peor.</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Anticipos de clientes (pasivos de contrato)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3.947 M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Por debajo de 3.000 M con existencias al alza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cartera de pedidos firme.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anunciada para 2027</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Recorte o aplazamiento</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el base del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Participación del consejo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36,58 %</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Cualquier bajada</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Ventas de quien mejor conoce la empresa.</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43,7x / 20,7x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51,6x / 27,0x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43,9x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21,24x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0,9 %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(2022-2025)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48,6 %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10,7 %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 · -2,2x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(3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Hon. Precision nace en 1999 en Taichung, cuando Hsieh Min-ta (謝旼達), ingeniero mecánico y fundador de Taiwan Sichin (暹勁), monta con Chang-Chien Jung-li y Weng Te-kuei un fabricante de manipuladores de prueba para chips de consumo (buscapersonas, teléfonos inalámbricos, mascotas electrónicas) de diseñadoras taiwanesas [9]. En 2015 la sociedad actual, Hon. Precision Inc., asume el negocio [9, 18]. El salto viene del control térmico activo (ATC): enfriar y calentar el chip durante la prueba, que los procesadores de IA de varios kilovatios necesitan [8]. Cotiza en el mercado emergente desde octubre de 2024 y en la Bolsa de Taiwán desde el 27-nov-2025, a 1.495 TWD en la oferta y 2.940 al cierre del primer día [9, 19]. El control sigue en manos del fundador y sus sociedades.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1999</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equipo de Hsieh Min-ta deja Taiwan Sichin y funda la empresa de manipuladores de prueba en Taichung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Hon. Precision Inc. (sociedad actual, constituida el 23-abr-2015) asume el negocio principal [9, 18].</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13.469 M TWD con el ciclo de chips de 2021-22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Caída de ventas del 29,6 % en el ajuste de inventarios de semiconductores [2].</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Entra en el mercado emergente (興櫃) en octubre; los pedidos de IA llevan las ventas a +47 % [2, 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en la Bolsa de Taiwán el 27 de noviembre (1.495 TWD; 34.466 M captados) y ventas de 30.271 M (+116 %) [2, 19].</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Entra en el MSCI Taiwán (febrero); compra la planta de Dasheng y empieza la obra de Longshan; control térmico de 10 kW y herramienta para CPO desde octubre [6, 20].</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Hon. Precision diseña y fabrica manipuladores (handlers) para la prueba de chips ya encapsulados: la máquina toma cada chip, lo coloca en el zócalo del equipo de prueba (de Advantest o Teradyne), lo mantiene a la temperatura exigida y lo clasifica según el resultado [8, 9]. Vende cinco familias: prueba final (FT), prueba de sistema (SLT), tres temperaturas para automóvil, memoria y oblea [8, 11]. Su ventaja es el control térmico activo (ATC), que hoy disipa hasta 4 kW con refrigeración líquida de microcanales y pasa a 10 kW en las máquinas de octubre de 2026 [6, 8]. Los compradores directos son subcontratistas de prueba (KYEC, ASE, SPIL, Powertech) y fabricantes integrados; los que eligen la máquina son las diseñadoras: Nvidia, AMD, Google, AWS, Qualcomm, Broadcom, MediaTek y Apple [9]. Fabrica en Taichung (tres plantas, 59.300 m²), con filiales en EE. UU. y Suzhou y servicio técnico en Singapur, Japón, Corea y el sudeste asiático [8].</w:t>
      </w:r>
    </w:p>
    <w:p>
      <w:pPr>
        <w:pStyle w:val="Heading2"/>
      </w:pPr>
      <w:r>
        <w:t xml:space="preserve">Cómo gana dinero</w:t>
      </w:r>
    </w:p>
    <w:p>
      <w:pPr>
        <w:spacing w:after="100"/>
      </w:pPr>
      <w:r>
        <w:t xml:space="preserve">Vende máquinas: el ingreso es la venta de equipos más repuestos, kits de cambio y servicio sobre una base instalada de más de 25.000 unidades [8]. Con más de 2.000 máquinas vendidas en 2025 y 30.271 M TWD de ventas, el precio medio ronda los 15 M TWD por máquina (estimación propia), y sube con la potencia térmica: la dirección espera al menos +20 % en las de 10 kW [6, 9]. El margen bruto (56,5 % en 2025, objetivo del 55-60 %) depende de la mezcla: las máquinas de IA y HPC dejan más que las de China, móvil o consumo [6, 7]. Los gastos de explotación son pequeños (6,8 % de las ventas), así que el apalancamiento operativo es alto: el margen operativo pasó de 39,7 % en 2023 a 49,7 % en 2025 [2]. No hay ingresos recurrentes contratados: las ventas siguen la inversión de los subcontratistas, que es cíclica (2023: −29,6 %) [2].</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68"/>
        <w:gridCol w:w="1320"/>
        <w:gridCol w:w="1320"/>
        <w:gridCol w:w="1320"/>
        <w:gridCol w:w="1188"/>
        <w:gridCol w:w="1322"/>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w:t>
            </w:r>
          </w:p>
        </w:tc>
        <w:tc>
          <w:tcPr>
            <w:tcW w:type="dxa" w:w="132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 de margen</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Equipos de prueba de semiconductores (manipuladores FT/SLT y control térmico activo)</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30.271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49,7 %</w:t>
            </w:r>
          </w:p>
        </w:tc>
        <w:tc>
          <w:tcPr>
            <w:tcW w:type="dxa" w:w="132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EBIT</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427"/>
        <w:gridCol w:w="1302"/>
        <w:gridCol w:w="1302"/>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2022</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2023</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Equipos de prueba de semiconductores (manipuladores FT/SLT y control térmico activo)</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13.469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9.489</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13.992</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No hay porcentajes por cliente publicados en las fuentes accesibles (el informe anual y el folleto, en MOPS, no se han podido abrir). La concentración se ve por otras vías: el 77 % de los pedidos del 1S26 son de IA, HPC y ASIC, es decir, de cuatro o cinco diseñadoras (Nvidia, Google, AWS, AMD, Broadcom) [6, 9]; por región, en el 1S25 EE. UU. pesaba el 52 %, China el 24 % y Taiwán el 15 % [8]. Los compradores directos son pocos subcontratistas: ASE Singapore anunció compras a Hon de 40,9 M USD entre diciembre de 2025 y septiembre de 2026 [10]. La prensa estima una cuota de ≈90 % en la prueba final de chips de IA [9]. Poder de precios demostrado: el margen bruto subió de 46,3 % en 2022 a 56,5 % en 2025 con costes al alza, y la dirección espera +20 % de precio medio en la nueva generación [2, 6].</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Ventas mensuales (M TWD)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5.219 (agosto 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5.729 (septiembre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 mensual; +100,2 % interanual</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Enero-septiembre de 2026: 40.713 M TWD, +94 % interanual; el 3T26 suma 16.194 M (+97,5 % interanual y +17,4 % sobre el 2T26) [1, 10].</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bruto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56,5 %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56,2 %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 de la empresa a largo plazo: 55-60 %. El 4T25 bajó a 52,3 % por un pago en acciones a empleados y más peso de China [6, 7].</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IA, HPC y ASIC en los pedidos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72 % (2025)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 pp</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Automóvil 9 %, procesadores de móvil 8 %, electrónica de consumo 5 %, memoria 1 % (pedidos del 1S26)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Envíos trimestrales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≈550-580 (2S25)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≈680 previstos a final de 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Más de 2.000 máquinas vendidas en 2025; base instalada de más de 25.000 [8, 9].</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 del control térmico (ATC)</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 kW</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hasta 10 kW (envíos desde 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dirección espera un precio medio al menos un 20 % mayor en las máquinas de 10 kW para encapsulados de más de 120 × 150 mm [6].</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Capacidad de producción</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llena hasta final de 2026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 objetivo para 2027</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Tres vías: planta de Dasheng (+15 %), fabricación con socios en Changshu, China (+20 %) y mejora de la sede (+15 %) [6].</w:t>
            </w:r>
          </w:p>
        </w:tc>
      </w:tr>
    </w:tbl>
    <w:p>
      <w:pPr>
        <w:spacing w:after="160" w:before="0"/>
      </w:pPr>
    </w:p>
    <w:p>
      <w:pPr>
        <w:pStyle w:val="Heading1"/>
      </w:pPr>
      <w:r>
        <w:t xml:space="preserve">3. Sector y mercado</w:t>
      </w:r>
    </w:p>
    <w:p>
      <w:pPr>
        <w:pStyle w:val="Confianza"/>
        <w:spacing w:after="100"/>
      </w:pPr>
      <w:r>
        <w:t xml:space="preserve">Confianza: Media</w:t>
      </w:r>
    </w:p>
    <w:p>
      <w:pPr>
        <w:spacing w:after="100"/>
      </w:pPr>
      <w:r>
        <w:t xml:space="preserve">El mercado relevante es el de equipos de prueba de semiconductores (back-end test) de SEMI: probadores (testers), manipuladores y equipos de prueba de obleas, en todo el mundo [11]. Hon solo vende manipuladores con control térmico, que la prensa sectorial taiwanesa sitúa en un 18 % de ese mercado [9]; se usa el total de SEMI como perímetro porque es el único con serie y previsión pública, y la cuota de Hon se mide sobre él (≈8 % en 2025). Con el perímetro estrecho (manipuladores), Hon tendría ≈30 % del total y ≈90 % de la prueba final de chips de IA según la prensa [9].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≈11.700 M USD en 2025 y 15.300 M USD en 2026e (equipos de prueba, SEMI) [11]; manipuladores ≈18 % (≈2.100 M USD en 2025) [9].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Expansión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21,2 %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5" name="Gráfico 5" descr="Tamaño del mercado (millones de TWD (equipos de prueba de SEMI a 32,6 TWD/USD)) · «e» = previsión"/>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Potencia de los chips de IA (GPU y ASIC) y tamaño del encapsulado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control térmico pasa de 3-4 kW a 10 kW y los encapsulados superan 120 × 150 mm; más tiempo de prueba y SLT obligatorio [6, 8].</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Inversión en centros de datos de IA de los grandes clientes de nube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SEMI eleva la prueba a +31 % en 2026 tras +55,3 % en 2025, «sobre todo por IA y HBM» [11].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Nuevas plantas de prueba en EE. UU., Singapur y Tailandia (CHIPS Act, cadena fuera de China)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Plantas de un gran subcontratista en EE. UU. y Singapur (1T27) y de un socio coreano en Arizona (2T27) citadas por la dirección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Sustitución local en China (IA de gama alta)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de IA de China +60 % y SLT de IA +80 % en el 1S26, pero expuestos a controles de exportación de EE. UU. [6].</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Chips de consumo, móvil y automóvil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 señala debilidad en consumo, automóvil e industria; para Hon, 22 % de los pedidos [6, 11].</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rivales con control térmico de alta potencia (Advantest, Cohu, Chroma en SLT, Techwing); Hon y Chroma se reparten la SLT de IA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Compran unos pocos subcontratistas (KYEC, ASE) y deciden cuatro o cinco diseñadoras de IA; 77 % de los pedidos de IA, HPC y ASIC [6,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Componentes mecánicos y de refrigeración estándar; margen bruto al alza (46,3 % → 56,5 %) [2].</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Hace falta la calificación en cada cliente y un servicio técnico permanente junto a sus plantas; 25.000 máquinas instaladas [8, 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prueba más temprana (oblea, burn-in) no sustituye la final ni la SLT en chips de varios kW; la CPO añade pasos de prueba [6].</w:t>
            </w:r>
          </w:p>
        </w:tc>
      </w:tr>
    </w:tbl>
    <w:p>
      <w:pPr>
        <w:spacing w:after="160" w:before="0"/>
      </w:pPr>
    </w:p>
    <w:p>
      <w:pPr>
        <w:pStyle w:val="Heading2"/>
      </w:pPr>
      <w:r>
        <w:t xml:space="preserve">Ciclo</w:t>
      </w:r>
    </w:p>
    <w:p>
      <w:pPr>
        <w:spacing w:after="100"/>
      </w:pPr>
      <w:r>
        <w:t xml:space="preserve">SEMI estima que los equipos de prueba crecieron un 55,3 % en 2025 y espera +31 % en 2026 y 20.800 M USD en 2028 [11]. Las ventas de Hon se multiplicaron por 2,2 en 2025 y crecen +94 % en enero-septiembre de 2026 [1, 2]. El ciclo es de inversión: en el último ajuste (2023) Hon perdió el 29,6 % de las ventas y los equipos de prueba de todo el sector cayeron con fuerza tras 2022 [2]. No hay datos de Hon para 2008-09 ni 2020. Estamos en la parte alta del ciclo de IA, con capacidad llena hasta final de 2026 [6].</w:t>
      </w:r>
    </w:p>
    <w:p>
      <w:pPr>
        <w:pStyle w:val="Heading2"/>
      </w:pPr>
      <w:r>
        <w:t xml:space="preserve">Regulación</w:t>
      </w:r>
    </w:p>
    <w:p>
      <w:pPr>
        <w:spacing w:after="100"/>
      </w:pPr>
      <w:r>
        <w:t xml:space="preserve">Tres frentes. Controles de exportación de EE. UU. a China: China es el 24 % de los clientes por región y crece en IA de gama alta; un endurecimiento que alcance a los equipos de prueba o a los clientes chinos de IA restaría ventas [6, 8]. Investigación de la Sección 301 de EE. UU. sobre Taiwán y aranceles a los semiconductores (citada por la prensa en marzo de 2026 como causa de la caída de la bolsa) [7]. La CHIPS Act empuja nuevas plantas de prueba en EE. UU., que son demanda nueva [6].</w:t>
      </w:r>
    </w:p>
    <w:p>
      <w:pPr>
        <w:pStyle w:val="Heading2"/>
      </w:pPr>
      <w:r>
        <w:t xml:space="preserve">Tendencias y disrupción</w:t>
      </w:r>
    </w:p>
    <w:p>
      <w:pPr>
        <w:spacing w:after="100"/>
      </w:pPr>
      <w:r>
        <w:t xml:space="preserve">La prueba gana peso con la IA: chips más grandes, más caros y más calientes exigen SLT y control térmico más potente, y el empaquetado avanzado (CoWoS, encapsulados de más de 120 × 150 mm) y la óptica integrada (CPO) añaden pasos de prueba [6, 11]. Hon gana con eso si mantiene la ventaja térmica; pierde si los probadores integran su propio control térmico (Advantest, que también vende manipuladores) o si los ASIC de los clientes de nube concentran la compra en un solo proveedor. La fabricación con socios en China (Changshu) abarata, pero expone la tecnología [6].</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Cuota de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 de los equipos de prueba de semiconductores en los últimos doce meses (estimación propia sobre SEMI); ≈30 % de los manipuladores FT y SLT y ≈90 % de la prueba final de chips de IA según la prensa [9, 11]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Estrecho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Advantest</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6857.T</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251.000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Líder en probadores; también vende manipuladores y control térmico. Grupo entero, últimos doce meses [12].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Teradyne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TER</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145.500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Probadores de semiconductores y robótica; socio de prueba, no rival directo en manipuladores [13].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Chroma ATE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Taiwán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2360.TW</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40.380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Rival directo en SLT de IA (se reparten el segmento con Hon según la prensa); grupo diversificado [9, 15].</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Cohu</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COHU</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Manipuladores, contactores y probadores (Delta, Rasco, Xcerra); expuesto a automóvil e industria, en pérdidas [14].</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AEM Holdings</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Singapur</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AWX.SI</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11.660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SLT con control térmico para un gran fabricante de CPU [17].</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Techwing</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Corea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089030.KQ</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4.550</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Manipuladores de memoria y SoC; entra en HBM [16].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8" name="Gráfico 8"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hay efecto de red entre clientes.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Cada máquina se califica con el cliente y el programa de prueba; 25.000 instaladas y servicio técnico permanente en la planta del cliente [2,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Control térmico activo propio (ATC 5,5 de 4 kW, 10 kW desde octubre de 2026) [3, 4].</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del 49,7 % frente al 45,7 % de Advantest, 36,8 % de Chroma y pérdidas de Cohu [5, 8, 7, 13].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Mercado de manipuladores de ≈2.100 M USD con tres o cuatro proveedores serios [1, 2].</w:t>
            </w:r>
          </w:p>
        </w:tc>
      </w:tr>
    </w:tbl>
    <w:p>
      <w:pPr>
        <w:spacing w:after="160" w:before="0"/>
      </w:pPr>
    </w:p>
    <w:p>
      <w:pPr>
        <w:pStyle w:val="Heading2"/>
      </w:pPr>
      <w:r>
        <w:t xml:space="preserve">Amenazas</w:t>
      </w:r>
    </w:p>
    <w:p>
      <w:pPr>
        <w:spacing w:after="100"/>
      </w:pPr>
      <w:r>
        <w:t xml:space="preserve">Tres amenazas, de más a menos probable. Primera, la competencia en SLT de IA: Chroma ya se reparte el segmento y Advantest puede integrar el control térmico con su probador; un cliente de nube que estandarice en otro proveedor quitaría volumen de golpe (probabilidad media) [9]. Segunda, la fabricación con socios en China (+20 % de capacidad) y la sustitución local, que pueden crear un rival chino con la misma tecnología (media-baja) [6]. Tercera, un cambio de arquitectura de prueba (más prueba en oblea o en módulo) que reduzca la prueba final por chip (baja).</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5.037</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14,99</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49,2 %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3.801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13.992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6.331</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5.286</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30.271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+116,3 %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56,5 %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15.115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15.046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12.362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75,54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21 %</w:t>
            </w:r>
          </w:p>
        </w:tc>
      </w:tr>
    </w:tbl>
    <w:p>
      <w:pPr>
        <w:spacing w:after="160" w:before="0"/>
      </w:pPr>
    </w:p>
    <w:p>
      <w:pPr>
        <w:spacing w:after="100"/>
      </w:pPr>
      <w:r>
        <w:t xml:space="preserve">Crecimiento anual compuesto 2022-2025: ingresos </w:t>
      </w:r>
      <w:r>
        <w:rPr>
          <w:b/>
          <w:bCs/>
        </w:rPr>
        <w:t xml:space="preserve">31,0 %</w:t>
      </w:r>
      <w:r>
        <w:t xml:space="preserve">, EBITDA </w:t>
      </w:r>
      <w:r>
        <w:rPr>
          <w:b/>
          <w:bCs/>
        </w:rPr>
        <w:t xml:space="preserve">44,2 %</w:t>
      </w:r>
      <w:r>
        <w:t xml:space="preserve">, BPA </w:t>
      </w:r>
      <w:r>
        <w:rPr>
          <w:b/>
          <w:bCs/>
        </w:rPr>
        <w:t xml:space="preserve">40,8 %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Ingresos y EBITDA (TW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10" name="Gráfico 10"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spacing w:after="100"/>
      </w:pPr>
      <w:r>
        <w:t xml:space="preserve">Las ventas pasaron de 13.469 M TWD en 2022 a 30.271 M en 2025 (+116 % en el último año), con una caída del 29,6 % en 2023, el año de ajuste de inventarios de chips [2]. Todo es crecimiento orgánico: no hay compras. El margen bruto subió de 46,3 % (2022) a 56,5 % (2025) por la mezcla de IA y HPC (máquinas con control térmico de más potencia y mayor precio) y el margen operativo de 37,2 % a 49,7 %, con gastos de explotación de solo el 6,8 % de las ventas en 2025 [2]. En los últimos doce meses a junio de 2026 las ventas suman 41.992 M y el margen operativo 48,4 % [2, 5]. El 4T25 (margen bruto 52,3 %) y el 2T26 (gastos de explotación de 1.050 M) llevan pagos en acciones a empleados que la empresa da por no recurrentes [6, 7]. El resultado financiero es positivo: intereses de la caja (317 M en 2025; 736 M en los últimos doce meses) y diferencias de cambio por las ventas en dólares (+222 M en 2025) [2].</w:t>
      </w:r>
    </w:p>
    <w:p>
      <w:pPr>
        <w:pStyle w:val="Heading2"/>
      </w:pPr>
      <w:r>
        <w:t xml:space="preserve">Ajustes y partidas no recurrentes</w:t>
      </w:r>
    </w:p>
    <w:p>
      <w:pPr>
        <w:spacing w:after="100"/>
      </w:pPr>
      <w:r>
        <w:t xml:space="preserve">Se usan cifras publicadas. El BPA de 2022 está en acciones de hoy (161 M diluidas); el dividendo de 2022 (51,08 TWD sobre 46,95 M acciones antes de la ampliación con cargo a reservas de 2023) se pasa a 14,99 TWD por acción de hoy (2.398 M pagados ÷ 160 M) [2, 4]. El dividendo de 2025 es de 65 TWD: 55 con cargo a beneficios y 10 con cargo a la prima de emisión de la salida a bolsa, que se trata como extraordinario [7]. En 2025 la remuneración en acciones (1.018 M) se dispara por la salida a bolsa; en el 2T26 se registró como gasto de una vez la diferencia entre el precio de mercado y el de coste de las acciones propias cedidas a empleados [4, 6]. No se ajustan: son pagos a empleados que pueden repetirse en otra forma. Las diferencias de cambio (+652 M en 2022, +222 M en 2025) entran en el resultado financiero y no se proyectan.</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62"/>
        <w:gridCol w:w="1220"/>
        <w:gridCol w:w="1220"/>
        <w:gridCol w:w="1220"/>
        <w:gridCol w:w="1220"/>
        <w:gridCol w:w="1220"/>
        <w:gridCol w:w="976"/>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3.582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+115,1 %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7,23</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12,16</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5.913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+128,7 %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3.660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8.198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+128,9 %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4.183</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22,34</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9.276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22,02</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5.385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25,67</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13.794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6.711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48,7 %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30,41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Lo que dijo la dirección en las últimas presentaciones</w:t>
      </w:r>
    </w:p>
    <w:p>
      <w:pPr>
        <w:spacing w:after="100"/>
      </w:pPr>
      <w:r>
        <w:t xml:space="preserve">En la conferencia del 30-jul-2026 (director general Weng Te-kuei y directora financiera Chen Ke-hsin) la dirección dijo que la capacidad está llena hasta final de 2026 y que ya planifica el 1T27, con el objetivo de subir la capacidad un 50 % en 2027: nueva planta de Dasheng (+15 %), fabricación con socios en Changshu, China (+20 %) y mejora de la sede (+15 %) [6]. Los pedidos de IA, HPC y ASIC pesan el 77 % (72 % en 2025); los de IA de gama alta en China crecen más del 60 % y los de SLT de IA en China más del 80 % [6]. Anunció envíos en volumen a los subcontratistas de un cliente de TPU en Taiwán y Singapur en el 2S26 con visibilidad de «varios cientos de unidades» para el 1S27, una máquina para encapsulados de más de 120 × 150 mm con control térmico de hasta 10 kW desde octubre (precio medio al menos +20 %) y una herramienta de prueba óptico-eléctrica para CPO con envíos desde octubre a un gran cliente de EE. UU. [6]. Frente a la conferencia previa a la salida a bolsa (27-oct-2025: capacidad llena dos trimestres, ≈580 máquinas por trimestre) el discurso pasó de «capacidad» a «precio medio y nuevos productos» [8]. No dio guía numérica de ventas ni de margen, más allá del objetivo de margen bruto del 55-60 % [6]. La dirección presenta como única los gastos del 2T26 por la cesión de acciones propias a empleados [6].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58"/>
        <w:gridCol w:w="1064"/>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16.435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6.859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11.654</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16.877</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9.496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-9.489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12.315</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21.866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8.043</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-7.875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13.732</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73.270</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5.583</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54.226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-54.169</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58.031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38"/>
        <w:gridCol w:w="1472"/>
        <w:gridCol w:w="1338"/>
        <w:gridCol w:w="1338"/>
        <w:gridCol w:w="1338"/>
        <w:gridCol w:w="1472"/>
        <w:gridCol w:w="134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pago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Ciclo de caja (días)</w:t>
            </w:r>
          </w:p>
        </w:tc>
        <w:tc>
          <w:tcPr>
            <w:tcW w:type="dxa" w:w="1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Liquidez corriente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41,3 %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2,4x</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18,4 %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292</w:t>
            </w:r>
          </w:p>
        </w:tc>
        <w:tc>
          <w:tcPr>
            <w:tcW w:type="dxa" w:w="1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4,7x</w:t>
            </w:r>
          </w:p>
        </w:tc>
      </w:tr>
    </w:tbl>
    <w:p>
      <w:pPr>
        <w:spacing w:after="160" w:before="0"/>
      </w:pPr>
    </w:p>
    <w:p>
      <w:pPr>
        <w:pStyle w:val="Nota"/>
        <w:spacing w:after="100"/>
      </w:pPr>
      <w:r>
        <w:t xml:space="preserve">Días de inventario y de pago calculados sobre el coste de ventas.</w:t>
      </w:r>
    </w:p>
    <w:p>
      <w:pPr>
        <w:keepNext w:val="false"/>
        <w:spacing w:after="160" w:before="120"/>
        <w:jc w:val="center"/>
      </w:pPr>
      <w:r>
        <w:drawing>
          <wp:inline xmlns:wp="http://schemas.openxmlformats.org/drawingml/2006/wordprocessingDrawing" distT="0" distB="0" distL="0" distR="0">
            <wp:extent cx="5760000" cy="2340000"/>
            <wp:effectExtent l="0" t="0" r="0" b="0"/>
            <wp:docPr id="1012" name="Gráfico 12"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La salida a bolsa de noviembre de 2025 (34.466 M de ampliación) multiplicó la caja: de 8.043 M en 2024 a 54.226 M en 2025 [3, 4]. El circulante comercial (existencias + clientes − proveedores − anticipos) fue el 18 % de las ventas en 2025, pero el 35 % de las ventas de los últimos doce meses a junio de 2026: las existencias pasaron de 12.641 a 16.683 M y los clientes de 2.935 a 7.723 M, mientras los anticipos bajaban de 6.591 a 3.947 M [3]. Es el patrón de una empresa que fabrica para entregar en 1-2 trimestres con un salto de pedidos; en 2022-2024 el circulante estuvo entre el 22 % y el 41 % de las ventas.</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19,20</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3.068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13,37</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15.893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12.362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4,2x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Flujo de caja libre frente a beneficio net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t xml:space="preserve">Acumulado 2022-2025: FCF </w:t>
      </w:r>
      <w:r>
        <w:rPr>
          <w:b/>
          <w:bCs/>
        </w:rPr>
        <w:t xml:space="preserve">26.194</w:t>
      </w:r>
      <w:r>
        <w:t xml:space="preserve">, conversión </w:t>
      </w:r>
      <w:r>
        <w:rPr>
          <w:b/>
          <w:bCs/>
        </w:rPr>
        <w:t xml:space="preserve">104 %</w:t>
      </w:r>
      <w:r>
        <w:t xml:space="preserve"> del beneficio neto; adquisiciones 0, dividendos 11.233, recompras 21.</w:t>
      </w:r>
    </w:p>
    <w:p>
      <w:pPr>
        <w:spacing w:after="100"/>
      </w:pPr>
      <w:r>
        <w:t xml:space="preserve">La conversión del beneficio en caja es irregular porque el circulante se mueve con los pedidos: flujo operativo de 2.308 M en 2024 (44 % del beneficio, por +4.243 M de existencias) y de 16.186 M en 2025 (131 %, por +4.194 M de anticipos de clientes y 1.018 M de pagos en acciones) [4]. En los últimos doce meses a junio de 2026 fue de 10.322 M (59 % del beneficio), con −5.440 M de existencias, −5.123 M de clientes y −2.220 M de anticipos [4]. La inversión es pequeña: 0,9-3,0 % de las ventas hasta 2025; en los últimos doce meses sube a 1.448 M (3,4 %) por la compra del terreno y la planta de Dasheng y la obra de Longshan, que es inversión de crecimiento (estimación propia: el mantenimiento no pasa de 0,3 % de las ventas, el nivel de la amortización) [4, 6].</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Deloitte &amp; Touche Taiwán (勤業眾信), socios Huang Hui-min y Shao Chih-ming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39,25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segura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 / 9</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Intermedio (4-6).</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Beneish M</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−1,78: sin señal de manipulación.</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No</w:t>
            </w:r>
          </w:p>
        </w:tc>
      </w:tr>
    </w:tbl>
    <w:p>
      <w:pPr>
        <w:spacing w:after="160" w:before="0"/>
      </w:pPr>
    </w:p>
    <w:p>
      <w:pPr>
        <w:pStyle w:val="Heading2"/>
      </w:pPr>
      <w:r>
        <w:t xml:space="preserve">Ajustes, criterios contables y remuneración en acciones</w:t>
      </w:r>
    </w:p>
    <w:p>
      <w:pPr>
        <w:spacing w:after="100"/>
      </w:pPr>
      <w:r>
        <w:t xml:space="preserve">No se han podido leer el informe anual ni las notas (MOPS y la web de la empresa bloqueados), así que la lectura es de las cifras agregadas de S&amp;P Global y de la ficha de la Bolsa de Taiwán, que cuadran entre sí [1, 2]. Tres partidas merecen atención. Primera, los pagos en acciones a empleados: 1.018 M en 2025 (3,4 % de las ventas) y un gasto de una vez en el 2T26 por ceder acciones propias por debajo del precio de mercado; la empresa los presenta como no recurrentes, pero en Taiwán el reparto a empleados es estructural [4, 6]. Segunda, las diferencias de cambio (hasta +652 M en 2022, el 11 % del beneficio antes de impuestos) por vender en dólares; no se proyectan [2]. Tercera, el circulante de los últimos doce meses (existencias +32 % y clientes ×2,6 en seis meses) con anticipos de clientes a la baja: es coherente con el salto de ventas, pero hay que vigilar que el flujo operativo se recupere en el 2S26 [3, 4]. El tipo impositivo efectivo (20,4-23,3 %) es el normal en Taiwán [2]. Los indicadores del motor (Altman, Piotroski, Beneish) se leen con cuidado: la caja de la salida a bolsa infla el Altman Z y el salto de clientes puede mover el Beneish M.</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Clientes y existencias que crecen más que las ventas en el 1S26</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de 2.935 a 7.723 M y existencias de 12.641 a 16.683 M entre diciembre y junio, con ventas del 2T26 un 49 % por encima del 4T25 [3, 5]. Se explica por el salto de entregas y por el calendario de cobros a subcontratistas, pero baja el flujo operativo.</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Pagos en acciones presentados como no recurrentes</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4T25 y 2T26: la empresa los aísla; el informe no los ajusta [6,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Sin acceso a las notas del informe anual</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se han podido comprobar partes vinculadas, concentración de clientes, garantías ni contingencias en la fuente primaria.</w:t>
            </w:r>
          </w:p>
        </w:tc>
      </w:tr>
    </w:tbl>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94"/>
        <w:gridCol w:w="985"/>
        <w:gridCol w:w="985"/>
        <w:gridCol w:w="985"/>
        <w:gridCol w:w="1095"/>
        <w:gridCol w:w="1095"/>
        <w:gridCol w:w="1095"/>
        <w:gridCol w:w="1204"/>
      </w:tblGrid>
      <w:tr>
        <w:trPr>
          <w:cantSplit/>
          <w:tblHeader/>
        </w:trPr>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9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4.809</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77,9 %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0,57x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3.817</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27,3 %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0,72x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4.341</w:t>
            </w:r>
          </w:p>
        </w:tc>
      </w:tr>
      <w:tr>
        <w:trPr>
          <w:cantSplit/>
        </w:trPr>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245,6 %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34,5 %</w:t>
            </w:r>
          </w:p>
        </w:tc>
        <w:tc>
          <w:tcPr>
            <w:tcW w:type="dxa" w:w="9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40,8 %</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0,64x</w:t>
            </w:r>
          </w:p>
        </w:tc>
        <w:tc>
          <w:tcPr>
            <w:tcW w:type="dxa" w:w="1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1,33x</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4.860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4" name="Gráfico 14"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Fondo de comercio y compras</w:t>
      </w:r>
    </w:p>
    <w:p>
      <w:pPr>
        <w:spacing w:after="100"/>
      </w:pPr>
      <w:r>
        <w:t xml:space="preserve">Fondo de comercio: 0 M en 2025 (el 0 % del capital invertido medio); ha subido más de un 5 % en 0 de 3 años: sin compras. Sin compras relevantes: el publicado ya es el ROIC del negocio.</w:t>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10,7 %.</w:t>
      </w:r>
    </w:p>
    <w:p>
      <w:pPr>
        <w:spacing w:after="100"/>
      </w:pPr>
      <w:r>
        <w:t xml:space="preserve">Crea mucho valor: el ROIC pasó del 79,9 % en 2022 al 245,6 % en 2025, frente a un WACC del 10,67 %, porque el capital invertido sin caja es pequeño (4.860 M en 2025: inmovilizado de 2.163 M y circulante neto de anticipos) y el beneficio operativo después de impuestos fue de 11.935 M. Lo mueve el margen (40,8 % neto en 2025) más que la rotación: el ROE es «solo» del 34,5 % porque la caja de la salida a bolsa (54.226 M) infla el patrimonio. El ROIC incremental no es significativo (el capital invertido apenas crece mientras el beneficio se multiplica). Frente a los comparables, el ROIC de Advantest es del 67,8 % y el de Chroma del 51,4 % [12, 15]. Con cualquier medida, ROIC − WACC supera de lejos los 5 puntos; la duda no es la rentabilidad del capital sino cuánto dura el beneficio.</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-55.946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Pasivos asimilables a deuda (pensiones y otros)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11.695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-44.251 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e inversiones a corto de 56.036 M TWD a 30-jun-2026 sin deuda financiera; 11.695 M salieron en agosto con el dividendo de 65 TWD por acción [3, 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Rating</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Sin rating</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5" name="Gráfico 15"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Covenants, pasivos fuera de la deuda y contingencias</w:t>
      </w:r>
    </w:p>
    <w:p>
      <w:pPr>
        <w:spacing w:after="100"/>
      </w:pPr>
      <w:r>
        <w:t xml:space="preserve">Sin deuda financiera desde 2025 (157 M de préstamo a corto en 2024, devuelto) y arrendamientos de 90 M a junio de 2026 [3]. Los anticipos de clientes (pasivos de contrato) eran 6.591 M a diciembre de 2025 y 3.947 M a junio de 2026: se compensan con entregas de máquinas, así que son circulante y no van al puente [3]. A junio de 2026 «otros pasivos corrientes» suben a 12.258 M por el dividendo aprobado en junio (65 TWD × 179,93 M acciones = 11.695 M), pagado en agosto tras el corte de cupón del 30 de julio: va restado en el puente [3, 7]. Impuesto sobre beneficios a pagar de 2.565 M [3]. Sin pensiones de prestación definida relevantes ni litigios conocidos (sin acceso a las notas del informe anual).</w:t>
      </w:r>
    </w:p>
    <w:p>
      <w:pPr>
        <w:pStyle w:val="Heading1"/>
      </w:pPr>
      <w:r>
        <w:t xml:space="preserve">12. Asignación de capital</w:t>
      </w:r>
    </w:p>
    <w:p>
      <w:pPr>
        <w:pStyle w:val="Confianza"/>
        <w:spacing w:after="100"/>
      </w:pPr>
      <w:r>
        <w:t xml:space="preserve">Confianza: Media</w:t>
      </w:r>
    </w:p>
    <w:p>
      <w:pPr>
        <w:spacing w:after="100"/>
      </w:pPr>
      <w:r>
        <w:t xml:space="preserve">Dividendo alto y en efectivo: reparto del 75,9 % del beneficio de 2024 (22,5 TWD) y del 85,9 % del de 2025 (65 TWD, de los que 10 con cargo a la prima de emisión de la salida a bolsa) [1, 7]. Sin recompras salvo 21 M de acciones propias en 2025, cedidas a empleados en el 2T26 [4, 6]. La caja sobrante se invierte en renta fija a través de la filial Top Vintage International (anuncios de compra de bonos en agosto y septiembre de 2026) [10]. Prioridades declaradas: capacidad (planta de Dasheng, obra de Longshan, fabricación con socios en China) [6].</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251"/>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3.092</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399</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15.893</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34.466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6" name="Gráfico 16" descr="Usos de la caja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spacing w:after="100"/>
      </w:pPr>
      <w:r>
        <w:t xml:space="preserve">No ha comprado empresas: todo el crecimiento es propio. La salida a bolsa de noviembre de 2025 captó 34.466 M TWD a 1.495 TWD por acción, con una dilución del 11 % (de 161,6 a 179,93 M acciones), cuando la empresa no necesitaba la caja: a diciembre de 2025 tenía 54.226 M y ninguna deuda, el 75 % de su activo [3, 4]. Con un ROIC operativo muy alto (el capital invertido sin caja es de unos 4.000-10.000 M frente a un beneficio operativo de más de 15.000 M), cada lira reinvertida en capacidad rinde mucho; el riesgo es el contrario: ampliar capacidad un 50 % en 2027 al final de una subida de ventas de cuatro veces en tres años [2, 6].</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63"/>
        <w:gridCol w:w="1527"/>
        <w:gridCol w:w="705"/>
        <w:gridCol w:w="940"/>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9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Hsieh Min-ta (謝旼達)</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fundador</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17,37 %</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Ingeniero mecánico (Taipei Tech), fundador de Taiwan Sichin, cuya máquina de colocar chips llegó a ≈80 % de los subcontratistas de prueba; funda Hon en 1999 [9]. Representa en el consejo a Hongmin Development (鴻旼開發), con 31,25 M acciones (17,37 %) [21]. Bajo su presidencia las ventas pasaron de 9.489 M TWD en 2023 a 30.271 M en 2025 [4].</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Weng Te-kuei (翁德奎)</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 general</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con experiencia en plantas de encapsulado y prueba; vicepresidente ejecutivo sénior hasta 2025 y director general en 2026; presenta los resultados [6, 8,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Chang-Chien Jung-li (張簡榮力)</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(director general hasta 2025-26)</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1999</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Cofundador procedente del software de juegos para PC; la prensa lo citaba como director general en enero de 2026 [9].</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Chen Ke-hsin (陳可欣)</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Directora financiera y portavoz</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Portavoz ante la bolsa y responsable financiera en las conferencias de 2026 [6, 8].</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Chao Chen-ming (趙振明)</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Vicepresidente comercial y portavoz suplente</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9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Responsable de ventas desde los primeros años [9, 19].</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llena los dos trimestres siguientes y alta visibilidad del 1S26 (conferencia previa a la salida a bolsa, 27-oct-2025)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1S26 de 24.519 M TWD (+92 %), capacidad llena</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Envíos de ≈680 máquinas por trimestre a final de 2026 y capacidad +40 % en 2026 (oct-2025)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Capacidad llena y objetivo de +40 % ampliable (jul-2026); ventas del 3T26 de 16.194 M (+97,5 %)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Equipo de fundadores estable desde 1999: el presidente controla la empresa a través de sus sociedades y los dos cofundadores siguen en la dirección [9, 21]. La empresa no da guía numérica de ventas ni de beneficio, solo de capacidad y margen bruto (55-60 %), y lo dicho en octubre de 2025 se ha cumplido [6, 8]. Hay una duda de sucesión: en 2026 cambió el director general (Weng sustituye a Chang-Chien, sin anuncio localizado), y todo el saber técnico se concentra en un equipo de fundadores de más de 50 años [9, 19]. Sin plan de sucesión publicado.</w:t>
      </w:r>
    </w:p>
    <w:p>
      <w:pPr>
        <w:pStyle w:val="Heading1"/>
      </w:pPr>
      <w:r>
        <w:t xml:space="preserve">14. Gobierno corporativo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33 %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 de 13 (3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57"/>
        <w:gridCol w:w="1900"/>
        <w:gridCol w:w="1493"/>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Hsieh Min-ta (por Hongmin Development, 鴻旼開發)</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Hongji Investment (鴻濟投資)</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(persona jurídica)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Hongcheng Investment (鴻城投資)</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(persona jurídica)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Laiyu Investment (萊宇投資)</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(persona jurídica)</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Li Yu-cheng (李友錚)</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Wu Tzu-sheng (吳梓生)</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Otro externo</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Weng Hui-chu (翁輝竹)</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retribuciones (obligatorias en cotizadas de Taiwán)</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Hsiao Yao-kuei (蕭耀貴)</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Auditoría y retribuciones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Cheng Chia-hui (鄭佳蕙)</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Consejera independiente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Independiente</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Auditoría y retribuciones</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33 %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 cambio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operaciones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Cumple</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Hongmin Development (鴻旼開發), sociedad del presidente Hsieh Min-ta</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Fundador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en el registro; el agregado del consejo se mantiene en 36,58 % desde diciembre de 2025 [21,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Hongji Investment (鴻濟投資)</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de inversión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[21,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Hongcheng Investment (鴻城投資)</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de inversión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[21,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Laiyu Investment (萊宇投資)</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Sociedad de inversión (consejero)</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Sin cambios [21,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Inversores extranjeros (agregado)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19,83 %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Institucional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 9,3 % al salir a bolsa (nov-2025) a 19,8 % (16-oct-2026) [23]</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All Ring Tech (萬潤, 6187)</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Antiguo accionista industrial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Vendió toda su participación en diciembre de 2025 (147,6 M TWD de plusvalía declarada) [24]</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8" name="Gráfico 18"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No se ha podido leer el informe anual (MOPS bloqueado), donde Taiwán publica la remuneración de consejeros y directivos por tramos. Lo que se sabe: la remuneración variable de los empleados es un porcentaje del beneficio antes de impuestos fijado en los estatutos (práctica obligatoria en Taiwán), pagado en efectivo o acciones, y la empresa ha usado planes de compra de acciones para empleados (1.018 M TWD de gasto en 2025) y la cesión de acciones propias por debajo del precio (2T26) [4, 8]. Premia beneficio, no rentabilidad sobre el capital ni rentabilidad para el accionista. La prensa cuenta que los primeros empleados tienen paquetes grandes de acciones [22].</w:t>
      </w:r>
    </w:p>
    <w:p>
      <w:pPr>
        <w:pStyle w:val="Heading2"/>
      </w:pPr>
      <w:r>
        <w:t xml:space="preserve">Operaciones vinculadas, estructura de control y defensas</w:t>
      </w:r>
    </w:p>
    <w:p>
      <w:pPr>
        <w:spacing w:after="100"/>
      </w:pPr>
      <w:r>
        <w:t xml:space="preserve">El presidente y fundador controla la junta: cuatro sociedades sentadas en el consejo suman 65,82 M acciones (36,58 %), y los diez primeros accionistas el 83,6 % [19, 21]. El agregado del consejo bajó de 40,73 % a 36,58 % con la ampliación de la salida a bolsa y no se ha movido desde diciembre de 2025, lo que indica que no ha habido ventas de consejeros [23]. Una acción, un voto; sin clases ni blindajes conocidos. El flotante real es pequeño (≈16 % fuera de los diez primeros), lo que explica en parte la volatilidad (67 % anual) y movimientos diarios de hasta el límite del 10 % [19, 25]. Tres consejeros independientes de nueve, con comisión de auditoría formada por ellos, como exige la ley de Taiwán.</w:t>
      </w:r>
    </w:p>
    <w:p>
      <w:pPr>
        <w:pStyle w:val="Heading2"/>
      </w:pPr>
      <w:r>
        <w:t xml:space="preserve">Señales de alerta</w:t>
      </w:r>
    </w:p>
    <w:p>
      <w:pPr>
        <w:pStyle w:val="ListParagraph"/>
        <w:numPr>
          <w:ilvl w:val="0"/>
          <w:numId w:val="2"/>
        </w:numPr>
        <w:spacing w:after="60"/>
      </w:pPr>
      <w:r>
        <w:t xml:space="preserve">Cambio de director general en 2026 (Weng Te-kuei sustituye al cofundador Chang-Chien Jung-li) sin anuncio localizado: hay que comprobarlo en MOPS [6, 9, 19].</w:t>
      </w:r>
    </w:p>
    <w:p>
      <w:pPr>
        <w:pStyle w:val="ListParagraph"/>
        <w:numPr>
          <w:ilvl w:val="0"/>
          <w:numId w:val="2"/>
        </w:numPr>
        <w:spacing w:after="60"/>
      </w:pPr>
      <w:r>
        <w:t xml:space="preserve">Accionariado muy concentrado (diez primeros: 83,6 %) y flotante pequeño: riesgo de colocaciones de bloques al vencer bloqueos de la salida a bolsa o de los empleados [19].</w:t>
      </w:r>
    </w:p>
    <w:p>
      <w:pPr>
        <w:pStyle w:val="ListParagraph"/>
        <w:numPr>
          <w:ilvl w:val="0"/>
          <w:numId w:val="2"/>
        </w:numPr>
        <w:spacing w:after="60"/>
      </w:pPr>
      <w:r>
        <w:t xml:space="preserve">Sin acceso a MOPS: no se han revisado operaciones vinculadas, sanciones ni pignoraciones en la fuente primaria.</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Media</w:t>
      </w:r>
    </w:p>
    <w:p>
      <w:pPr>
        <w:spacing w:after="100"/>
      </w:pPr>
      <w:r>
        <w:t xml:space="preserve">La empresa no publica guía numérica de ventas ni de beneficio. En la conferencia del 30-jul-2026 dijo que la capacidad está llena hasta final de 2026, que planifica ya el 1T27, que quiere subir la capacidad un 50 % en 2027 y que el margen bruto objetivo a largo plazo es del 55-60 % [6]. En octubre de 2025 había previsto pasar de ≈580 a ≈680 máquinas por trimestre a final de 2026 [8]. La última confirmación es la de julio; los resultados del 3T26 se esperan a primeros de noviembre (estimación: el 3T25 se aprobó en noviembre de 2025 y el plazo legal acaba el 14 de noviembre).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41"/>
        <w:gridCol w:w="1302"/>
        <w:gridCol w:w="1302"/>
        <w:gridCol w:w="1302"/>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56.664</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28.643</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28.608</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129,20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88,17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(17 analistas)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92.042</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46.758</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132,10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[26]</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152.075</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81.956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81.636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351,30</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183,80</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[26]</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57.515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56.664</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28.182</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28.643</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83.397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92.042</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40.030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46.758</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2028e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95.906</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152.075</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-36,9 %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44.117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81.956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-46,2 %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 / 0 / 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9.227,24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6.150,00 – 12.500,00</w:t>
            </w:r>
          </w:p>
        </w:tc>
      </w:tr>
    </w:tbl>
    <w:p>
      <w:pPr>
        <w:spacing w:after="160" w:before="0"/>
      </w:pPr>
    </w:p>
    <w:p>
      <w:pPr>
        <w:pStyle w:val="Heading2"/>
      </w:pPr>
      <w:r>
        <w:t xml:space="preserve">Revisiones de estimaciones</w:t>
      </w:r>
    </w:p>
    <w:p>
      <w:pPr>
        <w:spacing w:after="100"/>
      </w:pPr>
      <w:r>
        <w:t xml:space="preserve">Las estimaciones subieron con fuerza en mayo de 2026, tras el 1T26: Goldman Sachs subió el BPA de 2026 un 25 % y el de 2027 un 40 % (137, 250 y 426 TWD para 2026-2028) y el objetivo de 5.700 a 12.000; Morgan Stanley de 5.000 a 10.008; UBS de 5.200 a 8.000; JPMorgan de 6.700 a 8.000 [28]. Después llegaron Citi (11.000, 1-jun), Nomura (11.100, 24-jul) y JPMorgan de nuevo (8.350, 31-jul) [27]. En los últimos tres meses no hay recortes publicados: tendencia estable. Las 17 recomendaciones son de compra y el objetivo medio (9.227 TWD) está un 77 % por encima del precio [26, 27]. El EBIT de 2027 del consenso supera a su EBITDA (47.653 frente a 46.758): mezcla de bases entre analistas; se usa solo como contraste.</w:t>
      </w:r>
    </w:p>
    <w:p>
      <w:pPr>
        <w:pStyle w:val="Heading1"/>
      </w:pPr>
      <w:r>
        <w:t xml:space="preserve">16. Comportamiento en bolsa</w:t>
      </w:r>
    </w:p>
    <w:p>
      <w:pPr>
        <w:pStyle w:val="Confianza"/>
        <w:spacing w:after="100"/>
      </w:pPr>
      <w:r>
        <w:t xml:space="preserve">Confianza: Media</w:t>
      </w:r>
    </w:p>
    <w:p>
      <w:pPr>
        <w:pStyle w:val="Nota"/>
        <w:spacing w:after="100"/>
      </w:pPr>
      <w:r>
        <w:t xml:space="preserve">Rentabilidad total (con dividendos).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52"/>
        <w:gridCol w:w="2095"/>
        <w:gridCol w:w="2095"/>
        <w:gridCol w:w="2096"/>
      </w:tblGrid>
      <w:tr>
        <w:trPr>
          <w:cantSplit/>
          <w:tblHeader/>
        </w:trPr>
        <w:tc>
          <w:tcPr>
            <w:tcW w:type="dxa" w:w="335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Acción</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Índice</w:t>
            </w:r>
          </w:p>
        </w:tc>
        <w:tc>
          <w:tcPr>
            <w:tcW w:type="dxa" w:w="20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Sector</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 el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+53,9 %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r>
      <w:tr>
        <w:trPr>
          <w:cantSplit/>
        </w:trPr>
        <w:tc>
          <w:tcPr>
            <w:tcW w:type="dxa" w:w="335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 año</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+164,2 %</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+73,4 %</w:t>
            </w:r>
          </w:p>
        </w:tc>
        <w:tc>
          <w:tcPr>
            <w:tcW w:type="dxa" w:w="20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+71,9 %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9" name="Gráfico 19" descr="Rentabilidad total por año: acción frente a su índic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anualizada (1 año)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Máxima caída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-57,8 %</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spacing w:after="100"/>
      </w:pPr>
      <w:r>
        <w:t xml:space="preserve">En doce meses la acción gana un 164 %, más del doble que el índice de Taiwán (+73 %) y que el de semiconductores (SOXX, +72 %), pero desde el máximo del 29-may-2026 (8.465 TWD) cae un 37 %: en lo que va de año rinde 53,9 %, menos que el índice (66,8 %) [29]. La subida tiene tres tramos: la salida a bolsa (oct-nov 2025), las ventas de enero-febrero (+65 %) y los resultados del 1T26 con las subidas de objetivo de mayo [7, 28]. Las caídas son de valoración y de mercado, no de negocio: las ventas mensuales siguen subiendo (septiembre +100 %) mientras el PER de los últimos doce meses baja de ≈84x en junio a ≈52x hoy [1, 30]. La volatilidad es del 67 % y la caída máxima desde 2024, del −57,8 %; la beta semanal frente al 0050 es 1,3 (2 y 5 años) [29].</w:t>
      </w:r>
    </w:p>
    <w:p>
      <w:pPr>
        <w:pStyle w:val="Heading2"/>
      </w:pPr>
      <w:r>
        <w:t xml:space="preserve">Precio y noticias antes de decidir (regla 13)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Variación 1 / 3 / 6 / 12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-15,0 % / -13,3 % / +15,7 % / +170,4 %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y al mínimo de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-37,0 % / +178,3 %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Frente al máximo de 5 años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(medias de 50 y 200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lateral</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Volatilidad (60 sesiones)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72,0 %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2026-11-10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Veredicto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no cambia</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3"/>
        <w:gridCol w:w="1098"/>
        <w:gridCol w:w="4147"/>
        <w:gridCol w:w="1220"/>
      </w:tblGrid>
      <w:tr>
        <w:trPr>
          <w:cantSplit/>
          <w:tblHeader/>
        </w:trPr>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4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Causa</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oct-2025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Conferencia previa a la salida a bolsa (27-oct): capacidad llena dos trimestres por la demanda de ASIC de IA [8].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+19,5 %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Salida a bolsa el 27-nov a 1.495 TWD; primer día a 2.940 (+96,6 %) [19].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enero-febrero +65 % y entrada en el MSCI Taiwán (anuncio del 11-feb) [7, 20].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4T25 en 52,3 % (mínimo de siete trimestres) por pagos en acciones y más China; mercado débil por el conflicto de Oriente Medio y la investigación de la Sección 301; 13-mar tocó el límite de caída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abr-2026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+41,1 %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Rebote del mercado y subidas de objetivo (un banco de EE. UU. de 5.000 a 5.500 el 29-abr, BPA 2026e 112,2) [31].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may-2026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+67,0 %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1T26 récord (BPA 25,70) el 11-may y subidas de objetivo de Goldman (12.000), Morgan Stanley (10.008), UBS y JPMorgan (8.000) el 14-may; máximo histórico de 8.465 el 29-may [1,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jun-2026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-21,7 %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Recogida de beneficios tras doblar el precio en dos meses (PER de los últimos doce meses ≈84x el 24-jun, valor en vigilancia de la bolsa) con ventas de fondos locales; sin noticia de negocio [30].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15-oct-2026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-9,6 %</w:t>
            </w:r>
          </w:p>
        </w:tc>
        <w:tc>
          <w:tcPr>
            <w:tcW w:type="dxa" w:w="4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general de la bolsa de Taiwán (−3,4 %, sexta mayor en puntos) por la inflación de EE. UU. y la subida de tipos esperada; Advantest −15 %, Chroma −10 %, ASE y las de interfaz de prueba en el límite [32].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9"/>
        <w:gridCol w:w="1585"/>
        <w:gridCol w:w="3904"/>
        <w:gridCol w:w="1220"/>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9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Hecho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Veredicto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2025-12-11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accionista de referencia</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All Ring Tech (萬潤) vende toda su participación en Hon (plusvalía de 147,6 M TWD) [24].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2026-03-13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2025: BPA 75,71, dividendo de 65 TWD (55 de beneficios y 10 de prima de emisión); margen bruto del 4T25 en 52,3 % [7].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2026-05-14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Goldman 5.700 → 12.000, Morgan Stanley 5.000 → 10.008, UBS 5.200 → 8.000, JPMorgan 6.700 → 8.000 [28].</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2026-07-24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recomendación</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Nomura inicia con compra y 11.100 TWD; Citi había iniciado el 1-jun con 11.000; JPMorgan sube a 8.350 el 31-jul [27].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2026-07-30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2T26: ventas 13.794 M (+100 %), BPA 30,41; capacidad +50 % en 2027; gasto único por ceder acciones propias a empleados [6].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2026-09-11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ASE Singapore anuncia compras de equipos a Hon por 40,9 M USD (dic-2025 a sep-2026)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2026-10-07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 septiembre de 5.729 M TWD (+100,2 %); 3T26 de 16.194 M (+97,5 %) [1, 10].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cambia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2026-11-10</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w:t>
            </w:r>
          </w:p>
        </w:tc>
        <w:tc>
          <w:tcPr>
            <w:tcW w:type="dxa" w:w="39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Resultados del 3T26 (fecha estimada; plazo legal 14-nov) [1].</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no cambia</w:t>
            </w:r>
          </w:p>
        </w:tc>
      </w:tr>
    </w:tbl>
    <w:p>
      <w:pPr>
        <w:spacing w:after="160" w:before="0"/>
      </w:pPr>
    </w:p>
    <w:p>
      <w:pPr>
        <w:spacing w:after="100"/>
      </w:pPr>
      <w:r>
        <w:t xml:space="preserve">La acción cae un 37 % desde el máximo de mayo sin que el negocio empeore: las ventas mensuales siguen en máximos (+100 % en septiembre) y el BPA del 1S26 fue de 56,14. La caída es de múltiplo (de ≈84x a ≈52x el beneficio de los últimos doce meses) y de mercado (15-oct: inflación y tipos en EE. UU.). No hay un hecho pendiente que pueda mover el precio más de un 5 % aparte de los resultados del 3T26 (≈10-nov), que no aplazan una decisión (regla 11): no se conocen colocaciones anunciadas, ampliaciones ni ventas de consejeros (participación del consejo fija en 36,58 % desde diciembre). Busqué en los anuncios a la bolsa (Yahoo/CNA), UDN, CTEE, PTT y cnyes.</w:t>
      </w:r>
    </w:p>
    <w:p>
      <w:pPr>
        <w:pStyle w:val="Heading1"/>
      </w:pPr>
      <w:r>
        <w:t xml:space="preserve">17. Múltiplos frente a su historia</w:t>
      </w:r>
    </w:p>
    <w:p>
      <w:pPr>
        <w:pStyle w:val="Confianza"/>
        <w:spacing w:after="100"/>
      </w:pPr>
      <w:r>
        <w:t xml:space="preserve">Confianza: Baja</w:t>
      </w:r>
    </w:p>
    <w:p>
      <w:pPr>
        <w:spacing w:after="160" w:before="0"/>
      </w:pPr>
    </w:p>
    <w:p>
      <w:pPr>
        <w:spacing w:after="100"/>
      </w:pPr>
      <w:r>
        <w:t xml:space="preserve">Solo hay dos cierres: 2024 en el mercado emergente (興櫃, poco líquido) y 2025 ya en la Bolsa de Taiwán [29]. Con ellos, el PER de los últimos doce meses pasó de ≈35x (1.135 ÷ 32,73) a ≈45x (3.425 ÷ 75,54) y hoy es ≈52x (5.205 ÷ 100,91); sobre el beneficio del año siguiente, de 15,0x en 2024 a 26,6x en 2025 y 28,8x hoy con nuestro BPA de 2027e. La prima frente a su corta historia refleja la entrada en el ciclo de IA y el paso a un mercado líquido con índices (MSCI); no hay historia de un ciclo completo cotizando, y eso pesa en la regla a 12 meses.</w:t>
      </w:r>
    </w:p>
    <w:p>
      <w:pPr>
        <w:pStyle w:val="Heading1"/>
      </w:pPr>
      <w:r>
        <w:t xml:space="preserve">18. Comparables cotizados</w:t>
      </w:r>
    </w:p>
    <w:p>
      <w:pPr>
        <w:pStyle w:val="Confianza"/>
        <w:spacing w:after="100"/>
      </w:pPr>
      <w:r>
        <w:t xml:space="preserve">Confianza: Media</w:t>
      </w:r>
    </w:p>
    <w:p>
      <w:pPr>
        <w:spacing w:after="100"/>
      </w:pPr>
      <w:r>
        <w:t xml:space="preserve">Fabricantes de equipos y consumibles de prueba de semiconductores con exposición a IA: manipuladores y control térmico (Cohu, Techwing, AEM, Chroma en SLT), probadores (Advantest, Teradyne) e interfaz de prueba taiwanesa (MPI, CHPT). Se deja fuera KYEC, que es cliente (subcontratista de prueba) y no fabricante, y WinWay (sin datos homogéneos en la fuente). Cifras de S&amp;P Global vía StockAnalysis al cierre del 19-20 de octubre; PER adelantado del proveedor; el crecimiento es la previsión anual a 3 años del proveedor (no hay NTM gratuito homogéneo); capitalizaciones a TWD con los cambios de Yahoo del 20-oct.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Hon. Precision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936.536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Advantest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5.004.500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Teradyne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1.711.600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Chroma ATE</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847.180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37,1x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MPI</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480.110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Chunghwa Precision Test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TW</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101.920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Cohu</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83.200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AEM Holdings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SG</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69.250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Techwing</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35.210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36"/>
        <w:gridCol w:w="1056"/>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28,9 %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41,5 %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20.415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39,0x / 44,4x / 50,5x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4.667,00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5.289,90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5.982,58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34,2x / 36,8x / 37,3x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6.603,99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7.101,52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7.208,17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41.992</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8,6x / 14,9x / 20,2x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2.257,10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3.729,73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4.961,39</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-28,3 %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20" name="Gráfico 20"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El grupo cotiza caro en cualquier medida: PER adelantado mediano de ≈37x y valor empresa/EBITDA de los últimos doce meses de 34-89x, con crecimientos esperados del 25-70 % anual [12, 13, 14, 15, 16, 17, 33, 34]. Hon cotiza a ≈27x el BPA de los próximos doce meses del consenso y a ≈29x el nuestro de 2027e, por debajo de la mediana, con el margen EBITDA más alto (48,6 %) y sin deuda. Dos lecturas: o el mercado descuenta que el beneficio de Hon es más cíclico y concentrado que el de Advantest o Teradyne (que venden probadores con base instalada y software), o Hon está barata frente al grupo. Cohu (EBITDA casi nulo) y Techwing (PER de 13,5x con un salto de beneficio esperado) distorsionan los extremos; la mediana los neutraliza. Usaríamos el PER, no el valor empresa/EBITDA, porque las bases de EBITDA de los proveedores no son homogéneas.</w:t>
      </w:r>
    </w:p>
    <w:p>
      <w:pPr>
        <w:pStyle w:val="Heading1"/>
      </w:pPr>
      <w:r>
        <w:t xml:space="preserve">20. Descuento de flujos de caja (DCF)</w:t>
      </w:r>
    </w:p>
    <w:p>
      <w:pPr>
        <w:pStyle w:val="Confianza"/>
        <w:spacing w:after="100"/>
      </w:pPr>
      <w:r>
        <w:t xml:space="preserve">Confianza: Media</w:t>
      </w:r>
    </w:p>
    <w:p>
      <w:pPr>
        <w:pStyle w:val="Heading2"/>
      </w:pPr>
      <w:r>
        <w:t xml:space="preserve">Supuestos y su justificación</w:t>
      </w:r>
    </w:p>
    <w:p>
      <w:pPr>
        <w:keepNext/>
        <w:spacing w:after="100"/>
      </w:pPr>
      <w:r>
        <w:rPr>
          <w:b/>
          <w:bCs/>
        </w:rPr>
        <w:t xml:space="preserve">Crecimiento de ingresos.</w:t>
      </w:r>
    </w:p>
    <w:p>
      <w:pPr>
        <w:spacing w:after="100"/>
      </w:pPr>
      <w:r>
        <w:t xml:space="preserve">2026e es fijo en +90 % (57.515 M): enero-septiembre suma 40.713 M de las ventas mensuales oficiales y el 4T26 se estima en 16.800 M con la capacidad llena [1, 6]. 2027e +45 %: la empresa quiere +50 % de capacidad a final de 2027 (media del año ≈ +35 %) y espera +20 % de precio en las máquinas de 10 kW, pero solo una parte de la base vende esa gama [6]. 2028e +15 %, 2029e +5 % y 2030e 0 %: normalización del ciclo de inversión en IA; en el último ajuste (2023) las ventas cayeron un 29,6 % [2]. Después, 2-3 %. El consenso pide +62 % y +65 % en 2027-2028 (152.075 M en 2028e) [26]: sería el 22 % de todo el mercado de equipos de prueba de SEMI (678.100 M TWD en 2028e) frente al 9,5 % de hoy [11]. Nuestro 2030e (100.700 M) es el 13,7 % de ese mercado.</w:t>
      </w:r>
    </w:p>
    <w:p>
      <w:pPr>
        <w:keepNext/>
        <w:spacing w:after="100"/>
      </w:pPr>
      <w:r>
        <w:rPr>
          <w:b/>
          <w:bCs/>
        </w:rPr>
        <w:t xml:space="preserve">Márgenes.</w:t>
      </w:r>
    </w:p>
    <w:p>
      <w:pPr>
        <w:spacing w:after="100"/>
      </w:pPr>
      <w:r>
        <w:t xml:space="preserve">Margen EBITDA del 49 % en 2026e (49,3 % en el 1S26 con un gasto único por acciones a empleados) [2, 6], 48 % en 2027e y bajada hasta el 40 % en 2032e. El 40 % final está por encima del 37,3 % de 2022 y del 39,9 % de 2023 (sus años de menos IA) y del 36,8 % de margen operativo de Chroma, y por debajo del 45,7 % de Advantest [2, 12, 15]: supone que el control térmico conserva una prima pero que la competencia (Chroma en SLT, Advantest, fabricación en China) y un ciclo normal la recortan.</w:t>
      </w:r>
    </w:p>
    <w:p>
      <w:pPr>
        <w:keepNext/>
        <w:spacing w:after="100"/>
      </w:pPr>
      <w:r>
        <w:rPr>
          <w:b/>
          <w:bCs/>
        </w:rPr>
        <w:t xml:space="preserve">Inversión y circulante.</w:t>
      </w:r>
    </w:p>
    <w:p>
      <w:pPr>
        <w:spacing w:after="100"/>
      </w:pPr>
      <w:r>
        <w:t xml:space="preserve">Capex del 3,0 % de las ventas en 2026e y 2,5 % en 2027e (planta de Dasheng, obra de Longshan y equipos para +50 % de capacidad), y del 1,0-1,5 % desde 2029e, por encima de la amortización (0,25 % → 1,0 %) [4, 6]. Circulante comercial (existencias + clientes − proveedores − anticipos) del 28 % de las ventas: media del ciclo, entre el 18 % de 2025 y el 35 % del LTM a junio de 2026 [3]. El negocio casi no necesita capital fijo: lo que consume caja al crecer es el circulante.</w:t>
      </w:r>
    </w:p>
    <w:p>
      <w:pPr>
        <w:keepNext/>
        <w:spacing w:after="100"/>
      </w:pPr>
      <w:r>
        <w:rPr>
          <w:b/>
          <w:bCs/>
        </w:rPr>
        <w:t xml:space="preserve">Coste del capital.</w:t>
      </w:r>
    </w:p>
    <w:p>
      <w:pPr>
        <w:spacing w:after="100"/>
      </w:pPr>
      <w:r>
        <w:t xml:space="preserve">Tasa libre: bono de Taiwán a 10 años al 2,02 % (20-oct-2026) [35]. Beta 1,3: la semanal de 2 y 5 años frente al ETF 0050 (no hay mensual de 5 años porque cotiza desde 2024; ajustada 1,2) [29]. Prima de mercado 5,5 %. Prima adicional de 1,5 puntos: 1,0 por Taiwán (riesgo geopolítico y de controles de exportación) y 0,5 por la concentración en unos pocos clientes de IA y la historia corta. Sin deuda: WACC = coste de los fondos propios = 10,67 %. Con la prima implícita del mercado (4,2 %) el WACC baja al 8,98 % y el valor objetivo sube a 3.452,49 TWD.</w:t>
      </w:r>
    </w:p>
    <w:p>
      <w:pPr>
        <w:keepNext/>
        <w:spacing w:after="100"/>
      </w:pPr>
      <w:r>
        <w:rPr>
          <w:b/>
          <w:bCs/>
        </w:rPr>
        <w:t xml:space="preserve">Valor terminal.</w:t>
      </w:r>
    </w:p>
    <w:p>
      <w:pPr>
        <w:spacing w:after="100"/>
      </w:pPr>
      <w:r>
        <w:t xml:space="preserve">Gordon con un crecimiento del 1,5 % en TWD: entre la inflación esperada de Taiwán (≈1,5-2 %) y la tasa libre menos medio punto (1,52 %). El valor terminal pesa el 46 % del DCF. Equivale a unas 15 veces el beneficio operativo después de impuestos del último año, por debajo del PER de hoy de los comparables (36,8x), porque supone una empresa madura y cíclica en 2035, no la de crecimiento de hoy [12, 13, 14, 15, 16, 17, 33, 34].</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10,67 %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8,98 %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57.515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28.182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5.748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10.521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10.188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83.397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40.030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7.247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20.992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95.906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29.731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25.028</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100.701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42.295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32.540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103.722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42.526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8.569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31.867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19.781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106.834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8.585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32.102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18.015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109.505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43.802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8.777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33.072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16.759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111.695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8.930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34.018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15.577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45.572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9.109</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1.139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34.698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14.358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384.064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683.574</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5,32 %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179.535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151.177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330.712</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55.946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-11.377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375.281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179,9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2.085,71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TW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2.189,17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2.246,08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2.309,96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2.382,17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2.464,45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2.136,48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2.191,31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2.252,85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2.322,41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1.995,63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2.138,54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2.197,84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11,2 %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1.912,67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2.036,78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2.087,70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11,7 %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1.837,26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1.869,99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1.905,95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1.945,62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1.989,63</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1.820,70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1.903,13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1.990,39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2.082,76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2.180,49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1.862,95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2.038,05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2.133,39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2.234,30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1.905,19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1.992,86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2.184,03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2.288,10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1.947,44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2.037,72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2.133,37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2.234,66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2.341,91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1.989,69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2.082,59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2.181,02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2.285,29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2.395,72</w:t>
            </w:r>
          </w:p>
        </w:tc>
      </w:tr>
    </w:tbl>
    <w:p>
      <w:pPr>
        <w:spacing w:after="160" w:before="0"/>
      </w:pPr>
    </w:p>
    <w:p>
      <w:pPr>
        <w:pStyle w:val="Heading2"/>
      </w:pPr>
      <w:r>
        <w:t xml:space="preserve">¿Puede la empresa sostener el crecimiento previsto?</w:t>
      </w:r>
    </w:p>
    <w:p>
      <w:pPr>
        <w:spacing w:after="100"/>
      </w:pPr>
      <w:r>
        <w:rPr>
          <w:b/>
          <w:bCs/>
        </w:rPr>
        <w:t xml:space="preserve">Veredicto: En parte.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33.936 M (10 %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 la reinversión bruta (capex + circulante): crecimiento que financia al ROIC actual</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 (reinvierte el 12 % del NOPAT)</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Rendimiento que la proyección supone para la reinversión bruta</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57,5 %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histórico de ingresos (TCAC)</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 frente al 16,8 % proyectado</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Veredicto de las pruebas del motor</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Sí</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de mercado implícita en 2030e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13,7 % (hoy: 9,5 %)</w:t>
            </w:r>
          </w:p>
        </w:tc>
      </w:tr>
    </w:tbl>
    <w:p>
      <w:pPr>
        <w:spacing w:after="160" w:before="0"/>
      </w:pPr>
    </w:p>
    <w:p>
      <w:pPr>
        <w:spacing w:after="100"/>
      </w:pPr>
      <w:r>
        <w:t xml:space="preserve">La proyección apenas necesita inversión neta de la amortización (reinversión acumulada de 33.936 M, el 10 % del NOPAT, con un capex bruto medio del 1,6 % de las ventas). En un negocio de activos ligeros, el crecimiento medio del 16,8 % tiene que salir de subir precios y de ganar volumen sin capital nuevo, y la prueba es el poder de precios y la cuota (13,7 % del mercado en 2030e, frente al 9,5 % de hoy);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+45 %: de ≈580 máquinas por trimestre en el 2S25 a ≈680 a final de 2026 y más máquinas grandes [6, 8]. Precio +40 %: mezcla de IA y HPC (77 % de los pedidos frente al 72 %) y control térmico de más potencia; las ventas por máquina suben de ≈15 M a ≈20 M TWD (estimación propia). Otros +5 %: repuestos y kits de la base instalada.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+33 %: capacidad media del año ≈ +35 % con el objetivo de +50 % a final de 2027 (Dasheng, Changshu y mejora de la sede) [6]. Precio +12 %: máquinas de 10 kW con al menos +20 % de precio en parte de la gama [6].</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+10 % y precio +5 %: la capacidad nueva llena solo si la inversión en IA sigue creciendo; supone un año más de ciclo alto.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+3 % y precio +2 %: madurez del ciclo de IA.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−2 % y precio +2 %: año de digestión de la inversión, más suave que 2023 (−29,6 % de ventas) [2].</w:t>
            </w:r>
          </w:p>
        </w:tc>
      </w:tr>
    </w:tbl>
    <w:p>
      <w:pPr>
        <w:spacing w:after="160" w:before="0"/>
      </w:pPr>
    </w:p>
    <w:p>
      <w:pPr>
        <w:spacing w:after="100"/>
      </w:pPr>
      <w:r>
        <w:t xml:space="preserve">Las pruebas del motor pasan: la proyección casi no necesita capital (reinversión del 10 % del NOPAT, ROIC del 245,6 % en 2025) y la cuota implícita en 2030e (13,7 % del mercado de equipos de prueba) es 1,44 veces la de hoy (9,5 %), por debajo del límite de 1,5. El poder de precios está demostrado (margen bruto de 46,3 % en 2022 a 56,5 % en 2025) [2]. Pero el veredicto es «En parte» y no «Sí» por tres razones que las pruebas no miden: el 77 % de los pedidos depende del ciclo de inversión en IA de cuatro o cinco diseñadoras [6]; el foso es tecnológico (control térmico) y estrecho, con Chroma ya a la par en SLT [9]; y la historia cotizada no incluye un ciclo bajista completo. El consenso, que pide 2,3 veces la cuota de hoy en 2028, sí fallaría la prueba.</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27,3 % (base: 8,6 %)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n.d.ningún margen hasta el 70 % justifica el precio (base: 40,0 %)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4,9 % (WACC: 10,7 %)</w:t>
            </w:r>
          </w:p>
        </w:tc>
      </w:tr>
    </w:tbl>
    <w:p>
      <w:pPr>
        <w:spacing w:after="160" w:before="0"/>
      </w:pPr>
    </w:p>
    <w:p>
      <w:pPr>
        <w:spacing w:after="100"/>
      </w:pPr>
      <w:r>
        <w:t xml:space="preserve">El DCF da 2.085,71 TWD por acción, un 59,9 % por debajo del precio, con el valor terminal en el 46 %. El valor intrínseco de la síntesis (50 % DCF, 20 % comparables, 30 % escenarios) es de 3.113,43 TWD (−40,2 %); con la prima implícita del mercado, 3.452,49 (−33,7 %). Lo central es el DCF inverso: para justificar 5.205 TWD con nuestros márgenes, las ventas tendrían que crecer un 27,3 % anual entre 2027 y 2035, frente al 8,6 % de nuestro base y al 21,2 % que SEMI prevé para todo el mercado de equipos de prueba solo hasta 2028; con nuestro crecimiento, ningún margen hasta el 70 % justifica el precio. El precio descuenta casi nueve años de crecimiento del ciclo de IA sin un año de ajuste, para una empresa que perdió el 29,6 % de las ventas en 2023. La rentabilidad anual implícita en el precio es del 4,9 %, por debajo de su coste de capital (10,7 %) y del que hoy pide el mercado (9,0 %). Es exigente: la tesis alcista necesita creer en el consenso de 2028 (351,30 TWD de BPA), y la regla a 12 meses, que sí recoge el múltiplo de hoy, da solo +10,3 %.</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-76,2 %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inversión en IA se digiere en 2027-2028: los grandes clientes de nube recortan, Nvidia y los ASIC alargan ciclos y los subcontratistas paran compras; las ventas crecen solo un 25 % en 2027 y caen un 25 % en 2028, con el margen EBITDA 8 puntos más bajo (como en 2023, cuando cayeron un 29,6 %).</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2.085,71</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capacidad sube un 50 % hasta final de 2027 y se llena: +45 % de ventas en 2027 y +15 % en 2028; después el ciclo madura y el margen EBITDA baja del 48 % al 40 % con la competencia de Chroma, Advantest y China.</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16,8 %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10,7 %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3.261,88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-37,3 %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 cumple el consenso: la prueba de IA se multiplica con encapsulados más grandes, CPO y nuevas plantas en EE. UU. y Singapur; ventas +65 % en 2027 y +55 % en 2028 (147.000 M), margen un punto mejor.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TWD) · precio actual 5.20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2.167,56 TWD (-58,4 %).</w:t>
      </w:r>
    </w:p>
    <w:p>
      <w:pPr>
        <w:spacing w:after="100"/>
      </w:pPr>
      <w:r>
        <w:t xml:space="preserve">La asimetría del valor intrínseco es mala: el alcista (3.261,88 TWD) sigue un 37,3 % por debajo del precio y el bajista (1.236,95) pierde un 76,2 %. Incluso el escenario que se parece al consenso no llega al precio con un WACC del 10,7 %, porque el valor depende de que el margen del 48 % dure más allá de 2028. La regla a 12 meses es menos dura porque usa el PER de hoy (26,2x en el base): bajista 1.429,35 (−71,5 %), base 5.211,18 (+1,2 %) y alcista 10.889,70 (+110,3 %). La distancia entre los dos extremos, de −72 % a +110 %, es la medida honesta de cuánto depende esta acción del ciclo de IA.</w:t>
      </w:r>
    </w:p>
    <w:p>
      <w:pPr>
        <w:pStyle w:val="Heading1"/>
      </w:pPr>
      <w:r>
        <w:t xml:space="preserve">22. Suma de partes</w:t>
      </w:r>
    </w:p>
    <w:p>
      <w:pPr>
        <w:pStyle w:val="Confianza"/>
        <w:spacing w:after="100"/>
      </w:pPr>
      <w:r>
        <w:t xml:space="preserve">Confianza: Media</w:t>
      </w:r>
    </w:p>
    <w:p>
      <w:pPr>
        <w:spacing w:after="100"/>
      </w:pPr>
      <w:r>
        <w:t xml:space="preserve">Hon. Precision vende una sola familia de productos (manipuladores de prueba con control térmico) a los mismos clientes y desde las mismas plantas, y publica un único segmento: una suma de partes no tendría cifras propias en que apoyarse.</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TWD) · precio actual 5.205,0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8.465,00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6.150,00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9.227,24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6.603,99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7.101,52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7.208,17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2.085,71</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2.252,85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1.236,95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2.167,56</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3.261,88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2.358,99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2.661,44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5.178,98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5.205,00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5.231,02</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2.085,71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-59,9 %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7.101,52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2.167,56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-58,4 %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3.113,43 TWD (-40,2 % sobre 5.205,00).</w:t>
      </w:r>
    </w:p>
    <w:p>
      <w:pPr>
        <w:spacing w:after="100"/>
      </w:pPr>
      <w:r>
        <w:t xml:space="preserve">Pesos: 50 % DCF, 20 % comparables (PER de los próximos doce meses) y 30 % escenarios; sin transacciones (no hay múltiplos publicados) ni suma de partes. El DCF pesa más porque el valor de Hon depende de cuánto dura un margen del 48 % en un negocio cíclico, que solo el DCF pone en cifras. Los comparables dan 7.101,52 TWD por acción, un 36,4 % por encima del precio, pero todo el grupo cotiza a un PER mediano de 36,8x en plena euforia de IA (Advantest, Chroma, MPI): medir a Hon contra pares igual de caros solo dice que no es la más cara del grupo. La dispersión es enorme: de 2.085,71 (DCF) a 7.101,52 (comparables) y 9.227,24 (objetivo medio de los analistas). El valor intrínseco de 3.113,43 TWD es el precio de compra con margen de seguridad; por encima de 6.378,17 la regla a 12 meses da venta.</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mínimo de 5 años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1.429,35</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(28.8x) ÷ 1.1 (tope: la mediana de 5 años, 20.8x,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5.211,18</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308,49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35,3x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10.889,70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+110,3 %</w:t>
            </w:r>
          </w:p>
        </w:tc>
      </w:tr>
    </w:tbl>
    <w:p>
      <w:pPr>
        <w:spacing w:after="160" w:before="0"/>
      </w:pPr>
    </w:p>
    <w:p>
      <w:pPr>
        <w:spacing w:after="100"/>
      </w:pPr>
      <w:r>
        <w:rPr>
          <w:b/>
          <w:bCs/>
        </w:rPr>
        <w:t xml:space="preserve">Objetivo a 12 meses (ponderado):</w:t>
      </w:r>
      <w:r>
        <w:t xml:space="preserve"> 5.685,35 TWD · rentabilidad +10,3 % (base +1,2 %) · señal Mantener.</w:t>
      </w:r>
    </w:p>
    <w:p>
      <w:pPr>
        <w:spacing w:after="100"/>
      </w:pPr>
      <w:r>
        <w:t xml:space="preserve">Para comparar, con la regla v2 (historia al cierre, mismo precio): 24,5x / 28,8x / 37,4x, 22,7 % Mantener; con el tope anterior del base (×1,3, 14-oct mediodía): 3,6 % Mantener. Decide la v3 con tope ×1,1, elegida por el selector de método (historia adelantada de 2 años: decide la más baja de v3 y v2 (v3); METODO-VIGENTE.md).</w:t>
      </w:r>
    </w:p>
    <w:p>
      <w:pPr>
        <w:keepNext/>
        <w:spacing w:after="100"/>
      </w:pPr>
      <w:r>
        <w:rPr>
          <w:b/>
          <w:bCs/>
        </w:rPr>
        <w:t xml:space="preserve">Frente al consenso (solo contraste).</w:t>
      </w:r>
    </w:p>
    <w:p>
      <w:pPr>
        <w:spacing w:after="100"/>
      </w:pPr>
      <w:r>
        <w:t xml:space="preserve">Nuestro BPA coincide con el consenso en 2026e (128,70 frente a 129,20), está un 13 % por debajo en 2027e (180,55 frente a 208,70) y un 43 % en 2028e (198,90 frente a 351,30) [26]. La diferencia es de ventas: el consenso pide 152.075 M en 2028e (+65 % ese año), que serían el 22 % de todo el mercado de equipos de prueba de SEMI, más del doble de la cuota de hoy, y exigiría triplicar la capacidad de 2026 cuando la empresa solo ha anunciado +50 % para 2027 [6, 11]. Un banco estadounidense publicaba en abril 178,04 TWD de BPA para 2028, más cerca de nuestro base [31]. El precio base (5.211,18) queda un 43,5 % por debajo del objetivo medio de los analistas (9.227,24), que está fuera de nuestro rango solo por arriba del base: dentro del alcista.</w:t>
      </w:r>
    </w:p>
    <w:p>
      <w:pPr>
        <w:keepNext/>
        <w:spacing w:after="100"/>
      </w:pPr>
      <w:r>
        <w:rPr>
          <w:b/>
          <w:bCs/>
        </w:rPr>
        <w:t xml:space="preserve">Del valor intrínseco al objetivo a 12 meses.</w:t>
      </w:r>
    </w:p>
    <w:p>
      <w:pPr>
        <w:spacing w:after="100"/>
      </w:pPr>
      <w:r>
        <w:t xml:space="preserve">El objetivo a 12 meses (5.685,35 TWD, +10,3 % con el dividendo; base 5.211,18, +1,2 %) queda un 83 % por encima del valor intrínseco (3.113,43): el mercado paga hoy 28,8 veces nuestro beneficio de 2027e y la regla supone que seguirá pagando 26,2 veces dentro de un año, mientras el DCF descuenta que el margen y el crecimiento vuelven a niveles de ciclo. Para cerrar la distancia hacia arriba haría falta que el consenso de 2027-2028 se cumpla (catalizador: resultados del 3T26 hacia el 10-nov y la guía de capacidad de 2027); hacia abajo, un recorte de inversión de los clientes de nube. El crecimiento del BPA base desde 2025 (38,1 % anual) es casi todo de 2026e, ya publicado en su mayor parte (BPA del 1S26 de 56,14 y ventas de enero-septiembre +94 %); desde 2026e crece un 24 % anual. La tesis de valor es a más de un año y hoy dice que el precio está por encima de lo que vale; la regla a 12 meses no da compra con ninguna de las dos versiones (v3 10,3 %, v2 22,7 % con base 11,1 %).</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≈10-nov-2026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 (ventas ya publicadas: 16.194 M, +97,5 %) y conferencia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del 3T26 y guía de capacidad y pedidos para 2027</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nov-2026 a 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mensuales de octubre a diciembre (hacia el día 10 de cada mes)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Confirma o no el 4T26 de ≈16.800 M que supone 2026e</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4T26-1T27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Arranque de la planta de Dasheng y envíos de las máquinas de 10 kW y de la herramienta de CPO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+15 % y precio medio +20 % en la gama alta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Presupuestos de inversión de 2027 de los grandes clientes de nube y de TSMC</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Fija la demanda de prueba de IA de 2027-2028</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propuesta de dividendo</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 esperado ≈ 85 % del beneficio (≈110 TWD)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Controles de exportación de EE. UU. a China y Sección 301 sobre Taiwán</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pesa el 24 % por región y crece en IA de gama alta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 o pausa del ciclo de inversión en IA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a −70 % (bajista a 12 meses −71,5 %)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neta de 56.036 M, sin deuda, y gastos fijos bajos (6,8 % de las ventas)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mensuales por debajo del año anterior dos meses seguidos; recortes de inversión de los clientes de nube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en pocos clientes de IA (77 % de los pedidos)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Comercial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−20 % a −30 %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Proveedor calificado de casi todas las diseñadoras (Nvidia, AMD, Google, AWS, Broadcom)</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cliente de nube que califique a otro proveedor para su ASIC</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 en SLT y control térmico (Chroma, Advantest, rivales chinos)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−15 % (margen −5 puntos)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Ventaja técnica en 10 kW y base instalada de 25.000 máquinas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bruto por debajo del 52 % sin partidas únicas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Geopolítica de Taiwán y controles de exportación (China 24 %)</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Geopolítico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−25 % (pérdida de China) y extremo en un conflicto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en EE. UU. (52 %) y nuevas plantas de clientes fuera de China</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reglas de EE. UU. sobre equipos de prueba o clientes chinos de IA; tensión en el estrecho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múltiplo de euforia que se normaliza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−40 % hasta el valor intrínseco (3.113,43)</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que crece un 70 % en 2026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adelantado del grupo por debajo de 25x</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Sobrecapacidad: +50 % de capacidad al final del ciclo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Capacidad flexible con socios en China (+20 %) y poco capital fijo</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Existencias por encima del 40 % de las ventas o anticipos de clientes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Colocaciones de bloques (diez primeros accionistas con el 83,6 %; empleados con muchas acciones)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a −10 % puntual</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no ha vendido desde diciembre (36,58 %)</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Avisos de venta de consejeros en MOPS o caída de la participación del consejo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Tecnología y transferencia de saber hacer al fabricar con socios en China</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−10 %</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control térmico y el software se quedan en Taiwán</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Rivales chinos con control térmico de varios kW calificados en clientes chinos</w:t>
            </w:r>
          </w:p>
        </w:tc>
      </w:tr>
    </w:tbl>
    <w:p>
      <w:pPr>
        <w:spacing w:after="160" w:before="0"/>
      </w:pPr>
    </w:p>
    <w:p>
      <w:pPr>
        <w:pStyle w:val="Heading2"/>
      </w:pPr>
      <w:r>
        <w:t xml:space="preserve">Pre-mortem</w:t>
      </w:r>
    </w:p>
    <w:p>
      <w:pPr>
        <w:spacing w:after="100"/>
      </w:pPr>
      <w:r>
        <w:t xml:space="preserve">Octubre de 2029: la acción vale 3.100 TWD, un 40 % menos. Lo que pasó: en 2027 Hon cumplió y vendió un 50 % más, pero la capacidad nueva llegó justo cuando los grandes clientes de nube, con centros de datos de IA aún sin rentabilizar y tipos más altos, recortaron la inversión de 2028. Los subcontratistas de prueba, que habían comprado máquinas para dos años, pararon pedidos: ventas −25 % en 2028, como en 2023. A la vez, Chroma ganó el SLT de un ASIC grande y los socios chinos de Changshu empezaron a vender su propio manipulador en China. El margen EBITDA bajó del 49 % al 38 % y el mercado pasó de pagar 29 veces el beneficio a pagar 15-18 veces un beneficio de ciclo bajo. El dividendo (≈85 % del beneficio) amortiguó poco. Lo habrían anticipado tres señales: ventas mensuales por debajo del año anterior desde mediados de 2027, existencias por encima del 40 % de las ventas con anticipos de clientes cayendo, y presupuestos de inversión de los clientes de nube planos para 2028.</w:t>
      </w:r>
    </w:p>
    <w:p>
      <w:pPr>
        <w:pStyle w:val="Heading2"/>
      </w:pPr>
      <w:r>
        <w:t xml:space="preserve">Riesgo de inteligencia artificial</w:t>
      </w:r>
    </w:p>
    <w:p>
      <w:pPr>
        <w:spacing w:after="100"/>
      </w:pPr>
      <w:r>
        <w:rPr>
          <w:b/>
          <w:bCs/>
        </w:rPr>
        <w:t xml:space="preserve">Exposición:</w:t>
      </w:r>
      <w:r>
        <w:t xml:space="preserve"> Alta · </w:t>
      </w:r>
      <w:r>
        <w:rPr>
          <w:b/>
          <w:bCs/>
        </w:rPr>
        <w:t xml:space="preserve">Sentido:</w:t>
      </w:r>
      <w:r>
        <w:t xml:space="preserve"> Mixto · </w:t>
      </w:r>
      <w:r>
        <w:rPr>
          <w:b/>
          <w:bCs/>
        </w:rPr>
        <w:t xml:space="preserve">Efecto en valor (3-5 años):</w:t>
      </w:r>
      <w:r>
        <w:t xml:space="preserve"> +30 % / −50 % según el ciclo de inversión en IA (de alcista a bajista a 12 meses)</w:t>
      </w:r>
    </w:p>
    <w:p>
      <w:pPr>
        <w:spacing w:after="100"/>
      </w:pPr>
      <w:r>
        <w:t xml:space="preserve">La IA es casi todo el negocio: el 77 % de los pedidos del 1S26 son de IA, HPC y ASIC, y el control térmico de 10 kW existe porque los chips de IA consumen varios kilovatios [6]. Es oportunidad mientras crezca la inversión en centros de datos y la prueba gane peso por chip (encapsulados más grandes, CPO, SLT obligatorio). Es amenaza por dos vías: la ciclicidad (una pausa de la inversión en IA se nota en meses en los pedidos de manipuladores) y la sustitución (si los clientes integran más prueba en oblea o en módulo, o si el probador incorpora su propio control térmico). La IA no sustituye a la máquina: el riesgo es de demanda, no de producto. Señal: las ventas mensuales y los presupuestos de inversión de los cuatro grandes clientes de nube.</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que mueven cifras son de gobierno y de cadena de suministro, no ambientales. Primero, la concentración del control (fundador con el 36,6 % y diez primeros accionistas con el 83,6 %) y la información limitada en inglés [19, 21]. Segundo, el cumplimiento de los controles de exportación de EE. UU. en las ventas a China (24 % por región) [8]. Tercero, la retención de técnicos: el modelo de servicio permanente en las plantas de los clientes depende de una plantilla con grandes paquetes de acciones [9]. El consumo de energía y las emisiones de un ensamblador de máquinas son pequeños frente a sus ventas.</w:t>
      </w:r>
    </w:p>
    <w:p>
      <w:pPr>
        <w:pStyle w:val="Heading2"/>
      </w:pPr>
      <w:r>
        <w:t xml:space="preserve">Controversias</w:t>
      </w:r>
    </w:p>
    <w:p>
      <w:pPr>
        <w:spacing w:after="100"/>
      </w:pPr>
      <w:r>
        <w:t xml:space="preserve">No se han encontrado sanciones, litigios ni incidentes en los últimos tres años en la prensa taiwanesa revisada (UDN, CTEE, cnyes, Business Today); sin acceso a MOPS no se han podido revisar los anuncios de sanciones en la fuente primaria.</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Concentración de clientes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pesan en las ventas de 2025 y del 1S26 el primer cliente directo y la primera diseñadora final, y cuánto la cadena de Nvidia?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está en las fuentes accesibles y decide el riesgo de un ciclo de producto.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Capacidad 2027</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capacidad de +50 % está respaldada por pedidos firmes o anticipos para el 2S27, o es una apuesta?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nuestro base (+45 %) del consenso (+62 %) y del bajista.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medio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de 2027 serán máquinas de 10 kW y con qué precio frente a las de 3-4 kW?</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precio explica la mitad del crecimiento proyectado.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China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ventas dependen de clientes chinos de IA de gama alta y qué pasaría con un control de exportación de equipos de prueba?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China es el 24 % por región y crece más del 60 %.</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Fabricación con socios en Changshu</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del proceso y del control térmico fabrican los socios chinos, y con qué protección?</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el 20 % de la capacidad nueva y un riesgo de competidor futuro.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6</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Circulante</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qué los clientes por cobrar se multiplicaron por 2,6 en el 1S26 y los anticipos bajaron un 40 %?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Puede indicar más poder del cliente en las condiciones de pago.</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7</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Dirección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¿Cuándo y por qué cambió el director general en 2026 y cuál es el plan de sucesión del presidente?</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Todo el saber técnico está en el equipo fundador.</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8</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Acciones de empleados</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¿Hay bloqueos de venta de acciones de empleados o de la salida a bolsa que venzan en los próximos 12 meses?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flotante real es pequeño y una colocación movería el precio.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Stock (hilo del 26-ago sobre Largan, que supera a Hon en precio)</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Hon aparece como ejemplo de acción cara que «rompe mínimos pese a sus márgenes altos» frente a Largan, que marca máximos [37].</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Stock (hilo de resultados del 1T26)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Euforia por el BPA de 25,7 en un trimestre y apuestas a que será la tercera acción de más de 10.000 TWD; muchos lamentan haber vendido pronto [22].</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PTT Stock (búsqueda «鴻勁»: hilos de 2025-2026)</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Neutro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Desde agosto apenas hay hilos nuevos sobre Hon; la conversación se fue a otras acciones de IA [24].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CMoney, foro y «同學風向» de 7769</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Indicador de sentimiento de 25 sobre 100, «extremadamente prudente» el 20-oct; sin mensajes nuevos en el foro de la acción y encuestas «¿por qué baja?» [38].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¿10.000 TWD o burbuja?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objetivos de los bancos van de 6.150 a 12.500 TWD, pero con nuestro BPA de 2028e (198,9) el precio de hoy ya es 26x; el 12.000 de Goldman exige el BPA de 426 TWD de 2028 que el banco publicó en mayo, más del doble del nuestro [28].</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Riqueza de los empleados y posibles ventas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foros hablan de empleados con cientos de lotes; la participación del consejo no se ha movido desde diciembre (36,58 %), pero no hay datos de bloqueos de empleados [22, 23].</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Márgenes altos y precio a la baja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margen bruto se mantiene (56,2 % en el 1S26) y las ventas crecen un 100 %; la caída es de múltiplo, no de negocio [6, 37].</w:t>
            </w:r>
          </w:p>
        </w:tc>
      </w:tr>
    </w:tbl>
    <w:p>
      <w:pPr>
        <w:spacing w:after="160" w:before="0"/>
      </w:pPr>
    </w:p>
    <w:p>
      <w:pPr>
        <w:spacing w:after="100"/>
      </w:pPr>
      <w:r>
        <w:t xml:space="preserve">El sentimiento del particular pasó de la euforia de mayo (apuestas a 10.000 TWD) al desinterés y la prudencia extrema de octubre, mientras los 17 analistas siguen en compra con un objetivo medio de 9.227 TWD. Es la divergencia típica del final de una subida fuerte: el pequeño inversor se retira cuando el precio deja de subir, aunque las cifras sigan creciendo. No aporta un riesgo que el informe no tenga; refuerza que el múltiplo, y no el negocio, es lo que se ha movido.</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22 controles correctos y 5 explicados. Fuentes: 39 (4 primarias); citas distintas en el texto: 38.</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Veredicto de sostenibilidad del analista coherente con las pruebas del motor</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analista dice «En parte» y las pruebas del motor dan «Sí»: razónalo en la justificación.</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Cuota implícita al final de la proyección ≤ 1,5 × la actual (o +10 puntos)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Cuota de 13,7 % en 2030e frente al 9,5 % de hoy.</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28,0 % frente a 18,4 % real: genera una variación de circulante de 10.521 M en el primer año. Converge de forma gradual. Explicación: El 18,4 % de 2025 está deprimido por 6.591 M de anticipos de clientes; en el LTM a junio de 2026 el circulante comercial es el 35 % de las ventas y en 2022-2024 osciló entre el 22 % y el 41 %. El 28 % es la media del ciclo; la variación de 2026e (10.521 M) es la que ya se ve en el 1S26 (−9.606 M de circulante en los últimos doce meses).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46 %.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Caja proyectada coherente con la histórica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DCF proyecta 20.821 M de flujo libre medio en sus tres primeros años, frente a 7.701 M de media real en los tres últimos: justifica el salto (circulante, inversión, márgenes) o ajusta los supuestos. Explicación: Las ventas de 2026e (57.515 M) casi doblan las de 2025 y triplican la media de 2023-2025; el flujo libre medio de 2026-2028 sube con ellas, y la inversión y el circulante ya están cargados con el patrón del 1S26.</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Proyección propia frente a consenso (2028e)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EBITDA propio -46,2 % frente al consenso: justifica la diferencia en el DCF. Explicación: Diferencia deliberada y explicada en dcf.justificacion y en valoracion.objetivo_12m.diferencia_consenso: el consenso de 2028e (152.075 M de ventas) supondría el 22 % de todo el mercado de equipos de prueba de SEMI (2,3 veces la cuota de hoy) y no pasa la prueba de sostenibilidad; nuestro base crece +45 % en 2027 y +15 % en 2028.</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del BPA base ≤ 25 % anual desde el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BPA base de 2028e (198,90) supone un 38,1 % anual desde 75,54 (2025): explícalo en valoracion.objetivo_12m.comentario o la confianza es baja. Explicación: El 38,1 % anual desde 2025 sale casi todo de 2026e, que ya está publicado en su mayor parte (BPA del 1S26 de 56,14 y ventas de enero-septiembre de 40.713 M, +94 %): nuestro 2026e (128,70) coincide con el consenso (129,20). Desde 2026e el BPA base crece un 24 % anual hasta 2028e. Explicado en valoracion.objetivo_12m.comentario.</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39 fuentes (4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4. Explicación: MOPS y la web de la empresa están bloqueados desde la nube; las primarias accesibles son la ficha de la TWSE, el registro mercantil (GCIS) y los anuncios a la bolsa reproducidos por CNA. Las cifras contables de S&amp;P Global cuadran con la ficha oficial.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36.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19. Transacciones precedentes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cuenta 2021</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MOPS (doc.twse.com.tw y mopsov.twse.com.tw: bloqueo «FOR SECURITY REASONS» por IP compartida); 2) StockAnalysis (S&amp;P Global) y HiStock: la serie empieza en 2022 y 2024; 3) prensa del folleto de salida a bolsa: sin cifras de 2021</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clientes: peso del primer cliente y de los diez primeros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2025 y folleto en MOPS: bloqueados; 2) web de la empresa (honprec.com): error de certificado y 503; 3) prensa (Business Today, TechNews, UDN): solo nombres y reparto por región, sin porcentajes por cliente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vencimientos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 hay deuda financiera a junio de 2026 [3]; 2) arrendamientos de 90 M sin calendario; 3) no aplica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opinion y anios_auditor</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auditoría en MOPS: bloqueado; 2) WantGoo y MoneyLink solo dan la firma (Deloitte) y los socios; 3) prensa: sin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tcac_historico_pct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SEMI: el comunicado de julio de 2026 solo da el crecimiento de 2025 y las previsiones; 2) comunicado de SEMI de diciembre de 2025: solo previsiones 2025-2027; 3) SEMI web: 403</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cr5_pct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SEMI: no publica cuotas; 2) prensa taiwanesa: solo la cuota de Hon (≈30 %); 3) informes de VLSI/Yole: de pago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remuneracion_ceo y votos de la junta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y actas de junta en MOPS: bloqueados; 2) web de la empresa: error de certificado y 503;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insiders (operaciones de 12 meses del registro)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MOPS «內部人持股轉讓事前申報»: bloqueado; 2) Yahoo y cnyes: sin tabla de avisos; 3) serie mensual del consejo (36,58 % sin cambios desde dic-2025) como prueba indirecta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Calculado y marcado como estimación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representantes de las personas jurídicas y fechas de nombramiento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GCIS: solo el del presidente; 2) MOPS: bloqueado; 3) prensa: sin lista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con múltiplo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8-K de Cohu sobre Xcerra (2018): valor empresa de 627 M USD, sin ventas ni EBITDA de Xcerra por separado; 2) búsqueda de múltiplos de compras de fabricantes de manipuladores y control térmico (Advantest-Essai, AEM-CEI, Cohu-Tignis): importes sin múltiplo; 3) prensa: sin múltiplos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isin y empleados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ficha de la TWSE: el ISIN aparece sin valor; 2) cnyes y WantGoo: sin ISIN ni plantilla; 3) MOPS: bloqueado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posicion_corta_pct</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ficha de la TWSE: ventas en corto diarias de 0-5 lotes, sin saldo en %; 2) Yahoo «融資融券»: sin porcentaje; 3) cálculo: no hay saldo publicado accesible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calificaciones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informe de sostenibilidad en la web de la empresa: inaccesible; 2) MSCI y Sustainalytics: sin calificación pública localizada; 3) prensa: sin datos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Hon. Precision, Inc. (7769): ficha de la compañía (cierres, BPA trimestral, ventas mensuales, dividendos y anuncios)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Taiwan Stock Exchange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https://www.twse.com.tw/pdf/en/7769_en.pdf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Hon. Precision (TPE:7769) Income Statement (S&amp;P Global Market Intelligence)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https://stockanalysis.com/quote/tpe/7769/financials/income-statement/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 Precision (TPE:7769)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https://stockanalysis.com/quote/tpe/7769/financials/balance-sheet/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 Precision (TPE:7769)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https://stockanalysis.com/quote/tpe/7769/financials/cash-flow-statement/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 Precision (TPE:7769) Quarterly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https://stockanalysis.com/quote/tpe/7769/financials/?period=quarterly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鴻勁 (7769) 法說會 2026-07-30: resumen de la conferencia de resultados del 2T26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Fugle (富果研究)</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https://blog.fugle.tw/post/earnings-call-7769-2026-07-30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鴻勁 EPS 75元、配息65元、外資喊上5,700元 為何股價一度跌停?</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Economic Daily News (經濟日報)</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https://money.udn.com/money/amp/story/5607/9378658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需求推升未來兩季產能滿載!鴻勁精密預計 11 月底掛牌上市</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TechNews 科技新報</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https://finance.technews.tw/2025/10/27/full-capacity/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鴻勁全解密系列1: 短短14個月股價翻3.5倍、穩坐設備股王</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Business Today (今周刊)</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https://www.businesstoday.com.tw/article/category/183008/post/202601140060/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鴻勁 (7769) noticias y anuncios a la bolsa: ventas de septiembre de 2026, compras de renta fija de Top Vintage, compras de equipos de ASE Singapore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Yahoo奇摩股市 (anuncios de MOPS vía CNA y MoneyDJ)</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https://tw.stock.yahoo.com/quote/7769.TW/news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Semiconductor Equipment Sales Forecast to Reach a Record $229 Billion in 2028, SEMI Reports (mid-year forecast)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SEMI (vía Webull/PR Newswire)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https://www.webull.com/news/15226022544172032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Advantest (TYO:6857)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https://stockanalysis.com/quote/tyo/6857/statistics/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Teradyne (TER)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https://stockanalysis.com/stocks/ter/statistics/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Cohu (COHU)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https://stockanalysis.com/stocks/cohu/statistics/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Chroma ATE (TPE:2360)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https://stockanalysis.com/quote/tpe/2360/statistics/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Techwing (KOSDAQ:089030)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https://stockanalysis.com/quote/kosdaq/089030/statistics/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AEM Holdings (SGX:AWX)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https://stockanalysis.com/quote/sgx/AWX/statistics/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mercantil: 鴻勁精密股份有限公司 (54884366), datos básicos y consejeros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Asuntos Económicos de Taiwán (GCIS)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https://data.gcis.nat.gov.tw/od/data/api/5F64D864-61CB-4D0D-8AD9-492047CC1EA6?$format=json&amp;$filter=Business_Accounting_NO%20eq%2054884366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鴻勁 salida a bolsa: precio de oferta y primer día (cnyes, perfil de la compañía y noticias)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cnyes 鉅亨網</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https://www.cnyes.com/twstock/7769/company/profile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[新聞] MSCI季調揭曉 台股成分股新增鴻勁 (PTT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https://www.ptt.cc/bbs/Stock/M.1770775458.A.E05.html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Registro mercantil: consejeros y participaciones de 鴻勁精密股份有限公司 (54884366)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Ministerio de Asuntos Económicos de Taiwán (GCIS)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https://data.gcis.nat.gov.tw/od/data/api/4E5F7653-1B91-4DDC-99D5-468530FAE396?$format=json&amp;$filter=Business_Accounting_NO%20eq%2054884366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[新聞] 鴻勁Q1創紀錄 每股賺25.7元 (PTT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https://www.ptt.cc/bbs/Stock/M.1778594163.A.E76.html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鴻勁 (7769) 大戶籌碼: inversores extranjeros, grandes accionistas y participación del consejo (serie semanal)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Yahoo奇摩股市</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16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https://tw.stock.yahoo.com/quote/7769.TW/major-holders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[情報] 6187 萬潤 賣鴻勁賺147,640,731元(剩0股) (PTT Stock)</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 (anuncio de MOPS de All Ring Tech)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11 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https://www.ptt.cc/bbs/Stock/search?q=%E9%B4%BB%E5%8B%81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鴻勁 (7769) 公司資料 (auditor, portavoces)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WantGoo 玩股網</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https://www.wantgoo.com/stock/7769/company-profile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 Precision Inc: finanzas y consenso (estimaciones 2026-2028, 17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https://www.marketscreener.com/quote/stock/HON-PRECISION-INC-173856804/finances/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HonPrecision Inc (7769) Consensus Estimates (recomendaciones y objetivos por banco)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https://www.investing.com/equities/honprecision-consensus-estimates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鴻勁目標價 喊到12,000 (Goldman, Morgan Stanley, UBS, JPMorgan)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Economic Daily News (經濟日報)</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https://money.udn.com/money/amp/story/5607/9500978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 históricos diarios (7769.TW, 0050.TW, SOXX), herramientas/bolsa.mjs y movimiento.mjs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https://finance.yahoo.com/quote/7769.TW/history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鴻勁 注意股: cierre del 24-jun-2026 a 6.755 TWD y PER de 84,29</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Times (旺得富)</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https://wantrich.chinatimes.com/news/20260625900175-420101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鴻勁 美系外資上調目標價至5,500元 (29-abr-2026)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China Times (旺得富)</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https://wantrich.chinatimes.com/news/20260429900811-420101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通膨升溫壓抑 AI 股評價 日月光、測試介面三雄跌停</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Economic Daily News (經濟日報)</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https://money.udn.com/money/story/5607/9816211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MPI Corporation (TPEX:6223)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https://stockanalysis.com/quote/tpex/6223/statistics/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Chunghwa Precision Test Tech. (TPEX:6510) Statistics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StockAnalysis (S&amp;P Global)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https://stockanalysis.com/quote/tpex/6510/statistics/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Taiwan 10-Year Government Bond Yield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https://tradingeconomics.com/taiwan/government-bond-yield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USD/TWD, JPY/TWD, KRW/TWD y SGD/TWD (cierre del 20-oct-2026)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https://finance.yahoo.com/quote/TWD=X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[新聞] 快訊/大立光漲停刷天價 超車鴻勁居上 (PTT Stock, comentarios)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PTT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https://www.ptt.cc/bbs/Stock/M.1787710068.A.3A3.html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鴻勁 (7769) 討論區 y 同學風向</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CMoney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https://www.cmoney.tw/forum/stock/7769</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Implied ERP by month (ERPbymonth.xlsx), octubre de 2026: 4,20 % (T12m with sustainable payout)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Aswath Damodaran, NYU Stern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79,9 %</w:t>
      </w:r>
      <w:r>
        <w:t xml:space="preserve"> · Secciones con menos del 60 % de campos cubiertos: </w:t>
      </w:r>
      <w:r>
        <w:rPr>
          <w:b/>
          <w:bCs/>
        </w:rPr>
        <w:t xml:space="preserve">capital, gobierno, transacciones</w:t>
      </w:r>
      <w:r>
        <w:t xml:space="preserve"> · Generado el 20 oct 2026.</w:t>
      </w:r>
    </w:p>
    <w:p>
      <w:pPr>
        <w:pStyle w:val="Nota"/>
        <w:spacing w:after="100"/>
      </w:pPr>
      <w:r>
        <w:t xml:space="preserve">Línea cotizada: 7769 en la Bolsa de Taiwán (TWSE), en TWD; las cuentas también en TWD (NIIF adoptadas en Taiwán), cierre a 31 de diciembre. MOPS (mops/doc.twse.com.tw) y la web de la empresa no responden desde la nube (bloqueo por IP compartida y error de certificado): las cuentas 2022-2025 y el LTM a junio de 2026 son las de S&amp;P Global Market Intelligence vía StockAnalysis, cotejadas con la ficha oficial de la Bolsa de Taiwán (BPA trimestral, beneficio antes de impuestos acumulado, ventas mensuales y dividendos), y no se han leído el informe anual, las notas ni el folleto de salida a bolsa. 2021 no está disponible: la empresa cotiza desde octubre de 2024 (mercado emergente) y desde el 27-nov-2025 en la TWSE, así que la historia de cotización y de múltiplos es de dos cierres. El cierre de 2024 es del mercado emergente, poco líquido. Precio: cierre del 20-oct-2026 (5.205 TWD; la sesión de Taipéi cierra a las 05:30 UTC). Comparables convertidos a TWD con los cambios de Yahoo del 20-oct. La concentración de clientes por nombre no está publicada en las fuentes accesibles.</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20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Hon. Precision, Inc. (7769.TW)</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(TWD) · precio actual 5.205,00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(1.990,00 – 8.465,00)</c:v>
                </c:pt>
                <c:pt idx="1">
                  <c:v>Precio objetivo de los analistas (6.150,00 – 12.500,00)</c:v>
                </c:pt>
                <c:pt idx="2">
                  <c:v>Comparables: PER NTM (6.603,99 – 7.208,17)</c:v>
                </c:pt>
                <c:pt idx="3">
                  <c:v>DCF (WACC y g ± 0,5) (1.949,97 – 2.252,85)</c:v>
                </c:pt>
                <c:pt idx="4">
                  <c:v>Escenarios (bajista – alcista) (1.236,95 – 3.261,88)</c:v>
                </c:pt>
                <c:pt idx="5">
                  <c:v>DCF con la prima implícita del mercado (4,2 %)</c:v>
                </c:pt>
                <c:pt idx="6">
                  <c:v>Precio actual (5.205,00)</c:v>
                </c:pt>
              </c:strCache>
            </c:strRef>
          </c:cat>
          <c:val>
            <c:numRef>
              <c:f>Hoja1!$B$2:$B$8</c:f>
              <c:numCache>
                <c:formatCode>#,##0</c:formatCode>
                <c:ptCount val="7"/>
                <c:pt idx="0">
                  <c:v>1990</c:v>
                </c:pt>
                <c:pt idx="1">
                  <c:v>6150</c:v>
                </c:pt>
                <c:pt idx="2">
                  <c:v>6603.99</c:v>
                </c:pt>
                <c:pt idx="3">
                  <c:v>1949.97</c:v>
                </c:pt>
                <c:pt idx="4">
                  <c:v>1236.95</c:v>
                </c:pt>
                <c:pt idx="5">
                  <c:v>2358.99</c:v>
                </c:pt>
                <c:pt idx="6">
                  <c:v>5178.98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(1.990,00 – 8.465,00)</c:v>
                </c:pt>
                <c:pt idx="1">
                  <c:v>Precio objetivo de los analistas (6.150,00 – 12.500,00)</c:v>
                </c:pt>
                <c:pt idx="2">
                  <c:v>Comparables: PER NTM (6.603,99 – 7.208,17)</c:v>
                </c:pt>
                <c:pt idx="3">
                  <c:v>DCF (WACC y g ± 0,5) (1.949,97 – 2.252,85)</c:v>
                </c:pt>
                <c:pt idx="4">
                  <c:v>Escenarios (bajista – alcista) (1.236,95 – 3.261,88)</c:v>
                </c:pt>
                <c:pt idx="5">
                  <c:v>DCF con la prima implícita del mercado (4,2 %)</c:v>
                </c:pt>
                <c:pt idx="6">
                  <c:v>Precio actual (5.205,00)</c:v>
                </c:pt>
              </c:strCache>
            </c:strRef>
          </c:cat>
          <c:val>
            <c:numRef>
              <c:f>Hoja1!$C$2:$C$8</c:f>
              <c:numCache>
                <c:formatCode>#,##0</c:formatCode>
                <c:ptCount val="7"/>
                <c:pt idx="0">
                  <c:v>6475</c:v>
                </c:pt>
                <c:pt idx="1">
                  <c:v>6350</c:v>
                </c:pt>
                <c:pt idx="2">
                  <c:v>604.1800000000003</c:v>
                </c:pt>
                <c:pt idx="3">
                  <c:v>302.8799999999999</c:v>
                </c:pt>
                <c:pt idx="4">
                  <c:v>2024.93</c:v>
                </c:pt>
                <c:pt idx="5">
                  <c:v>302.4500000000003</c:v>
                </c:pt>
                <c:pt idx="6">
                  <c:v>52.04000000000087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(TWD, millones)</a:t>
            </a:r>
          </a:p>
        </c:rich>
      </c:tx>
      <c:overlay val="0"/>
    </c:title>
    <c:autoTitleDeleted val="0"/>
    <c:plotArea>
      <c:layout/>
      <c:barChart>
        <c:barDir val="col"/>
        <c:grouping val="stacked"/>
        <c:varyColors val="0"/>
        <c:ser>
          <c:idx val="0"/>
          <c:order val="0"/>
          <c:tx>
            <c:strRef>
              <c:f>Hoja1!$B$1</c:f>
              <c:strCache>
                <c:ptCount val="1"/>
                <c:pt idx="0">
                  <c:v>Equipos de prueba de semiconductores (manipuladores FT/SLT y control térmico activo)</c:v>
                </c:pt>
              </c:strCache>
            </c:strRef>
          </c:tx>
          <c:spPr>
            <a:solidFill>
              <a:srgbClr val="2A78D6"/>
            </a:solidFill>
            <a:ln w="12700">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13469</c:v>
                </c:pt>
                <c:pt idx="1">
                  <c:v>9489</c:v>
                </c:pt>
                <c:pt idx="2">
                  <c:v>13992</c:v>
                </c:pt>
                <c:pt idx="3">
                  <c:v>30271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Equipos de prueba de semiconductores (manipuladores FT/SLT y control térmico activo)</c:v>
                </c:pt>
              </c:strCache>
            </c:strRef>
          </c:cat>
          <c:val>
            <c:numRef>
              <c:f>Hoja1!$B$2</c:f>
              <c:numCache>
                <c:formatCode>General</c:formatCode>
                <c:ptCount val="1"/>
                <c:pt idx="0">
                  <c:v>100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Estados Unidos</c:v>
                </c:pt>
                <c:pt idx="1">
                  <c:v>China</c:v>
                </c:pt>
                <c:pt idx="2">
                  <c:v>Taiwán</c:v>
                </c:pt>
                <c:pt idx="3">
                  <c:v>Sudeste asiático y Europa</c:v>
                </c:pt>
              </c:strCache>
            </c:strRef>
          </c:cat>
          <c:val>
            <c:numRef>
              <c:f>Hoja1!$B$2:$B$5</c:f>
              <c:numCache>
                <c:formatCode>0"%"</c:formatCode>
                <c:ptCount val="4"/>
                <c:pt idx="0">
                  <c:v>52</c:v>
                </c:pt>
                <c:pt idx="1">
                  <c:v>24</c:v>
                </c:pt>
                <c:pt idx="2">
                  <c:v>15</c:v>
                </c:pt>
                <c:pt idx="3">
                  <c:v>9</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Tamaño del mercado (millones de TWD (equipos de prueba de SEMI a 32,6 TWD/USD)) · «e» = previsión</a:t>
            </a:r>
          </a:p>
        </c:rich>
      </c:tx>
      <c:overlay val="0"/>
    </c:title>
    <c:autoTitleDeleted val="0"/>
    <c:plotArea>
      <c:layout/>
      <c:barChart>
        <c:barDir val="col"/>
        <c:grouping val="clustered"/>
        <c:varyColors val="0"/>
        <c:ser>
          <c:idx val="0"/>
          <c:order val="0"/>
          <c:tx>
            <c:strRef>
              <c:f>Hoja1!$B$1</c:f>
              <c:strCache>
                <c:ptCount val="1"/>
                <c:pt idx="0">
                  <c:v>Tamaño del mercado</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2024</c:v>
                </c:pt>
                <c:pt idx="1">
                  <c:v>2025</c:v>
                </c:pt>
                <c:pt idx="2">
                  <c:v>2026e</c:v>
                </c:pt>
                <c:pt idx="3">
                  <c:v>2027e</c:v>
                </c:pt>
                <c:pt idx="4">
                  <c:v>2028e</c:v>
                </c:pt>
              </c:strCache>
            </c:strRef>
          </c:cat>
          <c:val>
            <c:numRef>
              <c:f>Hoja1!$B$2:$B$6</c:f>
              <c:numCache>
                <c:formatCode>#,##0</c:formatCode>
                <c:ptCount val="5"/>
                <c:pt idx="0">
                  <c:v>245200</c:v>
                </c:pt>
                <c:pt idx="1">
                  <c:v>380800</c:v>
                </c:pt>
                <c:pt idx="2">
                  <c:v>498800</c:v>
                </c:pt>
                <c:pt idx="3">
                  <c:v>581600</c:v>
                </c:pt>
                <c:pt idx="4">
                  <c:v>678100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4</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Hoja1!$A$2:$A$8</c:f>
              <c:strCache>
                <c:ptCount val="7"/>
                <c:pt idx="0">
                  <c:v>Hon. Precision</c:v>
                </c:pt>
                <c:pt idx="1">
                  <c:v>Advantest</c:v>
                </c:pt>
                <c:pt idx="2">
                  <c:v>Teradyne</c:v>
                </c:pt>
                <c:pt idx="3">
                  <c:v>Chroma ATE</c:v>
                </c:pt>
                <c:pt idx="4">
                  <c:v>Cohu</c:v>
                </c:pt>
                <c:pt idx="5">
                  <c:v>AEM Holdings</c:v>
                </c:pt>
                <c:pt idx="6">
                  <c:v>Techwing</c:v>
                </c:pt>
              </c:strCache>
            </c:strRef>
          </c:cat>
          <c:val>
            <c:numRef>
              <c:f>Hoja1!$B$2:$B$8</c:f>
              <c:numCache>
                <c:formatCode>0.0"%"</c:formatCode>
                <c:ptCount val="7"/>
                <c:pt idx="0">
                  <c:v>49.7</c:v>
                </c:pt>
                <c:pt idx="1">
                  <c:v>45.7</c:v>
                </c:pt>
                <c:pt idx="2">
                  <c:v>30.7</c:v>
                </c:pt>
                <c:pt idx="3">
                  <c:v>36.8</c:v>
                </c:pt>
                <c:pt idx="4">
                  <c:v>-6.2</c:v>
                </c:pt>
                <c:pt idx="5">
                  <c:v>11.3</c:v>
                </c:pt>
                <c:pt idx="6">
                  <c:v>17.4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4</c:v>
                </c:pt>
                <c:pt idx="2">
                  <c:v>3</c:v>
                </c:pt>
                <c:pt idx="3">
                  <c:v>3</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(TWD,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Hoja1!$A$2:$A$15</c:f>
              <c:strCache>
                <c:ptCount val="14"/>
                <c:pt idx="0">
                  <c:v>2022</c:v>
                </c:pt>
                <c:pt idx="1">
                  <c:v>2023</c:v>
                </c:pt>
                <c:pt idx="2">
                  <c:v>2024</c:v>
                </c:pt>
                <c:pt idx="3">
                  <c:v>2025</c:v>
                </c:pt>
                <c:pt idx="4">
                  <c:v>2026e</c:v>
                </c:pt>
                <c:pt idx="5">
                  <c:v>2027e</c:v>
                </c:pt>
                <c:pt idx="6">
                  <c:v>2028e</c:v>
                </c:pt>
                <c:pt idx="7">
                  <c:v>2029e</c:v>
                </c:pt>
                <c:pt idx="8">
                  <c:v>2030e</c:v>
                </c:pt>
                <c:pt idx="9">
                  <c:v>2031e</c:v>
                </c:pt>
                <c:pt idx="10">
                  <c:v>2032e</c:v>
                </c:pt>
                <c:pt idx="11">
                  <c:v>2033e</c:v>
                </c:pt>
                <c:pt idx="12">
                  <c:v>2034e</c:v>
                </c:pt>
                <c:pt idx="13">
                  <c:v>2035e</c:v>
                </c:pt>
              </c:strCache>
            </c:strRef>
          </c:cat>
          <c:val>
            <c:numRef>
              <c:f>Hoja1!$B$2:$B$15</c:f>
              <c:numCache>
                <c:formatCode>#,##0</c:formatCode>
                <c:ptCount val="14"/>
                <c:pt idx="0">
                  <c:v>13469</c:v>
                </c:pt>
                <c:pt idx="1">
                  <c:v>9489</c:v>
                </c:pt>
                <c:pt idx="2">
                  <c:v>13992</c:v>
                </c:pt>
                <c:pt idx="3">
                  <c:v>30271</c:v>
                </c:pt>
                <c:pt idx="4">
                  <c:v>57515</c:v>
                </c:pt>
                <c:pt idx="5">
                  <c:v>83397</c:v>
                </c:pt>
                <c:pt idx="6">
                  <c:v>95906</c:v>
                </c:pt>
                <c:pt idx="7">
                  <c:v>100701</c:v>
                </c:pt>
                <c:pt idx="8">
                  <c:v>100701</c:v>
                </c:pt>
                <c:pt idx="9">
                  <c:v>103722</c:v>
                </c:pt>
                <c:pt idx="10">
                  <c:v>106834</c:v>
                </c:pt>
                <c:pt idx="11">
                  <c:v>109505</c:v>
                </c:pt>
                <c:pt idx="12">
                  <c:v>111695</c:v>
                </c:pt>
                <c:pt idx="13">
                  <c:v>113929</c:v>
                </c:pt>
              </c:numCache>
            </c:numRef>
          </c:val>
        </c:ser>
        <c:ser>
          <c:idx val="1"/>
          <c:order val="1"/>
          <c:tx>
            <c:strRef>
              <c:f>Hoja1!$C$1</c:f>
              <c:strCache>
                <c:ptCount val="1"/>
                <c:pt idx="0">
                  <c:v>EBITDA</c:v>
                </c:pt>
              </c:strCache>
            </c:strRef>
          </c:tx>
          <c:spPr>
            <a:solidFill>
              <a:srgbClr val="EB6834"/>
            </a:solidFill>
            <a:ln w="9525">
              <a:noFill/>
            </a:ln>
          </c:spPr>
          <c:invertIfNegative val="0"/>
          <c:cat>
            <c:strRef>
              <c:f>Hoja1!$A$2:$A$15</c:f>
              <c:strCache>
                <c:ptCount val="14"/>
                <c:pt idx="0">
                  <c:v>2022</c:v>
                </c:pt>
                <c:pt idx="1">
                  <c:v>2023</c:v>
                </c:pt>
                <c:pt idx="2">
                  <c:v>2024</c:v>
                </c:pt>
                <c:pt idx="3">
                  <c:v>2025</c:v>
                </c:pt>
                <c:pt idx="4">
                  <c:v>2026e</c:v>
                </c:pt>
                <c:pt idx="5">
                  <c:v>2027e</c:v>
                </c:pt>
                <c:pt idx="6">
                  <c:v>2028e</c:v>
                </c:pt>
                <c:pt idx="7">
                  <c:v>2029e</c:v>
                </c:pt>
                <c:pt idx="8">
                  <c:v>2030e</c:v>
                </c:pt>
                <c:pt idx="9">
                  <c:v>2031e</c:v>
                </c:pt>
                <c:pt idx="10">
                  <c:v>2032e</c:v>
                </c:pt>
                <c:pt idx="11">
                  <c:v>2033e</c:v>
                </c:pt>
                <c:pt idx="12">
                  <c:v>2034e</c:v>
                </c:pt>
                <c:pt idx="13">
                  <c:v>2035e</c:v>
                </c:pt>
              </c:strCache>
            </c:strRef>
          </c:cat>
          <c:val>
            <c:numRef>
              <c:f>Hoja1!$C$2:$C$15</c:f>
              <c:numCache>
                <c:formatCode>#,##0</c:formatCode>
                <c:ptCount val="14"/>
                <c:pt idx="0">
                  <c:v>5036.7</c:v>
                </c:pt>
                <c:pt idx="1">
                  <c:v>3800.8</c:v>
                </c:pt>
                <c:pt idx="2">
                  <c:v>6330.8</c:v>
                </c:pt>
                <c:pt idx="3">
                  <c:v>15114.6</c:v>
                </c:pt>
                <c:pt idx="4">
                  <c:v>28182</c:v>
                </c:pt>
                <c:pt idx="5">
                  <c:v>40030</c:v>
                </c:pt>
                <c:pt idx="6">
                  <c:v>44117</c:v>
                </c:pt>
                <c:pt idx="7">
                  <c:v>44309</c:v>
                </c:pt>
                <c:pt idx="8">
                  <c:v>42295</c:v>
                </c:pt>
                <c:pt idx="9">
                  <c:v>42526</c:v>
                </c:pt>
                <c:pt idx="10">
                  <c:v>42734</c:v>
                </c:pt>
                <c:pt idx="11">
                  <c:v>43802</c:v>
                </c:pt>
                <c:pt idx="12">
                  <c:v>44678</c:v>
                </c:pt>
                <c:pt idx="13">
                  <c:v>45572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0">
                  <c:v>46.3</c:v>
                </c:pt>
                <c:pt idx="1">
                  <c:v>49.2</c:v>
                </c:pt>
                <c:pt idx="2">
                  <c:v>55</c:v>
                </c:pt>
                <c:pt idx="3">
                  <c:v>56.5</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37.4</c:v>
                </c:pt>
                <c:pt idx="1">
                  <c:v>40.1</c:v>
                </c:pt>
                <c:pt idx="2">
                  <c:v>45.2</c:v>
                </c:pt>
                <c:pt idx="3">
                  <c:v>49.9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0">
                  <c:v>37.2</c:v>
                </c:pt>
                <c:pt idx="1">
                  <c:v>39.7</c:v>
                </c:pt>
                <c:pt idx="2">
                  <c:v>44.9</c:v>
                </c:pt>
                <c:pt idx="3">
                  <c:v>49.7</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Hoja1!$A$2:$A$5</c:f>
              <c:strCache>
                <c:ptCount val="4"/>
                <c:pt idx="0">
                  <c:v>2022</c:v>
                </c:pt>
                <c:pt idx="1">
                  <c:v>2023</c:v>
                </c:pt>
                <c:pt idx="2">
                  <c:v>2024</c:v>
                </c:pt>
                <c:pt idx="3">
                  <c:v>2025</c:v>
                </c:pt>
              </c:strCache>
            </c:strRef>
          </c:cat>
          <c:val>
            <c:numRef>
              <c:f>Hoja1!$E$2:$E$5</c:f>
              <c:numCache>
                <c:formatCode>0"%"</c:formatCode>
                <c:ptCount val="4"/>
                <c:pt idx="0">
                  <c:v>32.3</c:v>
                </c:pt>
                <c:pt idx="1">
                  <c:v>32.3</c:v>
                </c:pt>
                <c:pt idx="2">
                  <c:v>37.8</c:v>
                </c:pt>
                <c:pt idx="3">
                  <c:v>40.8</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Hoja1!$B$2:$B$9</c:f>
              <c:numCache>
                <c:formatCode>0.0"%"</c:formatCode>
                <c:ptCount val="8"/>
                <c:pt idx="0">
                  <c:v>115.1</c:v>
                </c:pt>
                <c:pt idx="1">
                  <c:v>197.9</c:v>
                </c:pt>
                <c:pt idx="2">
                  <c:v>142.4</c:v>
                </c:pt>
                <c:pt idx="3">
                  <c:v>128.7</c:v>
                </c:pt>
                <c:pt idx="4">
                  <c:v>128.9</c:v>
                </c:pt>
                <c:pt idx="5">
                  <c:v>87</c:v>
                </c:pt>
                <c:pt idx="6">
                  <c:v>81.4</c:v>
                </c:pt>
                <c:pt idx="7">
                  <c:v>100.4</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Hoja1!$A$2:$A$9</c:f>
              <c:strCache>
                <c:ptCount val="8"/>
                <c:pt idx="0">
                  <c:v>3T24</c:v>
                </c:pt>
                <c:pt idx="1">
                  <c:v>4T24</c:v>
                </c:pt>
                <c:pt idx="2">
                  <c:v>1T25</c:v>
                </c:pt>
                <c:pt idx="3">
                  <c:v>2T25</c:v>
                </c:pt>
                <c:pt idx="4">
                  <c:v>3T25</c:v>
                </c:pt>
                <c:pt idx="5">
                  <c:v>4T25</c:v>
                </c:pt>
                <c:pt idx="6">
                  <c:v>1T26</c:v>
                </c:pt>
                <c:pt idx="7">
                  <c:v>2T26</c:v>
                </c:pt>
              </c:strCache>
            </c:strRef>
          </c:cat>
          <c:val>
            <c:numRef>
              <c:f>Hoja1!$C$2:$C$9</c:f>
              <c:numCache>
                <c:formatCode>0.0"%"</c:formatCode>
                <c:ptCount val="8"/>
                <c:pt idx="0">
                  <c:v>115.1</c:v>
                </c:pt>
                <c:pt idx="1">
                  <c:v>197.9</c:v>
                </c:pt>
                <c:pt idx="2">
                  <c:v>142.4</c:v>
                </c:pt>
                <c:pt idx="3">
                  <c:v>128.7</c:v>
                </c:pt>
                <c:pt idx="4">
                  <c:v>128.9</c:v>
                </c:pt>
                <c:pt idx="5">
                  <c:v>87</c:v>
                </c:pt>
                <c:pt idx="6">
                  <c:v>81.4</c:v>
                </c:pt>
                <c:pt idx="7">
                  <c:v>100.4</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0">
                  <c:v>69</c:v>
                </c:pt>
                <c:pt idx="1">
                  <c:v>43</c:v>
                </c:pt>
                <c:pt idx="2">
                  <c:v>76</c:v>
                </c:pt>
                <c:pt idx="3">
                  <c:v>35</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260</c:v>
                </c:pt>
                <c:pt idx="1">
                  <c:v>310</c:v>
                </c:pt>
                <c:pt idx="2">
                  <c:v>490</c:v>
                </c:pt>
                <c:pt idx="3">
                  <c:v>351</c:v>
                </c:pt>
              </c:numCache>
            </c:numRef>
          </c:val>
          <c:smooth val="0"/>
        </c:ser>
        <c:ser>
          <c:idx val="2"/>
          <c:order val="2"/>
          <c:tx>
            <c:strRef>
              <c:f>Hoja1!$D$1</c:f>
              <c:strCache>
                <c:ptCount val="1"/>
                <c:pt idx="0">
                  <c:v>Días de pago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0">
                  <c:v>49</c:v>
                </c:pt>
                <c:pt idx="1">
                  <c:v>41</c:v>
                </c:pt>
                <c:pt idx="2">
                  <c:v>185</c:v>
                </c:pt>
                <c:pt idx="3">
                  <c:v>94</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(TWD,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3091.96</c:v>
                </c:pt>
                <c:pt idx="1">
                  <c:v>5043.73</c:v>
                </c:pt>
                <c:pt idx="2">
                  <c:v>2165.9500000000003</c:v>
                </c:pt>
                <c:pt idx="3">
                  <c:v>15892.7</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4356</c:v>
                </c:pt>
                <c:pt idx="1">
                  <c:v>3068</c:v>
                </c:pt>
                <c:pt idx="2">
                  <c:v>5286</c:v>
                </c:pt>
                <c:pt idx="3">
                  <c:v>12362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Hoja1!$A$2:$A$5</c:f>
              <c:strCache>
                <c:ptCount val="4"/>
                <c:pt idx="0">
                  <c:v>2022</c:v>
                </c:pt>
                <c:pt idx="1">
                  <c:v>2023</c:v>
                </c:pt>
                <c:pt idx="2">
                  <c:v>2024</c:v>
                </c:pt>
                <c:pt idx="3">
                  <c:v>2025</c:v>
                </c:pt>
              </c:strCache>
            </c:strRef>
          </c:cat>
          <c:val>
            <c:numRef>
              <c:f>Hoja1!$B$2:$B$5</c:f>
              <c:numCache>
                <c:formatCode>0"%"</c:formatCode>
                <c:ptCount val="4"/>
                <c:pt idx="0">
                  <c:v>79.9</c:v>
                </c:pt>
                <c:pt idx="1">
                  <c:v>77.9</c:v>
                </c:pt>
                <c:pt idx="2">
                  <c:v>114.5</c:v>
                </c:pt>
                <c:pt idx="3">
                  <c:v>245.6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Hoja1!$A$2:$A$5</c:f>
              <c:strCache>
                <c:ptCount val="4"/>
                <c:pt idx="0">
                  <c:v>2022</c:v>
                </c:pt>
                <c:pt idx="1">
                  <c:v>2023</c:v>
                </c:pt>
                <c:pt idx="2">
                  <c:v>2024</c:v>
                </c:pt>
                <c:pt idx="3">
                  <c:v>2025</c:v>
                </c:pt>
              </c:strCache>
            </c:strRef>
          </c:cat>
          <c:val>
            <c:numRef>
              <c:f>Hoja1!$C$2:$C$5</c:f>
              <c:numCache>
                <c:formatCode>0"%"</c:formatCode>
                <c:ptCount val="4"/>
                <c:pt idx="0">
                  <c:v>10.7</c:v>
                </c:pt>
                <c:pt idx="1">
                  <c:v>10.7</c:v>
                </c:pt>
                <c:pt idx="2">
                  <c:v>10.7</c:v>
                </c:pt>
                <c:pt idx="3">
                  <c:v>10.7</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Hoja1!$A$2:$A$5</c:f>
              <c:strCache>
                <c:ptCount val="4"/>
                <c:pt idx="0">
                  <c:v>2022</c:v>
                </c:pt>
                <c:pt idx="1">
                  <c:v>2023</c:v>
                </c:pt>
                <c:pt idx="2">
                  <c:v>2024</c:v>
                </c:pt>
                <c:pt idx="3">
                  <c:v>2025</c:v>
                </c:pt>
              </c:strCache>
            </c:strRef>
          </c:cat>
          <c:val>
            <c:numRef>
              <c:f>Hoja1!$D$2:$D$5</c:f>
              <c:numCache>
                <c:formatCode>0"%"</c:formatCode>
                <c:ptCount val="4"/>
                <c:pt idx="0">
                  <c:v>37.4</c:v>
                </c:pt>
                <c:pt idx="1">
                  <c:v>25.6</c:v>
                </c:pt>
                <c:pt idx="2">
                  <c:v>40.6</c:v>
                </c:pt>
                <c:pt idx="3">
                  <c:v>34.5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2022</c:v>
                </c:pt>
                <c:pt idx="1">
                  <c:v>2023</c:v>
                </c:pt>
                <c:pt idx="2">
                  <c:v>2024</c:v>
                </c:pt>
                <c:pt idx="3">
                  <c:v>2025</c:v>
                </c:pt>
              </c:strCache>
            </c:strRef>
          </c:cat>
          <c:val>
            <c:numRef>
              <c:f>Hoja1!$B$2:$B$5</c:f>
              <c:numCache>
                <c:formatCode>0.0"x"</c:formatCode>
                <c:ptCount val="4"/>
                <c:pt idx="0">
                  <c:v>-1.36</c:v>
                </c:pt>
                <c:pt idx="1">
                  <c:v>-2.5</c:v>
                </c:pt>
                <c:pt idx="2">
                  <c:v>-1.24</c:v>
                </c:pt>
                <c:pt idx="3">
                  <c:v>-3.58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(TWD,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solidFill>
                <a:srgbClr val="FFFFFF"/>
              </a:solidFill>
            </a:ln>
          </c:spPr>
          <c:invertIfNegative val="0"/>
          <c:cat>
            <c:strRef>
              <c:f>Hoja1!$A$2:$A$5</c:f>
              <c:strCache>
                <c:ptCount val="4"/>
                <c:pt idx="0">
                  <c:v>2022</c:v>
                </c:pt>
                <c:pt idx="1">
                  <c:v>2023</c:v>
                </c:pt>
                <c:pt idx="2">
                  <c:v>2024</c:v>
                </c:pt>
                <c:pt idx="3">
                  <c:v>2025</c:v>
                </c:pt>
              </c:strCache>
            </c:strRef>
          </c:cat>
          <c:val>
            <c:numRef>
              <c:f>Hoja1!$B$2:$B$5</c:f>
              <c:numCache>
                <c:formatCode>#,##0</c:formatCode>
                <c:ptCount val="4"/>
                <c:pt idx="0">
                  <c:v>0</c:v>
                </c:pt>
                <c:pt idx="1">
                  <c:v>0</c:v>
                </c:pt>
                <c:pt idx="2">
                  <c:v>0</c:v>
                </c:pt>
                <c:pt idx="3">
                  <c:v>0</c:v>
                </c:pt>
              </c:numCache>
            </c:numRef>
          </c:val>
        </c:ser>
        <c:ser>
          <c:idx val="1"/>
          <c:order val="1"/>
          <c:tx>
            <c:strRef>
              <c:f>Hoja1!$C$1</c:f>
              <c:strCache>
                <c:ptCount val="1"/>
                <c:pt idx="0">
                  <c:v>Dividendos</c:v>
                </c:pt>
              </c:strCache>
            </c:strRef>
          </c:tx>
          <c:spPr>
            <a:solidFill>
              <a:srgbClr val="EB6834"/>
            </a:solidFill>
            <a:ln w="12700">
              <a:solidFill>
                <a:srgbClr val="FFFFFF"/>
              </a:solidFill>
            </a:ln>
          </c:spPr>
          <c:invertIfNegative val="0"/>
          <c:cat>
            <c:strRef>
              <c:f>Hoja1!$A$2:$A$5</c:f>
              <c:strCache>
                <c:ptCount val="4"/>
                <c:pt idx="0">
                  <c:v>2022</c:v>
                </c:pt>
                <c:pt idx="1">
                  <c:v>2023</c:v>
                </c:pt>
                <c:pt idx="2">
                  <c:v>2024</c:v>
                </c:pt>
                <c:pt idx="3">
                  <c:v>2025</c:v>
                </c:pt>
              </c:strCache>
            </c:strRef>
          </c:cat>
          <c:val>
            <c:numRef>
              <c:f>Hoja1!$C$2:$C$5</c:f>
              <c:numCache>
                <c:formatCode>#,##0</c:formatCode>
                <c:ptCount val="4"/>
                <c:pt idx="0">
                  <c:v>399.11</c:v>
                </c:pt>
                <c:pt idx="1">
                  <c:v>2398</c:v>
                </c:pt>
                <c:pt idx="2">
                  <c:v>4800</c:v>
                </c:pt>
                <c:pt idx="3">
                  <c:v>3636</c:v>
                </c:pt>
              </c:numCache>
            </c:numRef>
          </c:val>
        </c:ser>
        <c:ser>
          <c:idx val="2"/>
          <c:order val="2"/>
          <c:tx>
            <c:strRef>
              <c:f>Hoja1!$D$1</c:f>
              <c:strCache>
                <c:ptCount val="1"/>
                <c:pt idx="0">
                  <c:v>Recompras</c:v>
                </c:pt>
              </c:strCache>
            </c:strRef>
          </c:tx>
          <c:spPr>
            <a:solidFill>
              <a:srgbClr val="1BAF7A"/>
            </a:solidFill>
            <a:ln w="12700">
              <a:solidFill>
                <a:srgbClr val="FFFFFF"/>
              </a:solidFill>
            </a:ln>
          </c:spPr>
          <c:invertIfNegative val="0"/>
          <c:cat>
            <c:strRef>
              <c:f>Hoja1!$A$2:$A$5</c:f>
              <c:strCache>
                <c:ptCount val="4"/>
                <c:pt idx="0">
                  <c:v>2022</c:v>
                </c:pt>
                <c:pt idx="1">
                  <c:v>2023</c:v>
                </c:pt>
                <c:pt idx="2">
                  <c:v>2024</c:v>
                </c:pt>
                <c:pt idx="3">
                  <c:v>2025</c:v>
                </c:pt>
              </c:strCache>
            </c:strRef>
          </c:cat>
          <c:val>
            <c:numRef>
              <c:f>Hoja1!$D$2:$D$5</c:f>
              <c:numCache>
                <c:formatCode>#,##0</c:formatCode>
                <c:ptCount val="4"/>
                <c:pt idx="0">
                  <c:v>0</c:v>
                </c:pt>
                <c:pt idx="1">
                  <c:v>0</c:v>
                </c:pt>
                <c:pt idx="2">
                  <c:v>0</c:v>
                </c:pt>
                <c:pt idx="3">
                  <c:v>20.93</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Pt>
            <c:idx val="2"/>
            <c:bubble3D val="0"/>
            <c:spPr>
              <a:solidFill>
                <a:srgbClr val="1BAF7A"/>
              </a:solidFill>
              <a:ln w="19050">
                <a:solidFill>
                  <a:srgbClr val="FFFFFF"/>
                </a:solidFill>
              </a:ln>
            </c:spPr>
          </c:dPt>
          <c:dPt>
            <c:idx val="3"/>
            <c:bubble3D val="0"/>
            <c:spPr>
              <a:solidFill>
                <a:srgbClr val="EDA100"/>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Hoja1!$A$2:$A$5</c:f>
              <c:strCache>
                <c:ptCount val="4"/>
                <c:pt idx="0">
                  <c:v>Ejecutivo</c:v>
                </c:pt>
                <c:pt idx="1">
                  <c:v>Dominical</c:v>
                </c:pt>
                <c:pt idx="2">
                  <c:v>Otro externo</c:v>
                </c:pt>
                <c:pt idx="3">
                  <c:v>Independiente</c:v>
                </c:pt>
              </c:strCache>
            </c:strRef>
          </c:cat>
          <c:val>
            <c:numRef>
              <c:f>Hoja1!$B$2:$B$5</c:f>
              <c:numCache>
                <c:formatCode>0</c:formatCode>
                <c:ptCount val="4"/>
                <c:pt idx="0">
                  <c:v>1</c:v>
                </c:pt>
                <c:pt idx="1">
                  <c:v>3</c:v>
                </c:pt>
                <c:pt idx="2">
                  <c:v>2</c:v>
                </c:pt>
                <c:pt idx="3">
                  <c:v>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Hongmin Development (鴻旼開發), sociedad del presidente Hsieh Min-ta</c:v>
                </c:pt>
                <c:pt idx="1">
                  <c:v>Hongji Investment (鴻濟投資)</c:v>
                </c:pt>
                <c:pt idx="2">
                  <c:v>Hongcheng Investment (鴻城投資)</c:v>
                </c:pt>
                <c:pt idx="3">
                  <c:v>Laiyu Investment (萊宇投資)</c:v>
                </c:pt>
                <c:pt idx="4">
                  <c:v>Inversores extranjeros (agregado)</c:v>
                </c:pt>
                <c:pt idx="5">
                  <c:v>All Ring Tech (萬潤, 6187)</c:v>
                </c:pt>
              </c:strCache>
            </c:strRef>
          </c:cat>
          <c:val>
            <c:numRef>
              <c:f>Hoja1!$B$2:$B$7</c:f>
              <c:numCache>
                <c:formatCode>0.0"%"</c:formatCode>
                <c:ptCount val="6"/>
                <c:pt idx="0">
                  <c:v>17.37</c:v>
                </c:pt>
                <c:pt idx="1">
                  <c:v>12.08</c:v>
                </c:pt>
                <c:pt idx="2">
                  <c:v>4.66</c:v>
                </c:pt>
                <c:pt idx="3">
                  <c:v>2.47</c:v>
                </c:pt>
                <c:pt idx="4">
                  <c:v>19.83</c:v>
                </c:pt>
                <c:pt idx="5">
                  <c:v>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Rentabilidad total por año: acción frente a su índice (%)</a:t>
            </a:r>
          </a:p>
        </c:rich>
      </c:tx>
      <c:overlay val="0"/>
    </c:title>
    <c:autoTitleDeleted val="0"/>
    <c:plotArea>
      <c:layout/>
      <c:barChart>
        <c:barDir val="col"/>
        <c:grouping val="clustered"/>
        <c:varyColors val="0"/>
        <c:ser>
          <c:idx val="0"/>
          <c:order val="0"/>
          <c:tx>
            <c:strRef>
              <c:f>Hoja1!$B$1</c:f>
              <c:strCache>
                <c:ptCount val="1"/>
                <c:pt idx="0">
                  <c:v>Acción</c:v>
                </c:pt>
              </c:strCache>
            </c:strRef>
          </c:tx>
          <c:spPr>
            <a:solidFill>
              <a:srgbClr val="2A78D6"/>
            </a:solidFill>
            <a:ln w="9525">
              <a:noFill/>
            </a:ln>
          </c:spPr>
          <c:invertIfNegative val="0"/>
          <c:cat>
            <c:strRef>
              <c:f>Hoja1!$A$2</c:f>
              <c:strCache>
                <c:ptCount val="1"/>
                <c:pt idx="0">
                  <c:v>2025</c:v>
                </c:pt>
              </c:strCache>
            </c:strRef>
          </c:cat>
          <c:val>
            <c:numRef>
              <c:f>Hoja1!$B$2</c:f>
              <c:numCache>
                <c:formatCode>0"%"</c:formatCode>
                <c:ptCount val="1"/>
                <c:pt idx="0">
                  <c:v>206.1</c:v>
                </c:pt>
              </c:numCache>
            </c:numRef>
          </c:val>
        </c:ser>
        <c:ser>
          <c:idx val="1"/>
          <c:order val="1"/>
          <c:tx>
            <c:strRef>
              <c:f>Hoja1!$C$1</c:f>
              <c:strCache>
                <c:ptCount val="1"/>
                <c:pt idx="0">
                  <c:v>Índice</c:v>
                </c:pt>
              </c:strCache>
            </c:strRef>
          </c:tx>
          <c:spPr>
            <a:solidFill>
              <a:srgbClr val="EB6834"/>
            </a:solidFill>
            <a:ln w="9525">
              <a:noFill/>
            </a:ln>
          </c:spPr>
          <c:invertIfNegative val="0"/>
          <c:cat>
            <c:strRef>
              <c:f>Hoja1!$A$2</c:f>
              <c:strCache>
                <c:ptCount val="1"/>
                <c:pt idx="0">
                  <c:v>2025</c:v>
                </c:pt>
              </c:strCache>
            </c:strRef>
          </c:cat>
          <c:val>
            <c:numRef>
              <c:f>Hoja1!$C$2</c:f>
              <c:numCache>
                <c:formatCode>0"%"</c:formatCode>
                <c:ptCount val="1"/>
                <c:pt idx="0">
                  <c:v>36.9</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Hoja1!$A$2:$A$10</c:f>
              <c:strCache>
                <c:ptCount val="9"/>
                <c:pt idx="0">
                  <c:v>Hon. Precision</c:v>
                </c:pt>
                <c:pt idx="1">
                  <c:v>Advantest</c:v>
                </c:pt>
                <c:pt idx="2">
                  <c:v>Teradyne</c:v>
                </c:pt>
                <c:pt idx="3">
                  <c:v>Chroma ATE</c:v>
                </c:pt>
                <c:pt idx="4">
                  <c:v>MPI</c:v>
                </c:pt>
                <c:pt idx="5">
                  <c:v>Chunghwa Precision Test</c:v>
                </c:pt>
                <c:pt idx="6">
                  <c:v>Cohu</c:v>
                </c:pt>
                <c:pt idx="7">
                  <c:v>AEM Holdings</c:v>
                </c:pt>
                <c:pt idx="8">
                  <c:v>Techwing</c:v>
                </c:pt>
              </c:strCache>
            </c:strRef>
          </c:cat>
          <c:val>
            <c:numRef>
              <c:f>Hoja1!$B$2:$B$10</c:f>
              <c:numCache>
                <c:formatCode>0.0"x"</c:formatCode>
                <c:ptCount val="9"/>
                <c:pt idx="0">
                  <c:v>20.7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(TWD,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10188</c:v>
                </c:pt>
                <c:pt idx="1">
                  <c:v>22544</c:v>
                </c:pt>
                <c:pt idx="2">
                  <c:v>29731</c:v>
                </c:pt>
                <c:pt idx="3">
                  <c:v>32475</c:v>
                </c:pt>
                <c:pt idx="4">
                  <c:v>32540</c:v>
                </c:pt>
                <c:pt idx="5">
                  <c:v>31867</c:v>
                </c:pt>
                <c:pt idx="6">
                  <c:v>32102</c:v>
                </c:pt>
                <c:pt idx="7">
                  <c:v>33072</c:v>
                </c:pt>
                <c:pt idx="8">
                  <c:v>34018</c:v>
                </c:pt>
                <c:pt idx="9">
                  <c:v>34698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(TWD,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179535</c:v>
                </c:pt>
                <c:pt idx="1">
                  <c:v>151177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(TWD) · precio actual 5.205,00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1236.95</c:v>
                </c:pt>
                <c:pt idx="1">
                  <c:v>2085.71</c:v>
                </c:pt>
                <c:pt idx="2">
                  <c:v>3261.88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(TWD) · precio actual 5.205,00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(1.990,00 – 8.465,00)</c:v>
                </c:pt>
                <c:pt idx="1">
                  <c:v>Precio objetivo de los analistas (6.150,00 – 12.500,00)</c:v>
                </c:pt>
                <c:pt idx="2">
                  <c:v>Comparables: PER NTM (6.603,99 – 7.208,17)</c:v>
                </c:pt>
                <c:pt idx="3">
                  <c:v>DCF (WACC y g ± 0,5) (1.949,97 – 2.252,85)</c:v>
                </c:pt>
                <c:pt idx="4">
                  <c:v>Escenarios (bajista – alcista) (1.236,95 – 3.261,88)</c:v>
                </c:pt>
                <c:pt idx="5">
                  <c:v>DCF con la prima implícita del mercado (4,2 %)</c:v>
                </c:pt>
                <c:pt idx="6">
                  <c:v>Precio actual (5.205,00)</c:v>
                </c:pt>
              </c:strCache>
            </c:strRef>
          </c:cat>
          <c:val>
            <c:numRef>
              <c:f>Hoja1!$B$2:$B$8</c:f>
              <c:numCache>
                <c:formatCode>#,##0</c:formatCode>
                <c:ptCount val="7"/>
                <c:pt idx="0">
                  <c:v>1990</c:v>
                </c:pt>
                <c:pt idx="1">
                  <c:v>6150</c:v>
                </c:pt>
                <c:pt idx="2">
                  <c:v>6603.99</c:v>
                </c:pt>
                <c:pt idx="3">
                  <c:v>1949.97</c:v>
                </c:pt>
                <c:pt idx="4">
                  <c:v>1236.95</c:v>
                </c:pt>
                <c:pt idx="5">
                  <c:v>2358.99</c:v>
                </c:pt>
                <c:pt idx="6">
                  <c:v>5178.98</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(1.990,00 – 8.465,00)</c:v>
                </c:pt>
                <c:pt idx="1">
                  <c:v>Precio objetivo de los analistas (6.150,00 – 12.500,00)</c:v>
                </c:pt>
                <c:pt idx="2">
                  <c:v>Comparables: PER NTM (6.603,99 – 7.208,17)</c:v>
                </c:pt>
                <c:pt idx="3">
                  <c:v>DCF (WACC y g ± 0,5) (1.949,97 – 2.252,85)</c:v>
                </c:pt>
                <c:pt idx="4">
                  <c:v>Escenarios (bajista – alcista) (1.236,95 – 3.261,88)</c:v>
                </c:pt>
                <c:pt idx="5">
                  <c:v>DCF con la prima implícita del mercado (4,2 %)</c:v>
                </c:pt>
                <c:pt idx="6">
                  <c:v>Precio actual (5.205,00)</c:v>
                </c:pt>
              </c:strCache>
            </c:strRef>
          </c:cat>
          <c:val>
            <c:numRef>
              <c:f>Hoja1!$C$2:$C$8</c:f>
              <c:numCache>
                <c:formatCode>#,##0</c:formatCode>
                <c:ptCount val="7"/>
                <c:pt idx="0">
                  <c:v>6475</c:v>
                </c:pt>
                <c:pt idx="1">
                  <c:v>6350</c:v>
                </c:pt>
                <c:pt idx="2">
                  <c:v>604.1800000000003</c:v>
                </c:pt>
                <c:pt idx="3">
                  <c:v>302.8799999999999</c:v>
                </c:pt>
                <c:pt idx="4">
                  <c:v>2024.93</c:v>
                </c:pt>
                <c:pt idx="5">
                  <c:v>302.4500000000003</c:v>
                </c:pt>
                <c:pt idx="6">
                  <c:v>52.04000000000087</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2026-10-15T11:43:41.470Z</dcterms:created>
  <dcterms:modified xsi:type="dcterms:W3CDTF">2026-10-15T11:43:41.470Z</dcterms:modified>
</cp:coreProperties>
</file>

<file path=docProps/custom.xml><?xml version="1.0" encoding="utf-8"?>
<Properties xmlns="http://schemas.openxmlformats.org/officeDocument/2006/custom-properties" xmlns:vt="http://schemas.openxmlformats.org/officeDocument/2006/docPropsVTypes"/>
</file>