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Sieyuan Electric Co., Ltd. (思源电气股份有限公司)</w:t>
      </w:r>
    </w:p>
    <w:p>
      <w:pPr>
        <w:spacing w:after="60"/>
        <w:rPr>
          <w:color w:val="52514E"/>
          <w:sz w:val="22"/>
          <w:szCs w:val="22"/>
        </w:rPr>
      </w:pPr>
      <w:r>
        <w:rPr>
          <w:color w:val="52514E"/>
          <w:sz w:val="22"/>
          <w:szCs w:val="22"/>
        </w:rPr>
        <w:t xml:space="preserve">002028 · Bolsa de Shenzhen (acciones A; comprable desde fuera vía Shenzhen-Hong Kong Stock Connect) · ISIN CNE000001KQ8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26 oct 2026</w:t>
      </w:r>
      <w:r>
        <w:rPr>
          <w:color w:val="52514E"/>
          <w:sz w:val="18"/>
          <w:szCs w:val="18"/>
        </w:rPr>
        <w:t xml:space="preserve"> · Divisa: </w:t>
      </w:r>
      <w:r>
        <w:rPr>
          <w:b/>
          <w:bCs/>
          <w:color w:val="52514E"/>
          <w:sz w:val="18"/>
          <w:szCs w:val="18"/>
        </w:rPr>
        <w:t xml:space="preserve">CNY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106,81 CNY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121,02 CNY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+14,0 % (base +13,2 %)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98,09 CNY · mercado 113,93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84.156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Sieyuan Electric Co., Ltd. (思源电气股份有限公司)</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002028 / CNE000001KQ8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Shenzhen (acciones A; comprable desde fuera vía Shenzhen-Hong Kong Stock Connect)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CSI 300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Equipos eléctricos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Shanghái · 1993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www.sieyuan.com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106,81 (26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103,00 – 239,12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84.156 M CNY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77.104 M CNY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1654 M CNY/día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ene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121,02 CNY</w:t>
      </w:r>
      <w:r>
        <w:t xml:space="preserve"> frente a 106,81 · Rentabilidad a 12 meses </w:t>
      </w:r>
      <w:r>
        <w:rPr>
          <w:b/>
          <w:bCs/>
        </w:rPr>
        <w:t xml:space="preserve">+14,0 % (base +13,2 %)</w:t>
      </w:r>
      <w:r>
        <w:t xml:space="preserve"> · Valor intrínseco 98,09 CNY · con la prima implícita del mercado: 113,93 (+6,7 %) · Alcista / bajista +10,9 % / -39,2 %</w:t>
      </w:r>
    </w:p>
    <w:p>
      <w:pPr>
        <w:spacing w:after="100"/>
      </w:pPr>
      <w:r>
        <w:rPr>
          <w:b/>
        </w:rPr>
        <w:t xml:space="preserve">La recomendación y por qué.</w:t>
      </w:r>
      <w:r>
        <w:t xml:space="preserve"> Mantener, con convicción baja. El objetivo a 12 meses es de 121,02 CNY (ponderado) y 120,24 CNY en el caso base, frente a un precio de 106,81 CNY: la rentabilidad a 12 meses, con el dividendo, es del 14,0 % ponderada y del 13,2 % en el base, a un punto del 15 % que pide comprar. Lo que impide comprar es el valor intrínseco (98,09 CNY), un 8,2 % por debajo del precio. Los analistas (objetivo medio de 209,54 CNY, anterior a los resultados) esperan un 25 % más de BPA en 2028e. La convicción es baja porque la rentabilidad ponderada está a menos de 3 puntos del umbral y las reglas del valor intrínseco discrepan (absoluta Vender, relativa Mantener); subiría con un precio por debajo de 98,09 CNY o si las reglas del DOE dejan fuera los transformadores.</w:t>
      </w:r>
    </w:p>
    <w:p>
      <w:pPr>
        <w:spacing w:after="100"/>
      </w:pPr>
      <w:r>
        <w:rPr>
          <w:b/>
        </w:rPr>
        <w:t xml:space="preserve">Qué ha cambiado desde el 19-oct.</w:t>
      </w:r>
      <w:r>
        <w:t xml:space="preserve"> El precio bajó un 14,6 % (de 125,10 a 106,81 CNY): un límite a la baja el 20-oct por miedo al 3T26 y un 3T26 flojo en beneficio (+4,5 %) aunque fuerte en ventas (+30,7 %) [17, 53]. Subimos las ventas de 2026e (+26,5 %) y bajamos su margen EBITDA (17,6 %) por la mezcla; el BPA de 2028e baja de 6,44 a 6,23. Con el precio más bajo, la rentabilidad a 12 meses pasa del 3,3 % al 14,0 % y la del base del 6,1 % al 13,2 %; el valor intrínseco baja de 101,38 a 98,09 CNY.</w:t>
      </w:r>
    </w:p>
    <w:p>
      <w:pPr>
        <w:spacing w:after="100"/>
      </w:pPr>
      <w:r>
        <w:rPr>
          <w:b/>
        </w:rPr>
        <w:t xml:space="preserve">El negocio.</w:t>
      </w:r>
      <w:r>
        <w:t xml:space="preserve"> Fabricante privado de equipos de alta tensión para redes chinas y de más de 100 países [1]. ROIC del 44,2 % en 2025 frente a un WACC del 8,08 % y margen EBITDA del 18,3 % frente a una mediana del 14,2 % de los comparables [1]. La sostenibilidad del crecimiento es «Sí»: los años que se mueven (2027e-2031e, +11,4 % anual) caben en lo que financia su ROIC (11,2 %), aunque la cuota mundial pasaría del 0,8 % al 1,3 %, el punto más exigente.</w:t>
      </w:r>
    </w:p>
    <w:p>
      <w:pPr>
        <w:spacing w:after="100"/>
      </w:pPr>
      <w:r>
        <w:rPr>
          <w:b/>
        </w:rPr>
        <w:t xml:space="preserve">Finanzas.</w:t>
      </w:r>
      <w:r>
        <w:t xml:space="preserve"> En 9M26 las ventas crecen un 28,5 % y el beneficio atribuido un 9,7 %: el margen EBIT baja del 18,4 % al 17,6 % por el almacenamiento, y debajo pesan el cambio (144 M de gastos financieros), 60 M de valor razonable y el 20 % de Sieyuan Toshiba que pasó a Toshiba [17, 22]. Caja neta de 7.367 M [17].</w:t>
      </w:r>
    </w:p>
    <w:p>
      <w:pPr>
        <w:spacing w:after="100"/>
      </w:pPr>
      <w:r>
        <w:rPr>
          <w:b/>
        </w:rPr>
        <w:t xml:space="preserve">Valoración.</w:t>
      </w:r>
      <w:r>
        <w:t xml:space="preserve"> El DCF da 94,66 CNY (WACC del 8,08 %, terminal del 1 %). El precio descuenta un crecimiento del 16,6 % anual en 2027-2031e frente a nuestro 11,4 %, y una rentabilidad implícita del 7,2 %, por debajo del WACC (8,08 %) pero por encima de lo que pide el mercado (6,8 %): con la prima implícita del mercado el valor sería de 113,93 CNY. El PER actual (19,4 veces nuestro BPA de 2027e) está en su mediana adelantada (19,3) y en la de los comparables (19,0): el recorrido a 12 meses sale del beneficio, no del múltiplo.</w:t>
      </w:r>
    </w:p>
    <w:p>
      <w:pPr>
        <w:spacing w:after="100"/>
      </w:pPr>
      <w:r>
        <w:rPr>
          <w:b/>
        </w:rPr>
        <w:t xml:space="preserve">Riesgos y catalizadores.</w:t>
      </w:r>
      <w:r>
        <w:t xml:space="preserve"> El riesgo dominante sigue siendo EE. UU. y su contagio a Europa: el bajista (64,99 CNY en el DCF, −39,2 %) lo recoge con un margen 2,5 puntos más bajo. La empresa dice ahora que Norteamérica es la región que más crece y que sus equipos quedarían fuera [22]: las reglas del DOE antes del 24-dic deciden. Le siguen la mezcla y las ventas que no alcanzan a los pedidos. Los foros chinos están en capitulación y no añaden un riesgo nuevo [54].</w:t>
      </w:r>
    </w:p>
    <w:p>
      <w:pPr>
        <w:spacing w:after="100"/>
      </w:pPr>
      <w:r>
        <w:rPr>
          <w:b/>
        </w:rPr>
        <w:t xml:space="preserve">Qué cambiaría la decisión.</w:t>
      </w:r>
      <w:r>
        <w:t xml:space="preserve"> Compraríamos por debajo de 98,09 CNY y venderíamos por encima de 135,24 CNY. Subiríamos el caso base si el DOE deja fuera los transformadores y la aparamenta o si las ventas de 2026 superan los 28.000 M; lo bajaríamos con un margen bruto trimestral bajo el 29 % o si la UE propone excluir equipos de red chinos.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121,02 CNY</w:t>
      </w:r>
      <w:r>
        <w:t xml:space="preserve"> (rentabilidad +14,0 % (base +13,2 %)) · Valor intrínseco: 98,09 CNY (-8,2 % sobre 106,81) · con la prima implícita del mercado: 113,93 (+6,7 %)</w:t>
      </w:r>
    </w:p>
    <w:p>
      <w:pPr>
        <w:spacing w:after="100"/>
      </w:pPr>
      <w:r>
        <w:t xml:space="preserve">Sieyuan es el tercer fabricante privado de equipos de transmisión y distribución de China (3,5 % del mercado en 2024) y uno de los pocos que exporta alta tensión con marca propia a más de 100 países [1, 27]. Ha multiplicado las ventas por 2,5 y el beneficio por 2,6 en cuatro años sin deuda y sin compras, con un ROIC que sube del 20,8 % de 2022 al 44,2 % de 2025 y una caja neta de 7.367 M [1, 17].</w:t>
      </w:r>
    </w:p>
    <w:p>
      <w:pPr>
        <w:spacing w:after="100"/>
      </w:pPr>
      <w:r>
        <w:t xml:space="preserve">El precio (106,81 CNY) ha caído un 55 % desde el máximo de marzo y descuenta un crecimiento del 16,6 % anual en 2027-2031e, por encima de nuestro 11,4 % pero por debajo de lo que esperan los analistas (+27 % y +25 % en 2027e-2028e). Cotiza a 19,4 veces nuestro BPA de 2027e, en su mediana histórica adelantada y en la de los comparables [18, 46].</w:t>
      </w:r>
    </w:p>
    <w:p>
      <w:pPr>
        <w:spacing w:after="100"/>
      </w:pPr>
      <w:r>
        <w:t xml:space="preserve">Para invertir hay que creer que las ventas alcanzarán a los pedidos (+30 % en 9M26) sin que el almacenamiento diluya más el margen, y que EE. UU. no cerrará la puerta a los transformadores. Nosotros creemos que la empresa seguirá creciendo, pero menos que los pedidos: la acción ya no está cara a 12 meses (+14,0 %), pero el valor intrínseco (98,09 CNY) sigue por debajo del precio.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121,02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 × 4,75 = 73,63 · 19,3x × 6,23 = 120,24 · 23,0x × 7,39 = 169,97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 / 13,2 %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209,54 (nuestro base -42,6 %)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98,09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 / -39,2 %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 frente a 8,1 % y 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113,93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(2027e-2031e)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(13,9 % anual proyectado; financiable al ROIC actual: 11,2 %)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98,09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98,09 y 135,24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135,24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98,09 CNY: pasaría a Comprar (valor intrínseco por encima del precio y rentabilidad a 12 meses ≥ 15 %).</w:t>
      </w:r>
    </w:p>
    <w:p>
      <w:pPr>
        <w:pStyle w:val="ListParagraph"/>
        <w:numPr>
          <w:ilvl w:val="0"/>
          <w:numId w:val="2"/>
        </w:numPr>
        <w:spacing w:after="60"/>
      </w:pPr>
      <w:r>
        <w:t xml:space="preserve">Precio por encima de 135,24 CNY: pasaría a Vender.</w:t>
      </w:r>
    </w:p>
    <w:p>
      <w:pPr>
        <w:pStyle w:val="ListParagraph"/>
        <w:numPr>
          <w:ilvl w:val="0"/>
          <w:numId w:val="2"/>
        </w:numPr>
        <w:spacing w:after="60"/>
      </w:pPr>
      <w:r>
        <w:t xml:space="preserve">Reglas del DOE que dejen fuera los transformadores y la aparamenta: subiríamos el crecimiento de 2027e-2028e.</w:t>
      </w:r>
    </w:p>
    <w:p>
      <w:pPr>
        <w:pStyle w:val="ListParagraph"/>
        <w:numPr>
          <w:ilvl w:val="0"/>
          <w:numId w:val="2"/>
        </w:numPr>
        <w:spacing w:after="60"/>
      </w:pPr>
      <w:r>
        <w:t xml:space="preserve">Margen bruto del grupo por debajo del 29 % en un trimestre: bajaríamos el margen de toda la proyección.</w:t>
      </w:r>
    </w:p>
    <w:p>
      <w:pPr>
        <w:pStyle w:val="ListParagraph"/>
        <w:numPr>
          <w:ilvl w:val="0"/>
          <w:numId w:val="2"/>
        </w:numPr>
        <w:spacing w:after="60"/>
      </w:pPr>
      <w:r>
        <w:t xml:space="preserve">Propuesta de la UE para excluir equipos de red chinos: el bajista pasaría a ser el caso central.</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16,6 % anual hasta 2031e y una rentabilidad del 7,2 %. Los analistas van más allá (ventas +27 % y +25 % en 2027e-2028e) aunque recortaron el BPA un 11-16 % tras el 3T26; su objetivo medio (209,54 CNY) es anterior a los resultados.</w:t>
      </w:r>
    </w:p>
    <w:p>
      <w:pPr>
        <w:keepNext/>
        <w:spacing w:after="100"/>
      </w:pPr>
      <w:r>
        <w:rPr>
          <w:b/>
          <w:bCs/>
        </w:rPr>
        <w:t xml:space="preserve">Lo que creemos nosotros.</w:t>
      </w:r>
    </w:p>
    <w:p>
      <w:pPr>
        <w:spacing w:after="100"/>
      </w:pPr>
      <w:r>
        <w:t xml:space="preserve">La empresa es buena y seguirá ganando cuota, pero el beneficio crecerá menos que los pedidos: proyectos más largos, mezcla con más almacenamiento y un yuan fuerte. Base de 120,24 CNY a 12 meses y valor intrínseco de 98,09 CNY.</w:t>
      </w:r>
    </w:p>
    <w:p>
      <w:pPr>
        <w:keepNext/>
        <w:spacing w:after="100"/>
      </w:pPr>
      <w:r>
        <w:rPr>
          <w:b/>
          <w:bCs/>
        </w:rPr>
        <w:t xml:space="preserve">Por qué podemos tener razón.</w:t>
      </w:r>
    </w:p>
    <w:p>
      <w:pPr>
        <w:spacing w:after="100"/>
      </w:pPr>
      <w:r>
        <w:t xml:space="preserve">El 3T26 lo enseña: ventas +30,7 % y beneficio +4,5 %, con el margen bruto 2,4 puntos más bajo y las existencias +58 % [17]. Donde podríamos quedarnos cortos es en EE. UU.: la empresa dice que Norteamérica es lo que más crece y que sus equipos quedarían fuera de la orden [22].</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NY) · precio actual 106,8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ROIC del 44,2 %</w:t>
      </w:r>
      <w:r>
        <w:t xml:space="preserve"> en 2025 frente a un WACC del 8,08 %, y subiendo desde el 20,8 % de 2022 [1].</w:t>
      </w:r>
    </w:p>
    <w:p>
      <w:pPr>
        <w:pStyle w:val="ListParagraph"/>
        <w:numPr>
          <w:ilvl w:val="0"/>
          <w:numId w:val="2"/>
        </w:numPr>
        <w:spacing w:after="60"/>
      </w:pPr>
      <w:r>
        <w:rPr>
          <w:b/>
        </w:rPr>
        <w:t xml:space="preserve">Caja neta de 7.367 M</w:t>
      </w:r>
      <w:r>
        <w:t xml:space="preserve">, el 9 % de la capitalización, sin deuda relevante [17].</w:t>
      </w:r>
    </w:p>
    <w:p>
      <w:pPr>
        <w:pStyle w:val="ListParagraph"/>
        <w:numPr>
          <w:ilvl w:val="0"/>
          <w:numId w:val="2"/>
        </w:numPr>
        <w:spacing w:after="60"/>
      </w:pPr>
      <w:r>
        <w:rPr>
          <w:b/>
        </w:rPr>
        <w:t xml:space="preserve">Pedidos de 9M26 por encima del +30 %</w:t>
      </w:r>
      <w:r>
        <w:t xml:space="preserve"> y anticipos de clientes de 4.409 M (+52 %) [17, 22].</w:t>
      </w:r>
    </w:p>
    <w:p>
      <w:pPr>
        <w:pStyle w:val="ListParagraph"/>
        <w:numPr>
          <w:ilvl w:val="0"/>
          <w:numId w:val="2"/>
        </w:numPr>
        <w:spacing w:after="60"/>
      </w:pPr>
      <w:r>
        <w:rPr>
          <w:b/>
        </w:rPr>
        <w:t xml:space="preserve">Precio −55 % desde el máximo</w:t>
      </w:r>
      <w:r>
        <w:t xml:space="preserve"> de 52 semanas, a 19,4 veces nuestro BPA de 2027e, en su mediana histórica [41].</w:t>
      </w:r>
    </w:p>
    <w:p>
      <w:pPr>
        <w:pStyle w:val="ListParagraph"/>
        <w:numPr>
          <w:ilvl w:val="0"/>
          <w:numId w:val="2"/>
        </w:numPr>
        <w:spacing w:after="60"/>
      </w:pPr>
      <w:r>
        <w:rPr>
          <w:b/>
        </w:rPr>
        <w:t xml:space="preserve">Rentabilidad a 12 meses del 14,0 %</w:t>
      </w:r>
      <w:r>
        <w:t xml:space="preserve"> ponderada, a un punto del umbral de compra.</w:t>
      </w:r>
    </w:p>
    <w:p>
      <w:pPr>
        <w:pStyle w:val="Heading2"/>
      </w:pPr>
      <w:r>
        <w:t xml:space="preserve">En contra</w:t>
      </w:r>
    </w:p>
    <w:p>
      <w:pPr>
        <w:pStyle w:val="ListParagraph"/>
        <w:numPr>
          <w:ilvl w:val="0"/>
          <w:numId w:val="2"/>
        </w:numPr>
        <w:spacing w:after="60"/>
      </w:pPr>
      <w:r>
        <w:rPr>
          <w:b/>
        </w:rPr>
        <w:t xml:space="preserve">Beneficio del 3T26 +4,5 %</w:t>
      </w:r>
      <w:r>
        <w:t xml:space="preserve"> con ventas +30,7 %: margen bruto −2,4 puntos por la mezcla [17].</w:t>
      </w:r>
    </w:p>
    <w:p>
      <w:pPr>
        <w:pStyle w:val="ListParagraph"/>
        <w:numPr>
          <w:ilvl w:val="0"/>
          <w:numId w:val="2"/>
        </w:numPr>
        <w:spacing w:after="60"/>
      </w:pPr>
      <w:r>
        <w:rPr>
          <w:b/>
        </w:rPr>
        <w:t xml:space="preserve">Valor intrínseco de 98,09 CNY</w:t>
      </w:r>
      <w:r>
        <w:t xml:space="preserve">, un 8,2 % por debajo del precio.</w:t>
      </w:r>
    </w:p>
    <w:p>
      <w:pPr>
        <w:pStyle w:val="ListParagraph"/>
        <w:numPr>
          <w:ilvl w:val="0"/>
          <w:numId w:val="2"/>
        </w:numPr>
        <w:spacing w:after="60"/>
      </w:pPr>
      <w:r>
        <w:rPr>
          <w:b/>
        </w:rPr>
        <w:t xml:space="preserve">Orden 14420 de EE. UU.</w:t>
      </w:r>
      <w:r>
        <w:t xml:space="preserve">: reglas de exclusión de equipos chinos de 69 kV o más antes del 24-dic-2026 [25].</w:t>
      </w:r>
    </w:p>
    <w:p>
      <w:pPr>
        <w:pStyle w:val="ListParagraph"/>
        <w:numPr>
          <w:ilvl w:val="0"/>
          <w:numId w:val="2"/>
        </w:numPr>
        <w:spacing w:after="60"/>
      </w:pPr>
      <w:r>
        <w:rPr>
          <w:b/>
        </w:rPr>
        <w:t xml:space="preserve">Existencias +58 %</w:t>
      </w:r>
      <w:r>
        <w:t xml:space="preserve"> desde diciembre (6.442 M), con envíos al exterior sin aceptar [17, 22].</w:t>
      </w:r>
    </w:p>
    <w:p>
      <w:pPr>
        <w:pStyle w:val="ListParagraph"/>
        <w:numPr>
          <w:ilvl w:val="0"/>
          <w:numId w:val="2"/>
        </w:numPr>
        <w:spacing w:after="60"/>
      </w:pPr>
      <w:r>
        <w:rPr>
          <w:b/>
        </w:rPr>
        <w:t xml:space="preserve">Venta extranjera</w:t>
      </w:r>
      <w:r>
        <w:t xml:space="preserve">: HKSCC baja del 19,86 % al 17,91 % en el 3T26 [17].</w:t>
      </w:r>
    </w:p>
    <w:p>
      <w:pPr>
        <w:pStyle w:val="Heading2"/>
      </w:pPr>
      <w:r>
        <w:t xml:space="preserve">Qué tiene que pasar para que la tesis funcione</w:t>
      </w:r>
    </w:p>
    <w:p>
      <w:pPr>
        <w:spacing w:after="100"/>
      </w:pPr>
      <w:r>
        <w:t xml:space="preserve">La tesis depende de que las ventas alcancen a los pedidos sin perder más margen y de que EE. UU. no cierre la puerta a los transformadores. Las señales: el avance de 2026 a mediados de enero (ventas por encima de 27.000 M y un 4T con margen), las existencias de diciembre y las reglas del DOE antes del 24-dic. Si el margen bruto trimestral baja del 29 % o la UE propone excluir equipos chinos, el bajista pasa a ser el central.</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2026 (objetivo +25 %)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17.762 M en 9M26 (+28,5 %)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27.000 M en el avance de enero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las ventas alcanzan a los pedidos.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 (3T26); 30,6 % (9M26)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29 %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de almacenamiento y precios de licitación.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6.442 M (sep-26, +58 % desde dic)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7.000 M en diciembre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Envíos al exterior sin aceptar.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 de clientes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 M (sep-26, +52 %)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adelantado de los pedidos.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Participación de HKSCC (Stock Connect)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17,91 % (sep-26)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vendedora del inversor extranjero.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16,9x / 12,3x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25,2x / 17,8x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 · -1,6x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Sieyuan nació en 1993 en Shanghái, fundada por Dong Zengping, Chen Bangdong y otros socios para fabricar equipos de monitorización de alta tensión; sale a bolsa en Shenzhen en 2004 (002028) [1]. Pasó de un producto a seis líneas: aparamenta (GIS hasta 1.000 kV), transformadores, protección y automatización, electrónica de potencia, almacenamiento y EPC [1]. Las compras fueron pocas y baratas: Changzhou Toshiba Shuden (transformadores) en 2018 por un precio simbólico, y 烯晶碳能 (supercondensadores) en 2023 [3]. Los dos fundadores siguen al mando (16,8 % y 12,3 %). Desde 2023 la exportación lleva el crecimiento (del 17 % al 27 % de las ventas en 2025), y en 2026 pidió salir a bolsa en Hong Kong [1,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Shanghái por Dong Zengping y Chen Bangdong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Shenzhen (002028)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90 % de Changzhou Toshiba Shuden Transformer: entrada en transformadores de potencia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10.369 M y ventas de 8.695 M; la acción sube un 147 %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control de 烯晶碳能 (supercondensadores) por 618 M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21.539 M (+39 %), exportación +86 %, pedidos de 28.891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Solicitud de salida a bolsa en Hong Kong (11-feb), caducada sin renovar; Toshiba recompra el 20 % de Sieyuan Toshiba (julio) [27]</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Sieyuan Electric (思源电气), con sede en Shanghái, diseña y fabrica equipos para las redes eléctricas: aparamenta aislada en gas (GIS y GIL hasta 1.000 kV) e interruptores, transformadores de potencia hasta 750 kV y reactancias, transformadores de medida y pasatapas, protección y control de subestaciones, compensación de reactiva y filtros (SVG, condensadores síncronos estáticos), almacenamiento en baterías para plantas y supercondensadores, y construye subestaciones llave en mano (EPC) [1]. Vende a State Grid y China Southern Grid, a generadoras, ferrocarril e industria, y a eléctricas de más de 100 países, con filiales en más de 20 (Brasil, Egipto, Zambia, España, Suiza) [1]. Fabrica en Shanghái, Nantong, Changzhou, Wuxi y Rugao, con I+D también en Suiza; 11.007 empleados [1].</w:t>
      </w:r>
    </w:p>
    <w:p>
      <w:pPr>
        <w:pStyle w:val="Heading2"/>
      </w:pPr>
      <w:r>
        <w:t xml:space="preserve">Cómo gana dinero</w:t>
      </w:r>
    </w:p>
    <w:p>
      <w:pPr>
        <w:spacing w:after="100"/>
      </w:pPr>
      <w:r>
        <w:t xml:space="preserve">Vende equipos por pedido: gana la licitación, cobra un anticipo del 10-30 %, fabrica y entrega en 6-18 meses, y cobra el resto con la aceptación y una retención de garantía [1]. Nada es recurrente por contrato, pero los pedidos (28.891 M en 2025) dan visibilidad de un año [1]. El beneficio sale de la aparamenta y los transformadores (63 % de las ventas, margen bruto del 36-37 %); EPC y almacenamiento (18 %) aportan volumen con márgenes del 12 % [1]. El margen depende del precio de licitación, del cobre y del acero, y de la mezcla; hay apalancamiento operativo porque la I+D y la estructura (13,6 % de las ventas) crecen menos que las ventas [1]. Estacionalidad fuerte: el cuarto trimestre trae el 36 % de las ventas y la mitad de la caja.</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Aparamenta (开关类)</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Transformadores (变压器类)</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Protección y automatización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Electrónica de potencia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EPC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Almacenamiento y componentes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(arrendamiento)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Aparamenta (开关类)</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Transformadores (变压器类)</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Protección y automatización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Electrónica de potencia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EPC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Almacenamiento y componentes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(arrendamiento)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muy repartidos: los cinco primeros sumaron el 9,5 % de las ventas de 2025 y el mayor, el 2,4 % [1]. En China vende a State Grid y China Southern Grid por licitaciones centralizadas, y a generadoras, ferrocarril, petroquímica y metalurgia; en 2025 entró como proveedor principal de protección de 220 kV de Southern Grid [1]. Fuera vende a eléctricas de más de 100 países, con entradas recientes en Alemania, Portugal, Suecia, Finlandia e Irlanda [1]. Fabrica bajo pedido (MTO/ETO) con anticipos del 10-30 %: los pasivos por contrato equivalen a unos dos meses de ventas [17]. Poder de precios demostrado: el margen bruto de transformadores subió 4,1 puntos en 2025 y el de aparamenta 3,7 puntos en el 1S26 con el cobre caro [1, 6]; el de la exportación bajó 1,8 puntos en 2025 y 2,3 en el 1S26 [1, 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nuevos (M CNY, sin IVA)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28.891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2026: 37.500 M (+30 %); en 9M26 y en el 3T26 crecen más de un 30 % según Soochow (la empresa no publica la cifra trimestral) [1, 18]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el exterior (M CNY)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1S26, 3.183 M (+11,2 %), el 29,5 % de las ventas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30,6 % en 9M26 (−1,7 pp) y 30,9 % en el 3T26 (−2,4 pp) por la mezcla de EPC y almacenamiento [17, 18]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Pasivos por contrato (anticipos, M CNY)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4.409 M a 30-sep-2026 (+52 % interanual), máximo histórico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I+D (M CNY)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4.781 personas de I+D, el 43 % de la plantilla de 11.007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bruto de aparamenta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39,1 % en el 1S26 [1,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Equipos de transmisión y distribución de alta y media tensión (aparamenta GIS, transformadores, protección, compensación) y almacenamiento para las redes, en China y en el mundo. El mercado relevante es la inversión mundial en redes eléctricas (IEA), de la que los equipos son la mayor parte; para China se usa la inversión en la red de la Administración Nacional de Energía. Se usa la cifra de la IEA porque Sieyuan ya vende el 27-30 % fuera y compite por licitaciones en más de 100 países [1,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400.000 M USD de inversión mundial en redes en 2025 (≈ 2.668.000 M CNY), de ellos 639.500 M CNY en China [1, 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inversión mundial en redes, IE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la red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639.500 M CNY en 2025 (+5,1 %); State Grid declara una inversión en activos fijos de más de 310.000 M en el 1S26 (+12,6 %), mientras UBS habla de una inversión en la red casi plana en 7M26 (≈ +1 %): las dos series no miden lo mismo [24, 30, 32]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mundial de transformadores y equipos de alta tensión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IEA estima un déficit de inversión en redes de 600.000 M USD frente a la generación [1]; la oferta de transformadores de alta tensión sigue corta en 2026 (Guosen, 25-oct)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y electrificación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mundial en centros de datos de 580.000 M USD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Proteccionismo en EE. UU. y la UE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Orden ejecutiva 14420 (26-ago-2026): el DOE puede prohibir equipos de 69 kV o más de 24 países; reglas antes del 24-dic-2026 [25,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cobre y del acero eléctrico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transformadores llevan mucho cobre; el margen bruto de transformadores aun así subió 4,1 pp en 2025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Licitaciones centralizadas de State Grid con precio como criterio; rivales estatales (XD, Pinggao, XJ) con márgenes EBIT del 7-11 % frente al 17 % de Sieyuan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redes estatales compran casi toda la alta tensión china; fuera, eléctricas con homologaciones largas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Cobre, acero y componentes de muchos proveedores: los cinco primeros, el 8,3 % de las compras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Homologación de años para 220-1.000 kV y referencias de servicio; pocos fabricantes de GIS de 1.000 kV en el mundo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sustituto del transformador ni de la aparamenta; el cambio es tecnológico (sin SF6, corriente continua) [29]</w:t>
            </w:r>
          </w:p>
        </w:tc>
      </w:tr>
    </w:tbl>
    <w:p>
      <w:pPr>
        <w:spacing w:after="160" w:before="0"/>
      </w:pPr>
    </w:p>
    <w:p>
      <w:pPr>
        <w:pStyle w:val="Heading2"/>
      </w:pPr>
      <w:r>
        <w:t xml:space="preserve">Ciclo</w:t>
      </w:r>
    </w:p>
    <w:p>
      <w:pPr>
        <w:spacing w:after="100"/>
      </w:pPr>
      <w:r>
        <w:t xml:space="preserve">La inversión de la red china creció a doble dígito en 2023-2024 y se modera: +5,1 % en 2025; en 2026 State Grid da +12,6 % de inversión en activos fijos en el 1S26 y UBS ≈ +1 % de inversión en la red en 7M26 [24, 30, 32]. Fuera, el ciclo sigue al alza (déficit de inversión, centros de datos), pero EE. UU. cierra la puerta a los equipos chinos de alta tensión [1, 25]. En 2008-09 y 2020 la red china fue contracíclica (estímulo) y las ventas de Sieyuan no cayeron; en 2022 crecieron un 21 % [1]. El riesgo del ciclo es de precio en las licitaciones, no de volumen.</w:t>
      </w:r>
    </w:p>
    <w:p>
      <w:pPr>
        <w:pStyle w:val="Heading2"/>
      </w:pPr>
      <w:r>
        <w:t xml:space="preserve">Regulación</w:t>
      </w:r>
    </w:p>
    <w:p>
      <w:pPr>
        <w:spacing w:after="100"/>
      </w:pPr>
      <w:r>
        <w:t xml:space="preserve">En China, el plan de equipos eléctricos 2025-2026 (MIIT, SAMR y NEA, septiembre de 2025) fija un crecimiento del 6 % anual para los equipos tradicionales y empuja las líneas de ultra alta tensión y el almacenamiento [1]. En EE. UU., la orden ejecutiva 14420 del 26-ago-2026 declara una emergencia nacional sobre los equipos extranjeros del sistema de alta tensión (transformadores, interruptores, inversores y almacenamiento de 69 kV o más) y da al DOE 120 días (hasta el 24-dic-2026) para publicar las reglas de exclusión [25, 26]. La UE estudia restricciones similares en inversores y equipos de red. El SF6 (gas de efecto invernadero) se restringe en la UE desde 2026 en media tensión, lo que obliga a nuevos diseños [29].</w:t>
      </w:r>
    </w:p>
    <w:p>
      <w:pPr>
        <w:pStyle w:val="Heading2"/>
      </w:pPr>
      <w:r>
        <w:t xml:space="preserve">Tendencias y disrupción</w:t>
      </w:r>
    </w:p>
    <w:p>
      <w:pPr>
        <w:spacing w:after="100"/>
      </w:pPr>
      <w:r>
        <w:t xml:space="preserve">Tres cambios: corriente continua y equipos de red formadora (SVG y almacenamiento grid-forming), donde Sieyuan ganó pasatapas de ±800 kV y proyectos en Hunan; aparamenta sin SF6, en la que ya vende interruptores con aire comprimido; y la demanda de los centros de datos, a la que llega con supercondensadores (armarios para amortiguar los picos de carga de la IA, que la cumbre OCP de 2026 presentó como estándar en ciernes) y transformadores [1, 19, 29]. Gana con todas porque invierte el 6 % de las ventas en I+D. Pierde con el proteccionismo: los fabricantes coreanos (HD Hyundai, Hyosung) y europeos ocupan el hueco en EE. UU. [25, 28].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3.ª empresa privada del mercado chino de equipos de transmisión y distribución, con el 3,5 % en 2024 según Frost &amp; Sullivan [27]; ≈ 0,8 % de la inversión mundial en redes (estimación propia: 21.539 M CNY de ventas sobre ≈ 2,67 billones de CNY de 2025)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XD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601179.SS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Estatal (China Electrical Equipment Group); GIS y transformadores de UHV; compite en precio en State Grid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Pinggao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600312.SS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Filial de State Grid; líder en GIS de 1.000 kV en China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XJ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000400.SZ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Filial de State Grid; protección, convertidores de corriente continua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NARI Technology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600406.SS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66.229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Filial de State Grid; automatización y protección, rival en secundario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TBEA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600089.SS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fabricante chino de transformadores, con polisilicio y carbón dentro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HD Hyundai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267260.KS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Transformadores para EE. UU. y Oriente Medio; gana con la exclusión de los chinos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Hyosung Heavy Industries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298040.KS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Transformadores y GIS con fábrica en Memphis (EE. UU.)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Siemens Energy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ENR.DE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292.167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Grid Technologies es líder mundial; el margen del grupo incluye eólica marina con pérdidas [28]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venta de equipos por licitación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Homologación y referencias de servicio de varios años en alta tensión; el secundario (protección) se integra en el control de la red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1.033 patentes (376 de invención) y homologaciones en más de 100 países; 4.781 ingenieros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16,9 % en 2025 frente al 7-15 % de los rivales chinos estatales con la misma escala y precios de licitación [B6]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Seis líneas de producto que comparten cliente y servicio, pero con el 3,5 % del mercado chino no fija precios [B5]</w:t>
            </w:r>
          </w:p>
        </w:tc>
      </w:tr>
    </w:tbl>
    <w:p>
      <w:pPr>
        <w:spacing w:after="160" w:before="0"/>
      </w:pPr>
    </w:p>
    <w:p>
      <w:pPr>
        <w:pStyle w:val="Heading2"/>
      </w:pPr>
      <w:r>
        <w:t xml:space="preserve">Amenazas</w:t>
      </w:r>
    </w:p>
    <w:p>
      <w:pPr>
        <w:spacing w:after="100"/>
      </w:pPr>
      <w:r>
        <w:t xml:space="preserve">Tres amenazas. La primera, la exclusión de los equipos chinos de alta tensión en EE. UU. (orden 14420, reglas antes del 24-dic-2026) y, si se extiende, en la UE: el exterior es el 29,5 % de las ventas del 1S26 y la parte de mayor crecimiento [25, 26]. Probabilidad alta en EE. UU., media en Europa. La segunda, la nueva capacidad de transformadores en Europa, EE. UU. y Corea, que convierte a los chinos en proveedores marginales cuando la escasez termine (tesis de UBS, septiembre de 2026) [30]. La tercera, una inversión de la red china que crece menos que en 2023-2024 (+5,1 % en 2025; señales mixtas en 2026), que endurece los precios de licitación [24, 30, 32]. Una cuarta, nueva tras el 3T26: el conflicto entre EE. UU. e Irán retrasa entregas en Europa y Oriente Medio y alarga el cobro [19].</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spacing w:after="100"/>
      </w:pPr>
      <w:r>
        <w:t xml:space="preserve">Crecimiento anual compuesto 2021-2025: ingresos </w:t>
      </w:r>
      <w:r>
        <w:rPr>
          <w:b/>
          <w:bCs/>
        </w:rPr>
        <w:t xml:space="preserve">25,5 %</w:t>
      </w:r>
      <w:r>
        <w:t xml:space="preserve">, EBITDA </w:t>
      </w:r>
      <w:r>
        <w:rPr>
          <w:b/>
          <w:bCs/>
        </w:rPr>
        <w:t xml:space="preserve">27,3 %</w:t>
      </w:r>
      <w:r>
        <w:t xml:space="preserve">, BPA </w:t>
      </w:r>
      <w:r>
        <w:rPr>
          <w:b/>
          <w:bCs/>
        </w:rPr>
        <w:t xml:space="preserve">26,4 %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N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8.695 M CNY en 2021 a 21.539 M en 2025 (+25,4 % anual) y el beneficio atribuido de 1.198 M a 3.150 M [1, 5]. El crecimiento es orgánico salvo 烯晶碳能 (2023, 77 M de ventas en su primer año) [3]. El margen EBITDA (con las diferencias de cambio y los rendimientos de la tesorería fuera) subió del 14,2 % de 2022 al 18,3 % de 2025 (17,3 % en 2021): el margen bruto de aparamenta (36,9 %) y transformadores (36,4 %) sostiene el grupo mientras EPC (11,8 %) y almacenamiento (11,7 %) lo diluyen [1]. En 9M26 las ventas suben un 28,5 % (17.762 M) y el beneficio atribuido solo un 9,7 % (2.403 M): el EBIT de este informe (sin cambio ni tesorería) crece un 22,5 % y su margen baja del 18,4 % al 17,6 %, con el 3T26 en el 17,6 % frente al 20,3 % del 3T25 por la mezcla (almacenamiento y EPC, 6-7 puntos más de las ventas), las materias primas, el flete y menos subvenciones (193 M frente a 241 M) [17, 18, 20]. Debajo del EBIT pesan 144 M de gastos financieros (diferencias de cambio por el yuan fuerte; −35 M en 9M25), 60 M de pérdidas de valor razonable de participaciones y el 20 % de Sieyuan Toshiba que compró Toshiba en julio (minoritarios de 162 M frente a 80 M) [10, 17, 19]. 2022 es el año flojo: la cuenta sufre 38 M de pérdidas de valor razonable y 105 M de deterioro de créditos.</w:t>
      </w:r>
    </w:p>
    <w:p>
      <w:pPr>
        <w:pStyle w:val="Heading2"/>
      </w:pPr>
      <w:r>
        <w:t xml:space="preserve">Ajustes y partidas no recurrentes</w:t>
      </w:r>
    </w:p>
    <w:p>
      <w:pPr>
        <w:spacing w:after="100"/>
      </w:pPr>
      <w:r>
        <w:t xml:space="preserve">Cifras reportadas en normas chinas (CAS). El EBIT y el EBITDA de este informe excluyen los gastos financieros netos (que en 2026 incluyen las diferencias de cambio), los ingresos de inversiones y los cambios de valor razonable de la tesorería: van al resultado financiero. Las subvenciones públicas (其他收益, 283 M en 2025, de ellas 184 M no recurrentes según la empresa) se quedan en el EBIT porque se repiten cada año (devolución del IVA del software y ayudas a la I+D) [1]. El único no recurrente relevante dentro del EBITDA es el deterioro del fondo de comercio de 烯晶碳能 de 107,5 M en 2024, que se devuelve al EBITDA de ese año [2]. Los no recurrentes declarados por la empresa sumaron 199 M en 2025 (6,3 % del beneficio)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Sieyuan no publica transcripciones, pero deja en CNINFO un acta de cada reunión con inversores. En la del 3T26 (24-oct, en línea, con más de 150 casas) el director financiero repitió que la empresa cumplirá el objetivo de ventas de 2026 (+25 %; 9M +28,5 %), explicó la caída del margen bruto (30,6 % en 9M frente al 32,3 % de 9M25) por el peso del almacenamiento, cuyo margen mejoró en el 3T, y prometió un margen bruto parecido al de 2025 (30,7 %) [17, 22]. Los pedidos nuevos de 9M crecen más del 30 % del objetivo, con el exterior más fuerte; por regiones, Europa-Oriente Medio y África pesan más y América «crece más rápido, sobre todo Norteamérica» [22]. Sobre la orden 14420 dijo que las entregas y los contratos en Norteamérica siguen sin cambios y que sus equipos (bobinados y estructura, sin hardware programable) deberían quedar fuera, a la espera de las reglas de diciembre [22]. Los analistas preguntaron por las existencias en tránsito sin reconocer (transformadores y aparamenta en el exterior), por los deterioros y por la distancia entre pedidos y ventas, que la empresa atribuye a proyectos más largos [22]. Frente a la reunión del 31-ago, el discurso cambió en EE. UU.: entonces el negocio estadounidense era «muy pequeño» y la orden tendría «algún efecto negativo» sin cuantificar; ahora la empresa cuenta Norteamérica como el origen del crecimiento más rápido [22, 23]. Siguió sin dar el peso de EE. UU. ni cifras de pedidos. Fuera del acta, Soochow, Guosen y Sinolink atribuyen el beneficio flojo (+4,5 % en el 3T) a la mezcla, el cambio (≈ 50 M en el 3T), menos subvenciones y más deterioros, y recortan el BPA de 2027e un 11-16 % [18, 19, 20].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烯晶碳能 (supercondensadores, Wuxi), consolidada desde el 1-mar-2023 al pasar del 10 % al 51,2 % (617,98 M CNY en caja): fondo de comercio de 597 M).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de caja neta: unos 7.370 M a septiembre de 2026 (tras pagar el dividendo) [17]. El circulante comercial (existencias, clientes y efectos, menos proveedores y efectos, más activos y menos pasivos por contrato) pasó de 2.347 M en 2024 a 3.775 M en 2025 (del 15,2 % al 17,5 % de las ventas): las cuentas a cobrar crecieron un 42 % con unas ventas +39 %, por la exportación y EPC, que cobran más tarde [1]. El deterioro de créditos subió a 209 M en 2025 (122 M en 2024). En 9M26 las existencias suben un 58 % desde diciembre (6.442 M, mercancía enviada sin aceptar), los anticipos un 48 % (4.409 M) y los clientes un 16 % (9.519 M): típico de un fabricante bajo pedido antes de entregar, pero también la señal de que la aceptación de los proyectos exteriores se alarga [17, 18, 20].</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4.874</w:t>
      </w:r>
      <w:r>
        <w:t xml:space="preserve">, conversión </w:t>
      </w:r>
      <w:r>
        <w:rPr>
          <w:b/>
          <w:bCs/>
        </w:rPr>
        <w:t xml:space="preserve">53 %</w:t>
      </w:r>
      <w:r>
        <w:t xml:space="preserve"> del beneficio neto; adquisiciones 596, dividendos 1.499, recompras 0.</w:t>
      </w:r>
    </w:p>
    <w:p>
      <w:pPr>
        <w:spacing w:after="100"/>
      </w:pPr>
      <w:r>
        <w:t xml:space="preserve">La conversión en caja es irregular: el flujo operativo fue de 383 M en 2021 (32 % del beneficio) y de 2.234 M en 2025 (71 %), por el circulante que exige la exportación y EPC [1, 5]. El primer semestre siempre es negativo o pequeño (−713 M en el 1S25, +227 M en el 1S26) y el cuarto trimestre trae la mitad de la caja del año; en 9M26 el flujo operativo fue de 983 M (432 M en 9M25), con cobros +38 % [1, 6, 17]. El capex fue de 820 M en 2025 (3,8 % de las ventas) y de 691 M en 9M26 (3,9 %) [17]: fábricas de transformadores y GIS en Nantong y Rugao, 600 M para aparamenta y 480 M para transformadores aprobados en junio de 2026, y no menos de 400 M para supercondensadores (julio) [6, 14]. Estimación propia: el mantenimiento ronda la amortización (≈ 1,5 % de las ventas) y el resto es crecimiento. La empresa no recompra (la recompra de 2025 quedó en cero) y reparte en torno al 20 % del beneficio [11, 16].</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Shanghai Certified Public Accountants (上会会计师事务所)</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2021-2025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El auditor lleva 25 años seguidos, demasiados para la práctica internacional aunque la rotación de socios (dos años los actuales) cumple la norma china [1]. No hay cambios de criterio relevantes. La I+D se lleva a gastos casi entera (1.300 M en 2025, 6,0 % de las ventas) [1]. Los pagos en acciones (opciones de 2023 a 43,80 CNY) son pequeños frente al beneficio. En 9M26 los deterioros de créditos (149 M) y de existencias (38 M) suben más que las ventas, y los no recurrentes bajan a 89 M (6 % del beneficio frente al 9 % de 2025) [17]. El reconocimiento de ingresos es por entrega o aceptación del cliente y por avance en EPC; el riesgo está en los activos por contrato (1.662 M) y las cuentas a cobrar (8.793 M a junio de 2026), que crecen al ritmo de la exportación [6]. Las subvenciones (283 M) y la tesorería (79 M de ingresos) suman el 8 % del beneficio antes de impuestos de 2025. El tipo efectivo es bajo (12,4 %) por el régimen de alta tecnología (15 %) y la deducción adicional de la I+D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Cuentas a cobrar que crecen más que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y efectos +42 % en 2025 con ventas +39 %; deterioro de créditos de 209 M (1,0 % de las ventas)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25 años de continuidad</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 local de tamaño medio; opinión limpia y sin incidencias publicadas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 entre avance y semestral del 1S26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avance del 10-jul daba 1.487 M de beneficio atribuido y el semestral 1.464 M (−1,6 %) [6,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 que crecen el doble que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Existencias de 6.442 M a 30-sep-2026 (+58 % desde diciembre, +28 % interanual) con ventas de 9M +28,5 %; la empresa lo atribuye al volumen y los analistas a envíos sin aceptar. El deterioro de existencias subió a 37,6 M en 9M26 (6,0 M en 9M25) [17, 18].</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541 M en 2025 (el 8 % del capital invertido medio); ha subido más de un 5 % en 1 de 4 años: compra única grande. ROIC publicado 44,2 %; sin fondo de comercio, 47,8 %.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8,1 %.</w:t>
      </w:r>
    </w:p>
    <w:p>
      <w:pPr>
        <w:spacing w:after="100"/>
      </w:pPr>
      <w:r>
        <w:t xml:space="preserve">Crea valor con holgura. El ROIC del motor pasó del 20,8 % de 2022 al 44,2 % de 2025, frente a un WACC del 8,08 %: el margen EBIT subió del 12,8 % al 16,9 % y la rotación del capital invertido mejoró porque los anticipos de clientes (2.977 M en 2025 y 4.409 M en septiembre de 2026) financian parte de las existencias [1, 17]. El ROE es más bajo (22,6 % en 2025) porque el patrimonio incluye unos 7.400 M de caja neta que rinde menos del 2 %. El ROIC sin fondo de comercio (47,8 %) apenas cambia. En 9M26 el margen EBIT de este informe bajó al 17,6 % (18,4 % en 9M25) y las existencias subieron un 58 %: el ROIC de 2026 será algo menor, pero seguirá muy por encima del coste de capital; con el margen de 2022 (14,2 % de EBITDA) seguiría por encima del 20 %.</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-7.367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30-sep-2026: tesorería de 3.764 M, activos financieros a valor razonable (depósitos estructurados) de 4.258 M y certificados de depósito de 305 M: 8.327 M frente a 907 M de deuda bancaria (685 M a corto, 52 M de vencimiento en un año y 170 M a largo, tomados por filiales) y 53 M de arrendamientos [17]. El dividendo de 547,7 M ya está pagado (julio) [11]. El consejo pidió 25.200 M de líneas bancarias para 2027, 22.700 M de ellas para avales y efectos [21].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pensiones de prestación definida. Provisiones de 66 M (garantías de producto) y garantías bancarias de cumplimiento (保函) por los proyectos, habituales en el sector [1]. Efectos comerciales a pagar de 2.821 M y a cobrar de 902 M a 30-sep-2026: el circulante se apoya en papel comercial bancario, sin factoring sin recurso declarado relevante [17]. Pasivos por contrato (anticipos de clientes) de 4.409 M que se compensan con entregas: van al circulante, no a la deuda. Sieyuan Toshiba: Toshiba ejerció en julio de 2026 la opción del contrato de 2018 y compró el 20 % por 100 CNY; no queda otra opción de venta de minoritarios declarada [10].</w:t>
      </w:r>
    </w:p>
    <w:p>
      <w:pPr>
        <w:pStyle w:val="Heading1"/>
      </w:pPr>
      <w:r>
        <w:t xml:space="preserve">12. Asignación de capital</w:t>
      </w:r>
    </w:p>
    <w:p>
      <w:pPr>
        <w:pStyle w:val="Confianza"/>
        <w:spacing w:after="100"/>
      </w:pPr>
      <w:r>
        <w:t xml:space="preserve">Confianza: Alta</w:t>
      </w:r>
    </w:p>
    <w:p>
      <w:pPr>
        <w:spacing w:after="100"/>
      </w:pPr>
      <w:r>
        <w:t xml:space="preserve">Dividendo en efectivo una vez al año: 0,20 CNY por acción de 2021, 0,30 de 2022, 0,40 de 2023, 0,50 de 2024 y 0,70 de 2025 (547,7 M, el 17 % del beneficio), pagado en julio de 2026 [1, 11]. La recompra de 300-500 M aprobada en mayo de 2025 (precio máximo 109,45 CNY) terminó el 12-jun-2026 sin comprar una acción: primero por una inversión relevante en estudio y después porque la cotización superó el máximo [16]. Prioridad declarada: capacidad (aparamenta, transformadores, supercondensadores), red comercial internacional y la salida a bolsa en Hong Kong para financiar la expansión exterior [1,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烯晶碳能电子科技无锡有限公司 (supercondensadores): del 10 % al 51,2 %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597 M; deterioro de 107,5 M en 2024 al no cumplir el plan. En 2025 el negocio de almacenamiento y componentes creció un 121 % y se abre al mercado de centros de datos [1, 2,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Changzhou Toshiba Shuden Transformer (90 %, hoy Sieyuan Toshiba)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simbólico (400 CNY) con opción de Toshiba de recomprar hasta el 30 %</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del negocio de transformadores (4.633 M de ventas en 2025); Toshiba ejerció la opción en julio de 2026 y Sieyuan bajó al 70 % por 100 CNY [1, 10]</w:t>
            </w:r>
          </w:p>
        </w:tc>
      </w:tr>
    </w:tbl>
    <w:p>
      <w:pPr>
        <w:spacing w:after="160" w:before="0"/>
      </w:pPr>
    </w:p>
    <w:p>
      <w:pPr>
        <w:spacing w:after="100"/>
      </w:pPr>
      <w:r>
        <w:t xml:space="preserve">Asignación prudente: sin deuda, crecimiento orgánico con capex del 3-4 % de las ventas y una sola compra apreciable en diez años, que salió regular (deterioro del 18 % del fondo de comercio al año siguiente) [2]. El reparto es bajo (17-20 %) para una empresa con 7.370 M de caja neta a septiembre de 2026 [17]; la recompra aprobada en 2025 no se ejecutó [16]. La salida a bolsa en Hong Kong (solicitud del 11-feb-2026, caducada sin renovar) habría diluido a los accionistas sin necesidad de caja [38].</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Dong Zengping (董增平)</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en 1993; en la empresa desde entonces. Bajo su mando las ventas pasaron de 8.695 M (2021) a 21.539 M (2025) y la exportación del 16 % al 27 %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Chen Bangdong (陈邦栋)</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en 1993; fue presidente y director general; hoy vicepresidente sin cargo ejecutivo de primer nivel [1, 33].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Yang Zhihua (杨帜华)</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director general adjunto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2000 (ventas); dirige filiales de aparamenta. Anunció la venta de 130.000 acciones en junio de 2026 y no vendió [33,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Yang Zherong (杨哲嵘)</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secretario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octubre de 2020; firma las cuentas y lleva la relación con inversores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Zhang Liangdong (章良栋)</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general adjunto, ventas internacionales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Sieyuan desde 2012 en el negocio exterior; con él la exportación pasó de 2.158 M (2023) a 5.803 M (2025). Vendió 20.000 acciones a 200,5 CNY el 22-jun-2026 [1, 35].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10.000 M; ventas 8.500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10.369 M; ventas 8.695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11.900 M; ventas 10.000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12.122 M; ventas 10.537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15.800 M; ventas 12.600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16.513 M; ventas 12.460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20.600 M; ventas 15.000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21.457 M; ventas 15.458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26.800 M; ventas 18.500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28.891 M; ventas 21.539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Pedidos 37.500 M (+30 %); ventas 27.000 M (+25 %)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9M26: ventas 17.762 M (+28,5 %, el 66 % del objetivo); pedidos +30 % según Soochow, sin cifra de la empresa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creíble: los dos fundadores dirigen desde 1993, la cúpula se renovó en junio de 2026 sin cambios en los puestos ejecutivos y la empresa cumplió o superó sus objetivos de pedidos en 2021-2025 (ventas, cuatro de cinco) [2, 4, 33]. Los objetivos son de pedidos y ventas, no de beneficio: la dirección no promete márgenes. No hay plan de sucesión público: el presidente es también consejero delegado y tiene 56 años [1]. Los directivos han vendido poco y a precios altos (20.000 acciones a 200,5 CNY); en la caída de agosto-octubre no hubo compras de directivos [35, 36].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Dong Zengping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Chen Bangdong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Yang Zhihua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general adjunto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Qin Zhengyu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financiero de Shanghai Zijiang)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Qiu Yufeng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 Qian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Chen Shiyun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(presidenta, previsiblemente: la ley exige un independiente experto contable)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2021-2025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4,01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Dong Zengping (presidente y consejero delegado)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accionista de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131,44 M acciones, sin cambios en 2024-2026; el porcentaje baja por las opciones ejercidas [17]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Chen Bangdong (vicepresidente)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96,38 M acciones, sin cambios [17]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Hong Kong Securities Clearing (inversores de Stock Connect)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Nominatario de inversores extranjeros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21,99 % a dic-2025 → 19,86 % a jun-2026 → 17,91 % a sep-2026 (140,90 M acciones; −15,5 M en el 3T) [6, 17]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Yang Xiaoqiang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 (exconsejero)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(25,44 M acciones) [17]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ETF de equipos de red (ChinaAMC CSI Grid Equipment), GIC, ADIA y dos carteras del fondo de la seguridad social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Fondos e inversores soberanos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los diez primeros a sep-2026 (1,28 % + 0,74 % + 0,61 % + 0,59 % + 0,46 %) [17]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recompra de 2025 no compró acciones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Zhang Liangdong (director general adjunto)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5,80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presidente y consejero delegado cobró 5,80 M CNY en 2025; el conjunto del consejo y la alta dirección, 21,3 M [1]. El variable se fija con un «contrato de resultados» anual (PPC) por KPI que la empresa no detalla, sin diferimiento ni cláusula de recuperación [1]. El incentivo a largo plazo son opciones (plan de 2023, 445 beneficiarios, precio de ejercicio de 43,80 CNY) con objetivos de crecimiento de ventas o beneficio, no de ROIC ni de rentabilidad para el accionista [1]. En China la remuneración de los directivos no se vota; la junta del 26-jun-2026 aprobó la retribución de los consejeros con el 96,6 % a favor y un 0,01 % en contra [34].</w:t>
      </w:r>
    </w:p>
    <w:p>
      <w:pPr>
        <w:pStyle w:val="Heading2"/>
      </w:pPr>
      <w:r>
        <w:t xml:space="preserve">Operaciones vinculadas, estructura de control y defensas</w:t>
      </w:r>
    </w:p>
    <w:p>
      <w:pPr>
        <w:spacing w:after="100"/>
      </w:pPr>
      <w:r>
        <w:t xml:space="preserve">Los dos fundadores suman el 29,0 % y el presidente es el accionista de control declarado; no hay pacto parasocial publicado entre ellos [1]. Una acción, un voto; sin clases. Las operaciones vinculadas son pequeñas y no hay uso de fondos por el accionista [1]. La salida a bolsa en Hong Kong (plan de diciembre de 2025, solicitud del 11-feb-2026) habría añadido una clase H; la solicitud no figura entre las activas de HKEX el 26-oct-2026 (caduca a los seis meses) y la empresa no ha anunciado una nueva [37, 38, 39]. El 17,9 % en manos de inversores de Stock Connect es el mayor bloque libre y el más volátil: vendió 16,6 M acciones en el 1S26 y otros 15,5 M en el 3T26 [6, 17].</w:t>
      </w:r>
    </w:p>
    <w:p>
      <w:pPr>
        <w:pStyle w:val="Heading2"/>
      </w:pPr>
      <w:r>
        <w:t xml:space="preserve">Señales de alerta</w:t>
      </w:r>
    </w:p>
    <w:p>
      <w:pPr>
        <w:pStyle w:val="ListParagraph"/>
        <w:numPr>
          <w:ilvl w:val="0"/>
          <w:numId w:val="2"/>
        </w:numPr>
        <w:spacing w:after="60"/>
      </w:pPr>
      <w:r>
        <w:t xml:space="preserve">Presidente y consejero delegado a la vez y accionista de control; sin consejero coordinador [1].</w:t>
      </w:r>
    </w:p>
    <w:p>
      <w:pPr>
        <w:pStyle w:val="ListParagraph"/>
        <w:numPr>
          <w:ilvl w:val="0"/>
          <w:numId w:val="2"/>
        </w:numPr>
        <w:spacing w:after="60"/>
      </w:pPr>
      <w:r>
        <w:t xml:space="preserve">Auditor local con 25 años seguidos [1].</w:t>
      </w:r>
    </w:p>
    <w:p>
      <w:pPr>
        <w:pStyle w:val="ListParagraph"/>
        <w:numPr>
          <w:ilvl w:val="0"/>
          <w:numId w:val="2"/>
        </w:numPr>
        <w:spacing w:after="60"/>
      </w:pPr>
      <w:r>
        <w:t xml:space="preserve">Ventas de directivos en junio de 2026 a 200,5 CNY (pequeñas: 20.000 acciones) [35].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Objetivos de 2026 publicados con las cuentas de 2025 (17-abr-2026): pedidos de 37.500 M CNY sin IVA (+30 %) y ventas de 27.000 M (+25 %), sin objetivo de beneficio [1, 6]. No los ha cambiado en el semestral ni en el trimestral: las ventas de 9M26 (17.762 M, +28,5 %) son el 66 % del objetivo, como en 2025 (64 % de las ventas del año en 9M), y el objetivo pide un 4T26 de 9.238 M (+19,8 %) [17]. No hay plan a medio plazo publicado; el plan de la salida a bolsa en Hong Kong hablaba de financiar la capacidad exterior.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2"/>
        <w:gridCol w:w="1302"/>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de las tres notas publicadas tras el 3T26 (Soochow, Guosen, Sinolink); EBITDA = EBIT medio + amortización de Soochow [18, 19, 20]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de Soochow, Guosen y Sinolink [18, 19, 20]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de Soochow, Guosen y Sinolink [18, 19, 20]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35.283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37.601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8.450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1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142,00 – 266,00</w:t>
            </w:r>
          </w:p>
        </w:tc>
      </w:tr>
    </w:tbl>
    <w:p>
      <w:pPr>
        <w:spacing w:after="160" w:before="0"/>
      </w:pPr>
    </w:p>
    <w:p>
      <w:pPr>
        <w:pStyle w:val="Heading2"/>
      </w:pPr>
      <w:r>
        <w:t xml:space="preserve">Revisiones de estimaciones</w:t>
      </w:r>
    </w:p>
    <w:p>
      <w:pPr>
        <w:spacing w:after="100"/>
      </w:pPr>
      <w:r>
        <w:t xml:space="preserve">Tras el 3T26 los recortes se aceleran: Soochow baja el BPA de 2026e de 5,20 a 4,58 y el de 2027e de 7,10 a 5,98; Guosen, de 5,31 a 4,64 y de 7,34 a 6,49; Sinolink, de 5,29 a 4,62 y de 7,66 a 6,47 (−11 % a −16 % en 2027e), por el cambio, la mezcla y entregas más lentas [18, 19, 20, 43]. MarketScreener (5,18 y 7,03, objetivo medio de 209,54 CNY) y Stock Analysis no se han actualizado desde antes de los resultados, por lo que el consenso de la tabla es la media de las tres notas nuevas; Yahoo da un objetivo medio de 205,32 CNY con 9 analistas el 26-oct [41, 42]. Antes: el BPA de 2026e de Soochow pasó de 5,89 (19-abr) a 5,37 (14-jul) y 5,20 (17-ago); el de Sinolink, de 5,90 a 5,29; el de 2027e, de 8,16-8,25 a 7,10-7,66 [14, 43]. Motivos: pérdidas de cambio, la mezcla de EPC y almacenamiento de margen bajo y la salida del 20 % de Sieyuan Toshiba [14, 15]. El 21-sep UBS rebajó a neutral con objetivo de 142 CNY y recortó el beneficio del sector en 2026-2028 entre un 3 % y un 66 % [30]. Recomendaciones por tipo: estimación propia a partir de las notas de Eastmoney (todas compra o sobreponderar salvo UBS) [43]. Ninguno de los tres publica precio objetivo en la nota del 3T26.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Sieyuan multiplicó su precio por más de dos y medio en cinco años (+20,9 % anual con dividendos frente al −1,7 % del CSI 300) gracias a un beneficio que creció un 27 % anual [1, 41]. 2025 fue el año fuerte (+114 %): exportación +86 % y beneficio +54 % [41]. En 2026 va −30,6 % (CSI 300 −9,8 %; ETF de equipos de red −3,3 %): tras tocar 239,12 CNY el 6-mar, perdió el 55 % por la desaceleración del beneficio del 2T26, la orden ejecutiva de EE. UU. del 26-ago, la rebaja de UBS del 21-sep y, en octubre, un 3T26 por debajo de lo esperado [17, 30, 41, 53]. La caída es sobre todo de Sieyuan, no del sector [41]. La beta mensual de 5 años (0,73) subestima el riesgo de hoy: la semanal de 2 años es 1,14 y la volatilidad de un año, del 55 % [41].</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-20,5 % / -31,5 % / -50,0 % / -3,5 %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-54,3 % / +3,9 %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2027-01-16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 resultados de 2025 (16-ene): beneficio +54 %; dos límites al alza (16 y 19-ene, +20,62 % acumulado) y aviso de volatilidad anormal sin hechos ocultos [51, 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máximo de 216 CNY (1-jun) a 173 CNY (30-jun): recogida de beneficios en el sector tras la junta, ventas anunciadas de directivos (aviso del 24-jun) y temor a una salida a bolsa en Hong Kong con descuento [30,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del 1S26 (10-jul): beneficio solo +15 % por pérdidas de cambio y la salida del 20 % de Sieyuan Toshiba [9,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183,15 (17-ago, tras el semestral) a 143,18 (28-ago): límite a la baja el 27-ago, día siguiente a la orden ejecutiva 14420 de EE. UU. que permite excluir transformadores e interruptores chinos de 69 kV o más; todo el sector cayó (Jinpan y Mingyang −7 %) [25, 49, 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UBS a neutral (21-sep, objetivo 142 CNY: nueva capacidad occidental, riesgo de la UE e inversión de la red china casi plana); −7,55 % el 22-sep con salida de 3.090 M de fondos institucionales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Límite a la baja el 20-oct (−10 %, 112,59 CNY, más de 2.300 M negociados) por miedo a un mal 3T26 y arrastre del sector [53]; el 3T26 del 24-oct lo confirmó en parte (beneficio +4,5 %, margen bruto −2,4 pp) y la acción cayó otro 2,4 % el 26-oct hasta 106,81, con un mínimo intradía de 103,00 [17,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del 3T26: ventas +30,7 %, beneficio atribuido +4,5 % (+14,6 % sin no recurrentes), por debajo de lo esperado; los objetivos de 2026 no cambian [17,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Soochow, Guosen y Sinolink mantienen compra o sobreponderar y recortan el BPA de 2027e un 11-16 % tras el 3T26 [18, 19,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DOE de EE. UU. debe publicar antes del 24-dic-2026 las reglas de la orden 14420 (exclusión de equipos de alta tensión de 24 países) [25]; Soochow y Sinolink creen que solo afectarán al uso directo en la red [18,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ya supone EE. UU. cerrado; se revisaría si la UE adopta una medida similar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inversores de Stock Connect (HKSCC) bajan del 19,86 % al 17,91 % en el 3T26 (−15,5 M acciones), tras −16,6 M en el 1S26 [6,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rebaja de compra a neutral con objetivo de 142 CNY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solicitud de salida a bolsa en Hong Kong (11-feb-2026) caducó sin renovar y no está entre las activas de HKEX el 26-oct; la junta de diciembre de 2025 aprobó el plan y podría volver a presentarse (dilución de una ampliación H) [38,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nueva solicitud con descuento sobre la A abriría un retraso hasta fijar el precio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directivos: 20.000 acciones a 200,5 CNY el 22-jun (Zhang Liangdong); Yang Zhihua no ejecutó su plan de 130.000 (venció el 15-oct); ningún anuncio nuevo hasta el 26-oct [35, 36, 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caída del 55 % desde el máximo intradía de 239,12 CNY (6-mar) hasta 106,81 tiene causas con fecha y ya conocidas: un 2T26 flojo (cambio y Toshiba), la orden ejecutiva de EE. UU. del 26-ago, la rebaja de UBS del 21-sep y un 3T26 por debajo de lo esperado (24-oct), con el inversor de Stock Connect vendiendo [9, 17, 25, 30, 41]. Los resultados ya están publicados y los siguientes (avance de 2026) llegan a mediados de enero, a más de 15 días. No hay colocaciones, ampliaciones con fecha ni litigios pendientes; la salida a bolsa en Hong Kong está parada. El hecho pendiente que puede mover el precio más de un 5 % son las reglas del DOE (antes del 24-dic), que el caso base ya da por desfavorables.</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precio de cierre de cada año y el beneficio de los doce meses anteriores, Sieyuan cotizó en 2022-2024 entre 24 y 28 veces y en 2021 a 31 veces (año de burbuja del sector, excluido) [41]. A 106,81 CNY cotiza a unas 25 veces el beneficio LTM a septiembre de 2026 (4,24 CNY) y a unas 23 veces el de 2026e del consenso posterior a los resultados (4,61): por debajo de su historia y del cierre de 2025 (39 veces) [17, 18]. El cambio estructural es doble: el crecimiento exterior que justificó la prima de 2025 está en duda por la orden de EE. UU. y por un beneficio que crece menos que las ventas, y el tipo chino a 10 años está en el 1,64 %, que sostiene múltiplos altos [25, 44].</w:t>
      </w:r>
    </w:p>
    <w:p>
      <w:pPr>
        <w:pStyle w:val="Heading1"/>
      </w:pPr>
      <w:r>
        <w:t xml:space="preserve">18. Comparables cotizados</w:t>
      </w:r>
    </w:p>
    <w:p>
      <w:pPr>
        <w:pStyle w:val="Confianza"/>
        <w:spacing w:after="100"/>
      </w:pPr>
      <w:r>
        <w:t xml:space="preserve">Confianza: Media</w:t>
      </w:r>
    </w:p>
    <w:p>
      <w:pPr>
        <w:spacing w:after="100"/>
      </w:pPr>
      <w:r>
        <w:t xml:space="preserve">Fabricantes de equipos de alta tensión y de redes: cuatro estatales chinos que compiten con Sieyuan en las licitaciones de State Grid (XD, Pinggao, XJ, NARI), dos privados chinos (Jinpan, Huaming), TBEA, tres coreanos que ganan cuota en EE. UU. (HD Hyundai Electric, Hyosung Heavy, LS Electric) y Siemens Energy. Fuera GE Vernova: su EBITDA de los últimos doce meses (7 %) y un BPA estimado que baja de 2026 a 2027 por partidas extraordinarias distorsionan los múltiplos. Hitachi no entra: Hitachi Energy es una parte del conglomerado. Cifras de Yahoo del 19-oct-2026 llevadas al cierre del 26-oct (precio y BPA estimado del día; el valor empresa cambia con la capitalización y la deuda neta de la ficha), en millones de CNY al cambio del 19-oct (los cambios de la semana son menores del 1 %); EV/EBITDA NTM sin dato gratuito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Sieyuan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XJ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Pinggao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XD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TBEA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NARI Technology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Jinpan Technology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Huaming Equipment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Hyosung Heavy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HD Hyundai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LS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Siemens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773.688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 / 17,1x / 18,8x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 / 19,0x / 20,6x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25.474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 / 2,7x / 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116,29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Sieyuan cotiza a unas 3,3 veces ventas y 18 veces el EBITDA LTM de Yahoo, con el mejor margen EBITDA de los chinos generalistas (18 % frente al 10-17 %) y un ROIC del 20 % según Yahoo [46]. Los estatales chinos cotizan a 12-30 veces el BPA NTM con crecimientos del 8-24 %; los coreanos, a 14-30 veces con crecimientos del 24-35 % y acceso a EE. UU. [46]. La prima de Sieyuan en EV/EBITDA frente a los chinos se justifica por margen y ROIC; frente a los coreanos no, porque ellos tienen la puerta de EE. UU. abierta. El PER es el múltiplo útil (la caja neta distorsiona el EV de las estatales).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casi cerrado (+26,5 %, fijo): ventas de 9M26 de 17.762 M (+28,5 %) y un 4T de 9.485 M (+19,8 %), lo que pide el objetivo de la empresa de crecer un 25 % (la dirección confirmó el 24-oct que lo cumplirá) [17, 22]. Después frena: +20 % en 2027e, +15 % en 2028e y del 10 % al 5 % hasta 2031e, por debajo de las tres notas posteriores al 3T26 (+27 % y +25 %) [18, 19, 20]. Los pedidos de 9M crecen más del 30 % y los anticipos un 52 %, pero las ventas van por detrás porque los proyectos exteriores se alargan, la red china crece a un dígito y el caso base no cuenta con EE. UU. [17, 22, 24, 25].</w:t>
      </w:r>
    </w:p>
    <w:p>
      <w:pPr>
        <w:keepNext/>
        <w:spacing w:after="100"/>
      </w:pPr>
      <w:r>
        <w:rPr>
          <w:b/>
          <w:bCs/>
        </w:rPr>
        <w:t xml:space="preserve">Márgenes.</w:t>
      </w:r>
    </w:p>
    <w:p>
      <w:pPr>
        <w:spacing w:after="100"/>
      </w:pPr>
      <w:r>
        <w:t xml:space="preserve">El margen EBITDA fue del 17,3 % en 2021, el 14,2 % en 2022, el 15,6 % en 2023, el 17,5 % en 2024 (sin el deterioro del fondo de comercio) y el 18,3 % en 2025; en 9M26, ≈ 19,2 % (≈ 20,1 % en 9M25), con un 3T26 2,7 puntos por debajo del 3T25 por la mezcla de almacenamiento y EPC [1, 17]. El 4T es el trimestre de menor margen (≈ 15 % en 2025): 2026e queda en el 17,6 %. Después lo bajo del 17,6 % al 17,0 % en 2031e: el almacenamiento crece más que el resto con menos margen y la escasez de transformadores se irá cerrando con la capacidad nueva en Corea, Europa y EE. UU.; la empresa promete un margen bruto parecido al de 2025 [22, 30].</w:t>
      </w:r>
    </w:p>
    <w:p>
      <w:pPr>
        <w:keepNext/>
        <w:spacing w:after="100"/>
      </w:pPr>
      <w:r>
        <w:rPr>
          <w:b/>
          <w:bCs/>
        </w:rPr>
        <w:t xml:space="preserve">Inversión y circulante.</w:t>
      </w:r>
    </w:p>
    <w:p>
      <w:pPr>
        <w:spacing w:after="100"/>
      </w:pPr>
      <w:r>
        <w:t xml:space="preserve">Capex del 4,0 % de las ventas en 2026e (3,9 % en 9M26: aparamenta, transformadores de ultra alta tensión en Changzhou y supercondensadores) que baja al 2,5 % en 2031e, por encima de la amortización (1,5-2,0 %) [17, 22]. El circulante comercial se queda en el 18 % de las ventas, su nivel de los últimos doce meses a septiembre (≈ 18,1 %; 17,5 % en 2025), sin suponer mejoras: las existencias en tránsito del exterior suben [17, 22].</w:t>
      </w:r>
    </w:p>
    <w:p>
      <w:pPr>
        <w:keepNext/>
        <w:spacing w:after="100"/>
      </w:pPr>
      <w:r>
        <w:rPr>
          <w:b/>
          <w:bCs/>
        </w:rPr>
        <w:t xml:space="preserve">Coste del capital.</w:t>
      </w:r>
    </w:p>
    <w:p>
      <w:pPr>
        <w:spacing w:after="100"/>
      </w:pPr>
      <w:r>
        <w:t xml:space="preserve">Tasa libre del 1,6376 % (bono chino a 10 años, ChinaBond, 26-oct-2026) en CNY, la divisa de los flujos [44]. Beta de 1,0: frente al CSI 300, la mensual de cinco años es de 0,73, la semanal de dos años de 1,14 y la ajustada de 0,82 [41]; uso la media aproximada de la semanal de dos años y la ajustada (0,98), redondeada a 1,0 por la volatilidad de 2026 (55 %). Con 907 M de deuda frente a 84.034 M de capitalización (1,1 %), desapalancarla y reapalancarla con la deuda de Sieyuan la deja igual [17, 41]. Prima de mercado del 5,5 % y prima adicional del 1,0 % por riesgo de China y de acceso a mercados. Coste de la deuda del 2,5 % y peso de la deuda del 1 %. WACC del 8,08 %.</w:t>
      </w:r>
    </w:p>
    <w:p>
      <w:pPr>
        <w:keepNext/>
        <w:spacing w:after="100"/>
      </w:pPr>
      <w:r>
        <w:rPr>
          <w:b/>
          <w:bCs/>
        </w:rPr>
        <w:t xml:space="preserve">Valor terminal.</w:t>
      </w:r>
    </w:p>
    <w:p>
      <w:pPr>
        <w:spacing w:after="100"/>
      </w:pPr>
      <w:r>
        <w:t xml:space="preserve">Crecimiento a perpetuidad del 1,0 % en CNY: con el bono a 10 años al 1,64 %, el techo de la regla (tasa libre menos medio punto) es el 1,14 % [44]. Gordon con un WACC del 8,08 % es coherente con un fabricante de equipos maduro; el valor terminal pesa el 75 %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91,73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7.794 M (25 %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 (ROIC 44,2 %)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 frente al 13,9 %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2031e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 (hoy: 0,8 %)</w:t>
            </w:r>
          </w:p>
        </w:tc>
      </w:tr>
    </w:tbl>
    <w:p>
      <w:pPr>
        <w:spacing w:after="160" w:before="0"/>
      </w:pPr>
    </w:p>
    <w:p>
      <w:pPr>
        <w:spacing w:after="100"/>
      </w:pPr>
      <w:r>
        <w:t xml:space="preserve">La proyección reinvierte el 25 % del NOPAT. Con el ROIC del último ejercicio (44,2 %), eso financia un crecimiento del 11,2 % anual, frente al 13,9 % de ingresos proyectado. Supone que el capital nuevo rinde un 35,2 %; la cuota de mercado pasaría al 1,3 % desde el 0,8 %.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ventas de 9M26 +28,5 % y pedidos de 9M por encima del +30 % del objetivo; precio ligeramente a la baja en China y la mezcla (almacenamiento) y el yuan fuerte restan [17, 22].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Entregas de los pedidos de 2026, con el exterior (Europa, Oriente Medio, África y América) creciendo más; nueva capacidad de GIS de 500-1.000 kV y de interruptores; EE. UU. no se cuenta [22, 25].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Exportación, ultra alta tensión en China y la tercera fase de transformadores de Changzhou (prueba en julio-agosto de 2027); el precio cede con la capacidad nueva en el mundo [22, 30].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Convergencia hacia el crecimiento de la inversión mundial en redes (5 % anual entre 2025 y 2031e según la serie de la IEA) con ganancia de cuota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cercano al del mercado; precio unitario a la baja [1].</w:t>
            </w:r>
          </w:p>
        </w:tc>
      </w:tr>
    </w:tbl>
    <w:p>
      <w:pPr>
        <w:spacing w:after="160" w:before="0"/>
      </w:pPr>
    </w:p>
    <w:p>
      <w:pPr>
        <w:spacing w:after="100"/>
      </w:pPr>
      <w:r>
        <w:t xml:space="preserve">Sí, con un punto exigente. La proyección (13,9 % anual con 2026e) reinvierte el 25 % del NOPAT; al ROIC de 2025 (44,2 %) eso financia un 11,2 % anual. La diferencia es el año fijo 2026e (+26,5 %), que ya está hecho en sus tres cuartas partes y financiado con anticipos de clientes (4.409 M): en los años que se mueven (2027e-2031e) el crecimiento medio es del 11,4 %, igual al financiable, y el capital nuevo rinde un 35,2 %, por debajo del ROIC actual. La cuota implícita pasa del 0,8 % al 1,3 % de la inversión mundial en redes en 2031e: 1,6 veces la actual, por encima del límite relativo de 1,5 veces, aunque dentro del margen absoluto de 10 puntos del motor. La considero alcanzable porque una parte de las ventas (supercondensadores, electrónica del automóvil) no es inversión en redes y la exportación crece sobre una base pequeña, pero es el punto más exigente del caso base [1, 17, 22].</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(2027e-2031e)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16,6 % (base: 11,4 %)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 (base: 17,0 %)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 (WACC: 8,1 %)</w:t>
            </w:r>
          </w:p>
        </w:tc>
      </w:tr>
    </w:tbl>
    <w:p>
      <w:pPr>
        <w:spacing w:after="160" w:before="0"/>
      </w:pPr>
    </w:p>
    <w:p>
      <w:pPr>
        <w:spacing w:after="100"/>
      </w:pPr>
      <w:r>
        <w:t xml:space="preserve">El DCF da 94,66 CNY por acción, un 11,4 % menos que el precio, con un WACC del 8,08 % y un crecimiento terminal del 1 %; el valor terminal pesa el 75 %. El DCF inverso dice que el precio de 106,81 CNY descuenta un crecimiento del 16,6 % anual en 2027-2031e frente a nuestro 11,4 %, o un margen EBITDA terminal del 18,9 % frente a nuestro 17,0 %, y una rentabilidad implícita del 7,2 %, por debajo del WACC y por encima de lo que pide el mercado (6,8 %). Es menos exigente que hace una semana (22,1 % a 125,10 CNY) y queda por debajo de lo que esperan los analistas. Frente a la historia, nuestro base no es pesimista: Sieyuan creció un 25,4 % anual en 2021-2025, pero con la red china en expansión y EE. UU. abierto; ninguna de las dos cosas sigue igual, y el 3T26 muestra que el beneficio ya no sigue a las ventas.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reglas del DOE de diciembre excluyen los equipos chinos y Europa endurece el acceso; las licitaciones chinas bajan de precio y el almacenamiento sigue diluyendo: el crecimiento queda 6 puntos por debajo del base cada año (+14 % en 2027e) y el margen EBITDA 2,5 puntos más bajo, cerca del 14,2 % de 2022 [1, 25, 30].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exportación (Europa, Oriente Medio, África y América fuera de la red de EE. UU.) compensa una red china que crece a un dígito: ventas +20 % en 2027e y +15 % en 2028e, margen EBITDA del 17,5 % en 2028e que baja al 17,0 % en 2031e.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118,41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Norteamérica sigue abierta para los equipos sin control propio, los centros de datos tiran de supercondensadores y transformadores, y las ventas alcanzan a los pedidos: crecimiento 5 puntos mayor cada año y margen 1,5 puntos más alto, cerca de lo que esperan los analistas [18, 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CNY) · precio actual 106,8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93,18 CNY (-12,8 %).</w:t>
      </w:r>
    </w:p>
    <w:p>
      <w:pPr>
        <w:spacing w:after="100"/>
      </w:pPr>
      <w:r>
        <w:t xml:space="preserve">La asimetría sigue siendo desfavorable en el DCF: el alcista (118,41 CNY, +10,9 %) gana menos de lo que pierde el bajista (64,99 CNY, −39,2 %), con probabilidades de 25/50/25. El bajista no es extremo: crecimiento 6 puntos menor y margen 2,5 puntos más bajo, cerca de 2022 [1]. El valor ponderado de los escenarios (93,18 CNY) queda un 12,8 % por debajo del precio. A 12 meses la asimetría es mejor (bajista 73,63 y alcista 169,97 CNY) porque el PER del bajista ya parte del mínimo histórico adelantado.</w:t>
      </w:r>
    </w:p>
    <w:p>
      <w:pPr>
        <w:pStyle w:val="Heading1"/>
      </w:pPr>
      <w:r>
        <w:t xml:space="preserve">22. Suma de partes</w:t>
      </w:r>
    </w:p>
    <w:p>
      <w:pPr>
        <w:pStyle w:val="Confianza"/>
        <w:spacing w:after="100"/>
      </w:pPr>
      <w:r>
        <w:t xml:space="preserve">Confianza: Media</w:t>
      </w:r>
    </w:p>
    <w:p>
      <w:pPr>
        <w:spacing w:after="100"/>
      </w:pPr>
      <w:r>
        <w:t xml:space="preserve">No aplica: las seis líneas comparten clientes (redes y eléctricas), licitaciones y fábricas, y la empresa solo publica ventas y margen bruto por producto, sin resultado operativo por línea [1]. Almacenamiento y supercondensadores (7 % de las ventas de 2025, más en 2026) no tienen un valor separable con referencia de mercado.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CNY) · precio actual 106,8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107,34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98,09 CNY (-8,2 % sobre 106,81).</w:t>
      </w:r>
    </w:p>
    <w:p>
      <w:pPr>
        <w:spacing w:after="100"/>
      </w:pPr>
      <w:r>
        <w:t xml:space="preserve">Pesos: DCF 50 %, escenarios 30 % y comparables 20 %. El DCF y los escenarios recogen el crecimiento, los márgenes y la caja; los comparables pesan menos porque mezclan estatales chinas con márgenes de la mitad (XJ, Pinggao, TBEA) y coreanas con acceso a EE. UU. (HD Hyundai, Hyosung, LS) [46]. Sin transacciones con múltiplo publicado y sin suma de partes. El PER de los próximos doce meses de los comparables da 114,05 CNY (con el BPA del consenso posterior al 3T26) y el EV/EBITDA de los últimos doce meses 108,24 CNY, por encima del DCF (94,66): el mercado chino paga a todo el sector más de lo que da un DCF con un WACC del 8 %. El puente parte del balance de septiembre de 2026: caja e inversiones líquidas de 8.327 M, deuda de 907 M, arrendamientos de 53 M, minoritarios de 445 M y participaciones de 129 M [17].</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(19.4x) a mitad de camino hacia abajo, hacia la mediana de 5 años (19.3x)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169,97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+59,8 %</w:t>
            </w:r>
          </w:p>
        </w:tc>
      </w:tr>
    </w:tbl>
    <w:p>
      <w:pPr>
        <w:spacing w:after="160" w:before="0"/>
      </w:pPr>
    </w:p>
    <w:p>
      <w:pPr>
        <w:spacing w:after="100"/>
      </w:pPr>
      <w:r>
        <w:rPr>
          <w:b/>
          <w:bCs/>
        </w:rPr>
        <w:t xml:space="preserve">Objetivo a 12 meses (ponderado):</w:t>
      </w:r>
      <w:r>
        <w:t xml:space="preserve"> 121,02 CNY · rentabilidad +14,0 % (base +13,2 %) · señal Mantener.</w:t>
      </w:r>
    </w:p>
    <w:p>
      <w:pPr>
        <w:keepNext/>
        <w:spacing w:after="100"/>
      </w:pPr>
      <w:r>
        <w:rPr>
          <w:b/>
          <w:bCs/>
        </w:rPr>
        <w:t xml:space="preserve">Frente al consenso (solo contraste).</w:t>
      </w:r>
    </w:p>
    <w:p>
      <w:pPr>
        <w:spacing w:after="100"/>
      </w:pPr>
      <w:r>
        <w:t xml:space="preserve">Nuestro BPA de 2027e (5,51) queda un 13 % por debajo del consenso posterior al 3T26 (6,31) y el de 2028e (6,23), un 25 % por debajo (8,26) [18, 19, 20]. La diferencia es de ventas: las tres casas esperan 35.283 M en 2027e y 44.090 M en 2028e (+27 % y +25 %); nosotros 32.696 M y 37.601 M. Frenamos más porque las ventas ya crecen menos que los pedidos (proyectos más largos), la red china crece a un dígito y el caso base sigue dando EE. UU. por perdido aunque la empresa diga lo contrario [22, 24, 25]. El margen EBITDA (17,5-17,6 %) es parecido al suyo (≈ 18-19 %). El precio base queda muy por debajo del objetivo medio de los analistas (209,54), que es anterior a los resultados y lleva meses bajando [42, 43].</w:t>
      </w:r>
    </w:p>
    <w:p>
      <w:pPr>
        <w:keepNext/>
        <w:spacing w:after="100"/>
      </w:pPr>
      <w:r>
        <w:rPr>
          <w:b/>
          <w:bCs/>
        </w:rPr>
        <w:t xml:space="preserve">Del valor intrínseco al objetivo a 12 meses.</w:t>
      </w:r>
    </w:p>
    <w:p>
      <w:pPr>
        <w:spacing w:after="100"/>
      </w:pPr>
      <w:r>
        <w:t xml:space="preserve">El objetivo a 12 meses queda por encima del precio porque el PER actual (19,4 veces nuestro BPA de 2027e) ya está en la mediana adelantada de 2022-2025 (19,3) y todo el recorrido sale del crecimiento del beneficio de 2027e a 2028e (+13 %). El valor intrínseco queda por debajo del precio: el DCF con un WACC del 8 % y un terminal del 1 % no paga los múltiplos a los que cotiza el sector en China, con el bono al 1,64 %. La distancia se cerraría si el beneficio vuelve a crecer al ritmo de las ventas (cambio y mezcla) o si el precio baja.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del 24-dic-2026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Reglas del DOE de la orden 14420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Dicen si los transformadores y la aparamenta sin control propio quedan fuera de la exclusión en EE. UU. [22, 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mediados de 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 resultados de 2026 (业绩快报)</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si se cumple el objetivo de ventas (+25 %) y cuánto beneficio deja el 4T [22, 52]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 a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Licitaciones centralizadas de State Grid y presupuesto de inversión de la red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y volumen de la aparamenta y los transformadores en China; posible primera adjudicación de GIS de 1.000 kV [22, 32]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dividendo y objetivos de pedidos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objetivo de pedidos marca el crecimiento de 2027-2028 (2026: 37.500 M, +30 %) [6]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jul-ago-2027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producción de la fábrica de transformadores de ultra alta tensión de Changzhou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para los proyectos largos que ya acepta [22]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solicitud de salida a bolsa en Hong Kong</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Dilución y posible descuento de la acción H [37, 38]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Exclusión de los equipos chinos de alta tensión en EE. UU. y contagio a la UE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−30 % (escenario bajista: 64,99 CNY en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dice que sus equipos (bobinados y estructura, sin hardware programable) deberían quedar fuera y que las entregas siguen; Europa-Oriente Medio y África pesan más que América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Reglas del DOE (antes del 24-dic-2026) o una propuesta de la UE sobre equipos de red de países de alto riesgo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Mezcla y margen: el almacenamiento de bajo margen crece más que el resto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cada 2 puntos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del almacenamiento mejoró en el 3T26 (exterior y litio más barato) y la empresa promete un margen bruto parecido al de 2025 (30,7 %)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grupo por debajo del 29 % en un trimestre (30,9 % en el 3T26)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que no siguen a los pedidos: existencias en tránsito y aceptación lenta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Anticipos de clientes de 4.409 M (+52 %); 4T, trimestre de entregas [17,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por encima de 7.000 M en diciembre o ventas de 2026 por debajo de 27.000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 la inversión de la red china y guerra de precios en las licitaciones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GIS de 1.000 kV homologado por State Grid y capacidad de 500-750 kV ampliada [22, 32].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de la red de 2027 por debajo de la de 2026 o caída del margen de aparamenta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Yuan fuerte y pérdidas de cambio por las cuentas a cobrar en divisa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a −4 %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a plazo (con un coste por el descuento a plazo) y caja neta de ≈ 7.400 M [17,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financieros por encima de 250 M en el año (144 M en 9M26)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continuada del inversor de Stock Connect y nueva salida a Hong Kong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en el precio, sin efecto en 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necesita la caja; la solicitud de Hong Kong caducó [17, 38, 39].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de HKSCC por debajo del 15 % o nueva solicitud en HKEX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y concentración del poder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Fundadores en el cargo desde 1993, equipo directivo estable [1, 33].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del presidente o venta de los fundadores (aviso de venta en CNINFO) [40]</w:t>
            </w:r>
          </w:p>
        </w:tc>
      </w:tr>
    </w:tbl>
    <w:p>
      <w:pPr>
        <w:spacing w:after="160" w:before="0"/>
      </w:pPr>
    </w:p>
    <w:p>
      <w:pPr>
        <w:pStyle w:val="Heading2"/>
      </w:pPr>
      <w:r>
        <w:t xml:space="preserve">Pre-mortem</w:t>
      </w:r>
    </w:p>
    <w:p>
      <w:pPr>
        <w:spacing w:after="100"/>
      </w:pPr>
      <w:r>
        <w:t xml:space="preserve">Octubre de 2029: Sieyuan vale un 40 % menos. Lo que pasó: el DOE publicó en diciembre de 2026 reglas que excluían también los transformadores y la aparamenta chinos, y en 2027 la UE aprobó un régimen parecido para los equipos de red «de alto riesgo». Los pedidos de América, que en 2026 eran los que más crecían, se cayeron, y los de Europa se frenaron. En China, la inversión de la red se quedó plana y las licitaciones bajaron de precio; la capacidad nueva de transformadores en Corea, Europa y EE. UU. acabó con la escasez. Mientras tanto, el almacenamiento siguió ganando peso con márgenes del 12 %. El margen EBITDA volvió al 14 % de 2022 y el mercado pasó a pagar 15 veces el beneficio, como a XJ Electric. Lo que habríamos visto antes: el margen bruto trimestral bajando del 29 %, existencias creciendo más que las ventas dos trimestres seguidos y pedidos de exportación por debajo de las ventas.</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Oportunidad · </w:t>
      </w:r>
      <w:r>
        <w:rPr>
          <w:b/>
          <w:bCs/>
        </w:rPr>
        <w:t xml:space="preserve">Efecto en valor (3-5 años):</w:t>
      </w:r>
      <w:r>
        <w:t xml:space="preserve"> +0 % a +5 %</w:t>
      </w:r>
    </w:p>
    <w:p>
      <w:pPr>
        <w:spacing w:after="100"/>
      </w:pPr>
      <w:r>
        <w:t xml:space="preserve">Sieyuan vende equipos físicos de alta tensión fabricados bajo pedido: la IA no sustituye el producto, el cliente (eléctricas por licitación) ni la fabricación. Le favorece por la demanda: los centros de datos de IA tiran de la inversión en redes, y la empresa vende supercondensadores (armarios que amortiguan los picos de carga, con la capacidad llena según Soochow) y transformadores a ese segmento [18, 19]. Le perjudica poco: la IA puede abaratar el diseño de protección y automatización (12 % de las ventas), donde compite con software. La oportunidad tiene un límite en EE. UU., el mayor mercado de centros de datos, por la orden 14420 [25]. Señal: pedidos de supercondensadores con cifra o una ampliación de capacidad anunciada.</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2026-04</w:t>
            </w:r>
          </w:p>
        </w:tc>
      </w:tr>
    </w:tbl>
    <w:p>
      <w:pPr>
        <w:spacing w:after="160" w:before="0"/>
      </w:pPr>
    </w:p>
    <w:p>
      <w:pPr>
        <w:pStyle w:val="Heading2"/>
      </w:pPr>
      <w:r>
        <w:t xml:space="preserve">Asuntos materiales</w:t>
      </w:r>
    </w:p>
    <w:p>
      <w:pPr>
        <w:spacing w:after="100"/>
      </w:pPr>
      <w:r>
        <w:t xml:space="preserve">Lo más material: el SF6 (gas con un potencial de calentamiento de miles de veces el CO₂) en la aparamenta de alta tensión; Sieyuan ya vende interruptores con mezcla de SF6 y nitrógeno al 30/70 y otros con aire seco [29]. Las emisiones propias son pequeñas: 73.500 t de CO₂e en 2025, el 94 % de electricidad comprada [29]. Seguridad laboral: sin accidentes mortales; 368 días perdidos por lesiones en 2025 [29]. El negocio es en sí un habilitador de la transición: redes, almacenamiento y compensación para renovables [1].</w:t>
      </w:r>
    </w:p>
    <w:p>
      <w:pPr>
        <w:pStyle w:val="Heading2"/>
      </w:pPr>
      <w:r>
        <w:t xml:space="preserve">Controversias</w:t>
      </w:r>
    </w:p>
    <w:p>
      <w:pPr>
        <w:spacing w:after="100"/>
      </w:pPr>
      <w:r>
        <w:t xml:space="preserve">No se encuentran sanciones ni litigios relevantes en 2023-2026: el informe anual declara una situación de integridad buena de la empresa y del accionista de control, y el informe de sostenibilidad no recoge incidentes graves [1, 29]. El riesgo reputacional viene de la geopolítica (orden ejecutiva de EE. UU.), no de conductas propias [25].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y de los pedidos de 2026 va a EE. UU., y por qué la empresa cree que sus transformadores y su aparamenta quedarán fuera de la orden 14420?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agosto el negocio en EE. UU. era «muy pequeño» y en octubre Norteamérica es lo que más crece; es la diferencia entre el base y 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y ventas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suman los pedidos de 9M26 y qué parte del aumento de existencias (2.363 M desde diciembre) son envíos al exterior sin aceptar?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crecimiento de 2027e (+20 %) depende de que las ventas alcancen a los pedidos.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bruto tienen hoy el almacenamiento y el EPC, y qué peso tendrán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mezcla explica la caída del margen del 3T26 (−2,4 puntos).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cuentas a cobrar está en divisa y cuánto cuesta cubrirla con el descuento a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gastos financieros pasaron de −35 M a 144 M en 9M26.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Sieyuan Toshiba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beneficio aportaba Sieyuan Toshiba y por qué no se renegoció la opción de Toshiba (20 % por 100 CNY)?</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minoritarios se doblaron en 9M26 (162 M frente a 80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Hong Kong y reparto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volverá a pedir la salida a bolsa en Hong Kong, con 7.400 M de caja neta, y por qué el dividendo se queda en el 17 % del beneficio?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Dilución sin necesidad de caja y caja que rinde menos del 2 %.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Capacidad exterior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¿Habrá fábricas fuera de China (Europa, Oriente Medio, México) para sortear restricciones de origen?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defensa frente al proteccionismo; en agosto la empresa lo estudiaba «con prudencia» [23].</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Guba de Eastmoney (foro de 002028), tras el 3T26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los resultados domina la capitulación: «acción muerta», objetivos de 80-90 CNY y llamadas a vender en cualquier rebote; una minoría lo ve como «el último dato malo» y compra cerca de 100 [54].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Guba de Eastmoney (hilos de análisis)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Quien lee el acta del 24-oct destaca que el margen bruto se mantiene cerca del 30,7 % y que los pedidos crecen más del 30 %; otros señalan que la financiación con margen (融资) se ha reducido con fuerza y que el inversor extranjero sigue vendiendo [55].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Guba de Eastmoney (semana del 20 al 23-oct)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límite a la baja del 20-oct sorprendió («Sieyuan casi nunca cae al límite»); se esperaba un 3T flojo por los precedentes de Jinpan y Jereh y se enumeraban las causas: ingresos retrasados, cambio y fletes [56].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Fenghuang Finance (artículo y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rebaja de UBS se lee como el final de la tesis de exportación; los minoristas compraron casi 6.000 M en dos días mientras salían los institucionales [30].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que crece menos que las ventas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beneficio atribuido +9,7 % con ventas +28,5 % en 9M26; la causa es sobre todo de debajo del EBIT (cambio, valor razonable, minoritarios de Toshiba) y de la mezcla, no de precios [17, 22].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del inversor extranjero (Stock Connect) y de la financiación con margen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Hong Kong Securities Clearing bajó del 19,86 % al 17,91 % en el 3T26 [17]; el saldo de margen no se usa como cifra del informe.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Prohibición de equipos chinos en EE. UU.</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dice que las entregas a Norteamérica siguen y que sus equipos no llevan hardware programable; las reglas del DOE llegan en diciembre [22, 25].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tras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106,81 CNY cotiza a unas 23 veces el BPA de 2026e del consenso posterior a los resultados; los foros hablan de un «precio justo» de 80-90 sin base en cifras [18].</w:t>
            </w:r>
          </w:p>
        </w:tc>
      </w:tr>
    </w:tbl>
    <w:p>
      <w:pPr>
        <w:spacing w:after="160" w:before="0"/>
      </w:pPr>
    </w:p>
    <w:p>
      <w:pPr>
        <w:spacing w:after="100"/>
      </w:pPr>
      <w:r>
        <w:t xml:space="preserve">El sentimiento de los particulares pasó de atrapado a capitulación en la última semana: tras el límite a la baja del 20-oct y el 3T26, los foros piden 80-90 CNY y celebran cada venta, mientras los analistas mantienen la compra y solo recortan el BPA [18, 54, 56]. Es una distancia típica del final de una caída, pero no una señal: los motivos (beneficio por debajo de las ventas, venta extranjera, orden de EE. UU.) son reales y están en el informe. Lo único que los foros añaden es la presión de la financiación con margen, que puede alargar la caída unos días sin cambiar el valor.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23 controles correctos y 2 explicados. Fuentes: 56 (30 primarias); citas distintas en el texto: 53.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9,2 %: explica la causa (créditos fiscales, regularizaciones, mezcla de países) y no lo proyectes en el DCF. Explicación: El 9,2 % de 2023 sale de la conciliación del informe anual: sobre 443 M de impuesto teórico al 25 %, las filiales con tipo reducido (alta tecnología al 15 %) restan 195 M y la deducción adicional de la I+D otros 141 M [3]. No se proyecta: el DCF usa el 13,5-15 %, en línea con 2025 (12,4 %) y 9M26 (13,7 %) [1, 17].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35,2 % frente a un ROIC de 44,2 %: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1,3 % en 2031e frente al 0,8 %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18,0 % frente a 17,5 % real: genera una variación de circulante de 1.129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(2028e)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-22,1 % frente al consenso: justifica la diferencia en el DCF. Explicación: Diferencia deliberada: las tres notas posteriores al 3T26 esperan ventas de 44.090 M en 2028e (+27 % y +25 % en 2027e-2028e) con un margen EBITDA de ≈ 19 %; nosotros 37.601 M (+20 % y +15 %) con el 17,5 %. Frenamos más porque las ventas ya crecen menos que los pedidos (proyectos más largos, términos de entrega en destino), la red china crece a un dígito, el 3T26 mostró que el margen cae con la mezcla de almacenamiento y el caso base no cuenta con EE. UU. [18, 19, 20, 22, 23, 24, 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fuentes (30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 8, 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CAS (sin amortización trimestral); 2) semestral (amortización solo semestral); 3) derivarlo prorrateando la amortización: descartado por las diferencias de cambio trimestrales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2021-2023 en la segmentación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2024 reexpresado); 2) informe anual 2024 (solo por industria); 3) informes 2022-2023 (segmentación antigua: aparamenta, bobinados, reactiva, equipos inteligentes, EPC, otros)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y folleto de Hong Kong (no publica el CR5; el folleto ya no está en HKEX); 2) noticia de la solicitud con datos de Frost &amp; Sullivan (solo la cuota de Sieyuan); 3) informes de analistas (Zhonghang, Soochow): cuotas por producto en licitaciones de State Grid, no del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los rivales (sin cuota); 2) Frost &amp; Sullivan vía prensa (solo Sieyuan); 3) licitaciones de State Grid por producto (no comparables con el mercado total)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desglose fijo/variable de la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total); 2) material de la junta 2025 (solo dietas de los consejeros); 3) folleto de Hong Kong (retirado de HKEX)</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Operaciones del sector en 2019-2026 (Hitachi-ABB Power Grids, compra del 19,9 % restante en 2022): el comunicado no da EBITDA del perímetro; 2) compras chinas (烯晶碳能 por Sieyuan, 2023): sin EBITDA publicado; 3) prensa: múltiplos con sinergias o de una parte, no comprobables en la nota oficial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 de Shenzhen (solo saldo de préstamo de valores, no posición corta); 2) Eastmoney (saldo de financiación 953 M, no cortos); 3) HKEX Stock Connect (sin ventas en corto en 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plataformas internacionales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Seeking Alpha (sin cobertura de 002028); 2) Reddit y Stocktwits (403 o sin hilos); 3) Xueqiu (requiere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EE. UU. en las ventas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 2025, semestral y trimestral de 2026: solo «exterior» (26,9 % y 29,5 %), sin país; 2) actas de las reuniones con inversores del 31-ago y del 24-oct: «muy pequeño» en agosto y «América, la región que más crece, sobre todo Norteamérica» en octubre, sin cifra; 3) notas de Soochow, Guosen y Sinolink del 3T26: sin cifra de EE. UU.</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efecto de la orden 14420 se trata en el escenario bajista sin cuantificar el peso de EE. UU.</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pedidos nuevos de 9M26 en cifra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Trimestral del 3T26 (no los publica); 2) acta del 24-oct («más del 30 %», sin cifra); 3) notas de Soochow y Sinolink (solo el porcentaje)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el porcentaje</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2025年年度报告 (informe anual 2025, CAS: estados consolidados, notas, ventas por línea y región, pedidos, objetivos 2026, trimestres)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http://static.cninfo.com.cn/finalpage/2026-04-18/1225117829.PDF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2024年年度报告 (informe anual 2024: pedidos, trimestres 2024, deterioro del fondo de comercio de 烯晶碳能)</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http://static.cninfo.com.cn/finalpage/2025-04-19/1223145398.PDF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2023年年度报告 (informe anual 2023: estados de 2023 y 2022, compra de 烯晶碳能, ventas por producto)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http://static.cninfo.com.cn/finalpage/2024-04-20/1219702367.PDF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2022年年度报告 (informe anual 2022: ventas por producto 2021-2022, pedidos,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http://static.cninfo.com.cn/finalpage/2023-04-15/1216417256.PDF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2021年年度报告 (informe anual 2021: estados de 2021, pedidos y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http://static.cninfo.com.cn/finalpage/2022-04-16/1212942957.PDF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2026年半年度报告 (informe semestral 2026: balance a 30-jun-2026, cuenta y flujos del 1S26, ventas por línea y región,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http://static.cninfo.com.cn/finalpage/2026-08-15/1225473691.PDF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2026年一季度报告 (informe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http://static.cninfo.com.cn/finalpage/2026-04-25/1225177123.PDF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2025年半年度报告 y 2025年三季度报告 (1S25 y 9M25)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http://static.cninfo.com.cn/finalpage/2025-10-18/1224719649.PDF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2026年半年度业绩快报 (avance del 1S26: pérdidas de cambio y paso de Sieyuan Toshiba al 70 %)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http://static.cninfo.com.cn/finalpage/2026-07-11/1225420017.PDF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关于控股子公司常州思源东芝变压器有限公司完成股权变更登记的公告 (Toshiba ejerce su opción: Sieyuan pasa del 90 % al 70 % de Sieyuan Toshiba por 100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http://static.cninfo.com.cn/finalpage/2026-07-10/1225416830.PDF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2025年度权益分派实施公告 (dividendo de 0,70 CNY, 547,7 M, registro el 7-jul-2026)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http://static.cninfo.com.cn/finalpage/2026-07-01/1225399910.PDF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关于2023年股票期权激励计划第三个行权期行权条件成就的公告 (6.198.750 opciones a 43,80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http://static.cninfo.com.cn/finalpage/2026-08-05/1225458421.PDF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F10 de 002028 (cuenta, balance y flujos 2021-2026 en la base de Eastmoney; transcripción comprobada contra los informes)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https://emweb.securities.eastmoney.com/PC_HSF10/NewFinanceAnalysis/Index?code=SZ002028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Soochow Securities (东吴证券): «2026年中报点评：高毛利主业韧性凸显，国际化+AIDC双轮驱动»</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Soochow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https://pdf.dfcfw.com/pdf/H3_AP202608171828066150_1.pdf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Sinolink Securities (国金证券): «利润受汇兑损失及变压器子公司股份减少影响，看好下半年高质量订单加速兑现»</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Sinolink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https://pdf.dfcfw.com/pdf/H3_AP202607121826911344_1.pdf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关于回购期届满暨股份回购实施结果的公告 (recompra de 300-500 M aprobada en 2025: 0 acciones compradas)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http://static.cninfo.com.cn/finalpage/2026-06-16/1225371122.PDF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2026年第三季度报告 (informe del 3T26, 2026-049: balance a 30-sep-2026, cuenta y flujos de 9M26, no recurrentes,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http://static.cninfo.com.cn/finalpage/2026-10-24/1225618525.PDF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Soochow Securities (东吴证券): «2026年三季报点评：非经损益扰动表观利润，高端产能加快落地» (pedidos del 3T &gt;30 %, mezcla, previsiones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Soochow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https://pdf.dfcfw.com/pdf/H3_AP202610261830926522_1.pdf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Guosen Securities (国信证券): «汇兑等因素压制业绩增速，出海区域和产品持续拓展»</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Guosen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https://pdf.dfcfw.com/pdf/H3_AP202610251830896617_1.pdf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Sinolink Securities (国金证券): «Q3营收符合预期，利润承压，受汇兑、非经常性损益及储能结构影响»</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Sinolink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https://pdf.dfcfw.com/pdf/H3_AP202610251830890736_1.pdf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第九届董事会第五次会议决议公告 (2026-048: aprobación del 3T26 y líneas bancarias de 25.200 M para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http://static.cninfo.com.cn/finalpage/2026-10-24/1225618527.PDF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2026年10月24日投资者关系活动记录表 (presentación de resultados del 3T26 en línea con más de 150 inversores: margen, pedidos, Norteamérica, capacidad, existencias)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http://static.cninfo.com.cn/finalpage/2026-10-25/1225621854.PDF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2026年8月31日投资者关系活动记录表 (orden 14420, objetivos de 2026, almacenamiento, retraso de ingresos por términos de entrega 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http://static.cninfo.com.cn/finalpage/2026-08-31/1225539451.PDF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《中国供电发展报告2026》: inversión en la red de 2025 de 639.500 M CNY (noticia de Science and Technology Daily)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Administración Nacional de Energía / 科技日报</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https://www.stdaily.com/web/gdxw/2026-07/02/content_541260.html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Executive order bans foreign-produced transformers, inverters and circuit breakers for U.S. power grid (EO 14420)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pv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https://www.pv-magazine.com/2026/08/27/executive-order-bans-foreign-produced-transformers-inverters-and-circuit-breakers-for-u-s-power-grid/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Executive Order Declares National Emergency to Secure U.S. Bulk-Power System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Holland &amp; Knight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https://www.hklaw.com/en/insights/publications/2026/09/executive-order-declares-national-emergency-to-secure-us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思源电气递表港交所 中信证券担任独家保荐人 (Frost &amp; Sullivan: 3,5 % del mercado chino de equipos de transmisión y distribución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同花顺 (10jqka)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https://stock.10jqka.com.cn/20260212/c674747732.shtml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Yahoo Finance de XJ Electric, Pinggao, China XD, TBEA, NARI, Jinpan, Huaming, Hyosung Heavy, HD Hyundai Electric, LS Electric y Siemens Energy (ventas y EBIT del último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2025年可持续发展报告 (informe de sostenibilidad 2025: emisiones, CDP B, seguridad, SF6)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http://static.cninfo.com.cn/finalpage/2026-04-18/1225117841.PDF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思源电气暴跌背后 (UBS rebaja el sector; inversión de State Grid en 7M26 +≈ 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凤凰网财经 (ifeng)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https://finance.ifeng.com/c/8wfqgRdljhO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Zhonghang Securities (中航证券): informe de inicio «输变电设备全能选手，海外开拓和新品类扩张稳步推进»</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AVIC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https://pdf.dfcfw.com/pdf/H3_AP202606101823409528_1.pdf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国家电网上半年固定资产投资超3100亿元 (State Grid: inversión en activos fijos del 1S26 de más de 310.000 M CNY, +12,6 %)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Xinhua (新华网)</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https://www.news.cn/fortune/20260724/5e93fbff06124e0e98f6d67694cfb852/c.html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关于董事会完成换届选举及聘任高级管理人员等相关事宜的公告 (9.º consejo, 26-jun-2026)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http://static.cninfo.com.cn/finalpage/2026-06-27/1225393424.PDF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2025年度股东会决议公告 (votaciones de la junta del 26-jun-2026)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http://static.cninfo.com.cn/finalpage/2026-06-27/1225393420.PDF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关于高级管理人员减持计划期限届满暨实施情况的公告 (venta de 20.000 acciones a 200,5 CNY por Zhang Liangdong)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http://static.cninfo.com.cn/finalpage/2026-09-05/1225548098.PDF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关于董事兼高级管理人员减持计划期限届满暨实施情况的公告 (Yang Zhihua no vendió)</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http://static.cninfo.com.cn/finalpage/2026-10-16/1225606407.PDF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关于公司首次公开发行境外上市外资股(H股)并在香港联合交易所有限公司主板上市方案的公告</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http://static.cninfo.com.cn/finalpage/2025-12-16/1224878252.PDF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关于向香港联合交易所有限公司递交H股发行上市的申请并刊发申请资料的公告 (solicitud del 11-feb-2026)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http://static.cninfo.com.cn/finalpage/2026-02-12/1224977532.PDF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Listado de solicitudes de salida a bolsa activas (Main Board), actualizado el 26-oct-2026 (344 solicitudes): Sieyuan no figura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https://www1.hkexnews.hk/ncms/json/eds/appactive_app_sehk_e.json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高级管理人员股份减持计划的预披露公告 y 董事兼高级管理人员股份减持计划的预披露公告 (avisos de venta de mayo y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http://static.cninfo.com.cn/finalpage/2026-06-25/1225385724.PDF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002028.SZ, 510300.SS (CSI 300) y 159326.SZ (ETF de equipos de red), hasta el 26-oct-2026 (herramientas/bolsa.mjs y movimiento.mjs); capitalización de 84.034 M y objetivo medio de 205,32 CNY (9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https://finance.yahoo.com/quote/002028.SZ/history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finances (estimaciones 2026-2028, sin actualizar tras el 3T26: último precio del 9-oct) y consensus (12 analistas, objetivo medio 209,54 CNY, último precio del 24-sep)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https://www.marketscreener.com/quote/stock/SIEYUAN-ELECTRIC-CO-LTD-6498002/consensus/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Listado de informes de analistas de 002028 con BPA previsto (abril-octubre de 2026, 17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(东方财富研报中心)</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https://data.eastmoney.com/report/stock.jshtml?code=002028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Curva de la deuda pública china (中债国债收益率曲线), 26-oct-2026: 10 años 1,6376 %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ChinaBond (中央国债登记结算)</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https://yield.chinabond.com.cn/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y estimaciones (earningsTrend) de los comparables, llevadas al cierre del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 of SZSE Securities / China Connect Securities (eligible for both buy and sell), actualizado el 16-oct-2026: 002028 Sieyuan Electric, n.º 393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https://www.hkex.com.hk/-/media/HKEX-Market/Mutual-Market/Stock-Connect/Eligible-Stocks/View-All-Eligible-Securities_xls/SZSE_Securities.xls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Listado de anuncios de 002028 (hisAnnouncement): 三季度报告 y acta del consejo del 24-oct-2026; sin anuncios de ventas de directivos, colocaciones ni recompras desde el 16-oct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http://www.cninfo.com.cn/new/hisAnnouncement/query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中国基金报: los equipos de transmisión caen en bloque; Sieyuan en límite a la baja (27-ago-2026)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 China Fund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https://finance.eastmoney.com/a/202608273856134687.html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 de operaciones de la bolsa de Shenzhen (龙虎榜) del 27-ago-2026: desviación de −11,72 %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https://finance.eastmoney.com/a/202608273856377737.html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关于公司股价异常波动的公告 (subida del 20,62 % en dos sesiones, 16 y 19-ene-2026)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http://static.cninfo.com.cn/finalpage/2026-01-20/1224940381.PDF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2025年度业绩快报 (avance de resultados de 2025, 16-ene-2026)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http://static.cninfo.com.cn/finalpage/2026-01-16/1224935414.PDF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电网龙头002028，跌停！ (中国基金报: límite a la baja del 20-oct-2026, 112,59 CNY, más de 2.300 M negociados)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证券之星 / China Fund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https://wap.stockstar.com/detail/IG2026102000017320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Guba de Eastmoney, foro de 002028 (思源电气吧): unos 160 hilos del 20 al 26-oct-2026 (antes y después del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https://guba.eastmoney.com/list,002028.html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Guba de Eastmoney: hilos de análisis con debate tras el 3T26 (lectura del acta del 24-oct, margen bruto, financiación con margen)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https://guba.eastmoney.com/list,002028_2.html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Guba de Eastmoney: hilos de la semana del límite a la baja (20-23-oct) y apuestas sobre 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https://guba.eastmoney.com/list,002028_3.html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85,6 %</w:t>
      </w:r>
      <w:r>
        <w:t xml:space="preserve"> · Secciones con menos del 60 % de campos cubiertos: </w:t>
      </w:r>
      <w:r>
        <w:rPr>
          <w:b/>
          <w:bCs/>
        </w:rPr>
        <w:t xml:space="preserve">transacciones</w:t>
      </w:r>
      <w:r>
        <w:t xml:space="preserve"> · Generado el 26 oct 2026.</w:t>
      </w:r>
    </w:p>
    <w:p>
      <w:pPr>
        <w:pStyle w:val="Nota"/>
        <w:spacing w:after="100"/>
      </w:pPr>
      <w:r>
        <w:t xml:space="preserve">Línea cotizada: solo acciones A de la bolsa de Shenzhen (002028), en CNY. Está en el Shenzhen-Hong Kong Stock Connect hacia el norte (lista de HKEX de valores de SZSE que se pueden comprar y vender, actualizada el 16-oct-2026), de modo que un inversor extranjero la compra desde un broker como IBKR por esa vía [47]. No tiene acciones H ni GDR: la solicitud para cotizar en Hong Kong del 11-feb-2026 caducó y no figura entre las activas de HKEX el 15-oct-2026 [38, 39]. Cuentas en normas chinas (CAS) de los informes de CNINFO; en el informe anual de 2025 los estados son imágenes, por lo que las series se toman de la base F10 de Eastmoney y se comprueban línea a línea contra las páginas del informe (coinciden) [1, 13]. Acciones diluidas: 786,76 M en circulación a 30-sep-2026 más ≈ 2,0 M de opciones del tercer periodo sin ejercer a 43,80 CNY (6,2 M aprobadas menos los 4,2 M de acciones nuevas desde junio; estimación propia) por el método de la autocartera [12, 17]. Las cifras de 9M26 son del trimestral sin auditar, que no trae amortizaciones: la de 9M se estima como 1,5 veces la del semestre [17]. MarketScreener y Stock Analysis no habían actualizado el consenso tras el 3T26 el 26-oct; el consenso del informe es la media de las tres notas publicadas después (Soochow, Guosen, Sinolink) [18, 19, 20, 42].</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Sieyuan Electric Co., Ltd. (思源电气股份有限公司) (002028)</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106,81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(103,00 – 239,12)</c:v>
                </c:pt>
                <c:pt idx="1">
                  <c:v>Precio objetivo de los analistas (142,00 – 266,00)</c:v>
                </c:pt>
                <c:pt idx="2">
                  <c:v>Comparables: PER NTM (94,84 – 123,96)</c:v>
                </c:pt>
                <c:pt idx="3">
                  <c:v>DCF (WACC y g ± 0,5) (84,84 – 107,68)</c:v>
                </c:pt>
                <c:pt idx="4">
                  <c:v>Escenarios (bajista – alcista) (64,99 – 118,41)</c:v>
                </c:pt>
                <c:pt idx="5">
                  <c:v>DCF con la prima implícita del mercado (4,2 %)</c:v>
                </c:pt>
                <c:pt idx="6">
                  <c:v>Precio actual (106,81)</c:v>
                </c:pt>
              </c:strCache>
            </c:strRef>
          </c:cat>
          <c:val>
            <c:numRef>
              <c:f>Hoja1!$B$2:$B$8</c:f>
              <c:numCache>
                <c:formatCode>#,##0</c:formatCode>
                <c:ptCount val="7"/>
                <c:pt idx="0">
                  <c:v>103</c:v>
                </c:pt>
                <c:pt idx="1">
                  <c:v>142</c:v>
                </c:pt>
                <c:pt idx="2">
                  <c:v>94.84</c:v>
                </c:pt>
                <c:pt idx="3">
                  <c:v>84.84</c:v>
                </c:pt>
                <c:pt idx="4">
                  <c:v>64.99</c:v>
                </c:pt>
                <c:pt idx="5">
                  <c:v>105.91</c:v>
                </c:pt>
                <c:pt idx="6">
                  <c:v>106.28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(103,00 – 239,12)</c:v>
                </c:pt>
                <c:pt idx="1">
                  <c:v>Precio objetivo de los analistas (142,00 – 266,00)</c:v>
                </c:pt>
                <c:pt idx="2">
                  <c:v>Comparables: PER NTM (94,84 – 123,96)</c:v>
                </c:pt>
                <c:pt idx="3">
                  <c:v>DCF (WACC y g ± 0,5) (84,84 – 107,68)</c:v>
                </c:pt>
                <c:pt idx="4">
                  <c:v>Escenarios (bajista – alcista) (64,99 – 118,41)</c:v>
                </c:pt>
                <c:pt idx="5">
                  <c:v>DCF con la prima implícita del mercado (4,2 %)</c:v>
                </c:pt>
                <c:pt idx="6">
                  <c:v>Precio actual (106,81)</c:v>
                </c:pt>
              </c:strCache>
            </c:strRef>
          </c:cat>
          <c:val>
            <c:numRef>
              <c:f>Hoja1!$C$2:$C$8</c:f>
              <c:numCache>
                <c:formatCode>#,##0</c:formatCode>
                <c:ptCount val="7"/>
                <c:pt idx="0">
                  <c:v>136.12</c:v>
                </c:pt>
                <c:pt idx="1">
                  <c:v>124</c:v>
                </c:pt>
                <c:pt idx="2">
                  <c:v>29.11999999999999</c:v>
                </c:pt>
                <c:pt idx="3">
                  <c:v>22.840000000000003</c:v>
                </c:pt>
                <c:pt idx="4">
                  <c:v>53.42</c:v>
                </c:pt>
                <c:pt idx="5">
                  <c:v>19.17</c:v>
                </c:pt>
                <c:pt idx="6">
                  <c:v>1.0600000000000023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(CNY, millones)</a:t>
            </a:r>
          </a:p>
        </c:rich>
      </c:tx>
      <c:overlay val="0"/>
    </c:title>
    <c:autoTitleDeleted val="0"/>
    <c:plotArea>
      <c:layout/>
      <c:barChart>
        <c:barDir val="col"/>
        <c:grouping val="stacked"/>
        <c:varyColors val="0"/>
        <c:ser>
          <c:idx val="0"/>
          <c:order val="0"/>
          <c:tx>
            <c:strRef>
              <c:f>Hoja1!$B$1</c:f>
              <c:strCache>
                <c:ptCount val="1"/>
                <c:pt idx="0">
                  <c:v>Aparamenta (开关类)</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6910.3</c:v>
                </c:pt>
                <c:pt idx="1">
                  <c:v>8935.2</c:v>
                </c:pt>
              </c:numCache>
            </c:numRef>
          </c:val>
        </c:ser>
        <c:ser>
          <c:idx val="1"/>
          <c:order val="1"/>
          <c:tx>
            <c:strRef>
              <c:f>Hoja1!$C$1</c:f>
              <c:strCache>
                <c:ptCount val="1"/>
                <c:pt idx="0">
                  <c:v>Transformadores (变压器类)</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3348.4</c:v>
                </c:pt>
                <c:pt idx="1">
                  <c:v>4633.4</c:v>
                </c:pt>
              </c:numCache>
            </c:numRef>
          </c:val>
        </c:ser>
        <c:ser>
          <c:idx val="2"/>
          <c:order val="2"/>
          <c:tx>
            <c:strRef>
              <c:f>Hoja1!$D$1</c:f>
              <c:strCache>
                <c:ptCount val="1"/>
                <c:pt idx="0">
                  <c:v>Protección y automatización</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2444</c:v>
                </c:pt>
                <c:pt idx="1">
                  <c:v>2542.2</c:v>
                </c:pt>
              </c:numCache>
            </c:numRef>
          </c:val>
        </c:ser>
        <c:ser>
          <c:idx val="3"/>
          <c:order val="3"/>
          <c:tx>
            <c:strRef>
              <c:f>Hoja1!$E$1</c:f>
              <c:strCache>
                <c:ptCount val="1"/>
                <c:pt idx="0">
                  <c:v>Electrónica de potencia</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1020.4</c:v>
                </c:pt>
                <c:pt idx="1">
                  <c:v>1525.4</c:v>
                </c:pt>
              </c:numCache>
            </c:numRef>
          </c:val>
        </c:ser>
        <c:ser>
          <c:idx val="4"/>
          <c:order val="4"/>
          <c:tx>
            <c:strRef>
              <c:f>Hoja1!$F$1</c:f>
              <c:strCache>
                <c:ptCount val="1"/>
                <c:pt idx="0">
                  <c:v>EPC</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1010.1</c:v>
                </c:pt>
                <c:pt idx="1">
                  <c:v>2332.3</c:v>
                </c:pt>
              </c:numCache>
            </c:numRef>
          </c:val>
        </c:ser>
        <c:ser>
          <c:idx val="5"/>
          <c:order val="5"/>
          <c:tx>
            <c:strRef>
              <c:f>Hoja1!$G$1</c:f>
              <c:strCache>
                <c:ptCount val="1"/>
                <c:pt idx="0">
                  <c:v>Almacenamiento y componentes</c:v>
                </c:pt>
              </c:strCache>
            </c:strRef>
          </c:tx>
          <c:spPr>
            <a:solidFill>
              <a:srgbClr val="008300"/>
            </a:solidFill>
            <a:ln w="12700">
              <a:solidFill>
                <a:srgbClr val="FFFFFF"/>
              </a:solidFill>
            </a:ln>
          </c:spPr>
          <c:invertIfNegative val="0"/>
          <c:cat>
            <c:strRef>
              <c:f>Hoja1!$A$2:$A$3</c:f>
              <c:strCache>
                <c:ptCount val="2"/>
                <c:pt idx="0">
                  <c:v>2024</c:v>
                </c:pt>
                <c:pt idx="1">
                  <c:v>2025</c:v>
                </c:pt>
              </c:strCache>
            </c:strRef>
          </c:cat>
          <c:val>
            <c:numRef>
              <c:f>Hoja1!$G$2:$G$3</c:f>
              <c:numCache>
                <c:formatCode>#,##0</c:formatCode>
                <c:ptCount val="2"/>
                <c:pt idx="0">
                  <c:v>694.4</c:v>
                </c:pt>
                <c:pt idx="1">
                  <c:v>1531.2</c:v>
                </c:pt>
              </c:numCache>
            </c:numRef>
          </c:val>
        </c:ser>
        <c:ser>
          <c:idx val="6"/>
          <c:order val="6"/>
          <c:tx>
            <c:strRef>
              <c:f>Hoja1!$H$1</c:f>
              <c:strCache>
                <c:ptCount val="1"/>
                <c:pt idx="0">
                  <c:v>Otros (arrendamiento)</c:v>
                </c:pt>
              </c:strCache>
            </c:strRef>
          </c:tx>
          <c:spPr>
            <a:solidFill>
              <a:srgbClr val="4A3AA7"/>
            </a:solidFill>
            <a:ln w="12700">
              <a:solidFill>
                <a:srgbClr val="FFFFFF"/>
              </a:solidFill>
            </a:ln>
          </c:spPr>
          <c:invertIfNegative val="0"/>
          <c:cat>
            <c:strRef>
              <c:f>Hoja1!$A$2:$A$3</c:f>
              <c:strCache>
                <c:ptCount val="2"/>
                <c:pt idx="0">
                  <c:v>2024</c:v>
                </c:pt>
                <c:pt idx="1">
                  <c:v>2025</c:v>
                </c:pt>
              </c:strCache>
            </c:strRef>
          </c:cat>
          <c:val>
            <c:numRef>
              <c:f>Hoja1!$H$2:$H$3</c:f>
              <c:numCache>
                <c:formatCode>#,##0</c:formatCode>
                <c:ptCount val="2"/>
                <c:pt idx="0">
                  <c:v>30.5</c:v>
                </c:pt>
                <c:pt idx="1">
                  <c:v>39.3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Aparamenta (开关类)</c:v>
                </c:pt>
                <c:pt idx="1">
                  <c:v>Transformadores (变压器类)</c:v>
                </c:pt>
                <c:pt idx="2">
                  <c:v>Protección y automatización</c:v>
                </c:pt>
                <c:pt idx="3">
                  <c:v>Electrónica de potencia</c:v>
                </c:pt>
                <c:pt idx="4">
                  <c:v>EPC</c:v>
                </c:pt>
                <c:pt idx="5">
                  <c:v>Almacenamiento y componentes</c:v>
                </c:pt>
                <c:pt idx="6">
                  <c:v>Otros (arrendamiento)</c:v>
                </c:pt>
              </c:strCache>
            </c:strRef>
          </c:cat>
          <c:val>
            <c:numRef>
              <c:f>Hoja1!$B$2:$B$8</c:f>
              <c:numCache>
                <c:formatCode>General</c:formatCode>
                <c:ptCount val="7"/>
                <c:pt idx="0">
                  <c:v>41.5</c:v>
                </c:pt>
                <c:pt idx="1">
                  <c:v>21.5</c:v>
                </c:pt>
                <c:pt idx="2">
                  <c:v>11.8</c:v>
                </c:pt>
                <c:pt idx="3">
                  <c:v>7.1</c:v>
                </c:pt>
                <c:pt idx="4">
                  <c:v>10.8</c:v>
                </c:pt>
                <c:pt idx="5">
                  <c:v>7.1</c:v>
                </c:pt>
                <c:pt idx="6">
                  <c:v>0.2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Exterior</c:v>
                </c:pt>
                <c:pt idx="1">
                  <c:v>China este</c:v>
                </c:pt>
                <c:pt idx="2">
                  <c:v>China norte</c:v>
                </c:pt>
                <c:pt idx="3">
                  <c:v>China noroeste</c:v>
                </c:pt>
                <c:pt idx="4">
                  <c:v>China centro</c:v>
                </c:pt>
                <c:pt idx="5">
                  <c:v>China suroeste</c:v>
                </c:pt>
                <c:pt idx="6">
                  <c:v>China sur</c:v>
                </c:pt>
                <c:pt idx="7">
                  <c:v>China noreste</c:v>
                </c:pt>
              </c:strCache>
            </c:strRef>
          </c:cat>
          <c:val>
            <c:numRef>
              <c:f>Hoja1!$B$2:$B$9</c:f>
              <c:numCache>
                <c:formatCode>0"%"</c:formatCode>
                <c:ptCount val="8"/>
                <c:pt idx="0">
                  <c:v>26.9</c:v>
                </c:pt>
                <c:pt idx="1">
                  <c:v>22.5</c:v>
                </c:pt>
                <c:pt idx="2">
                  <c:v>14</c:v>
                </c:pt>
                <c:pt idx="3">
                  <c:v>12</c:v>
                </c:pt>
                <c:pt idx="4">
                  <c:v>7.7</c:v>
                </c:pt>
                <c:pt idx="5">
                  <c:v>6.6</c:v>
                </c:pt>
                <c:pt idx="6">
                  <c:v>6.5</c:v>
                </c:pt>
                <c:pt idx="7">
                  <c:v>3.8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(inversión mundial en redes, IEA))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2025</c:v>
                </c:pt>
                <c:pt idx="1">
                  <c:v>2028e</c:v>
                </c:pt>
                <c:pt idx="2">
                  <c:v>2031e</c:v>
                </c:pt>
                <c:pt idx="3">
                  <c:v>2035e</c:v>
                </c:pt>
              </c:strCache>
            </c:strRef>
          </c:cat>
          <c:val>
            <c:numRef>
              <c:f>Hoja1!$B$2:$B$5</c:f>
              <c:numCache>
                <c:formatCode>#,##0</c:formatCode>
                <c:ptCount val="4"/>
                <c:pt idx="0">
                  <c:v>400</c:v>
                </c:pt>
                <c:pt idx="1">
                  <c:v>463</c:v>
                </c:pt>
                <c:pt idx="2">
                  <c:v>536</c:v>
                </c:pt>
                <c:pt idx="3">
                  <c:v>650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Sieyuan</c:v>
                </c:pt>
                <c:pt idx="1">
                  <c:v>China XD Electric</c:v>
                </c:pt>
                <c:pt idx="2">
                  <c:v>Pinggao Electric</c:v>
                </c:pt>
                <c:pt idx="3">
                  <c:v>XJ Electric</c:v>
                </c:pt>
                <c:pt idx="4">
                  <c:v>NARI Technology</c:v>
                </c:pt>
                <c:pt idx="5">
                  <c:v>TBEA</c:v>
                </c:pt>
                <c:pt idx="6">
                  <c:v>HD Hyundai Electric</c:v>
                </c:pt>
                <c:pt idx="7">
                  <c:v>Hyosung Heavy Industries</c:v>
                </c:pt>
                <c:pt idx="8">
                  <c:v>Siemens Energy</c:v>
                </c:pt>
              </c:strCache>
            </c:strRef>
          </c:cat>
          <c:val>
            <c:numRef>
              <c:f>Hoja1!$B$2:$B$10</c:f>
              <c:numCache>
                <c:formatCode>0.0"%"</c:formatCode>
                <c:ptCount val="9"/>
                <c:pt idx="0">
                  <c:v>16.9</c:v>
                </c:pt>
                <c:pt idx="1">
                  <c:v>7.2</c:v>
                </c:pt>
                <c:pt idx="2">
                  <c:v>11.4</c:v>
                </c:pt>
                <c:pt idx="3">
                  <c:v>10</c:v>
                </c:pt>
                <c:pt idx="4">
                  <c:v>14.9</c:v>
                </c:pt>
                <c:pt idx="5">
                  <c:v>9.8</c:v>
                </c:pt>
                <c:pt idx="6">
                  <c:v>23.9</c:v>
                </c:pt>
                <c:pt idx="7">
                  <c:v>11.5</c:v>
                </c:pt>
                <c:pt idx="8">
                  <c:v>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2</c:v>
                </c:pt>
                <c:pt idx="3">
                  <c:v>3</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(CNY,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Hoja1!$A$2:$A$12</c:f>
              <c:strCache>
                <c:ptCount val="11"/>
                <c:pt idx="0">
                  <c:v>2021</c:v>
                </c:pt>
                <c:pt idx="1">
                  <c:v>2022</c:v>
                </c:pt>
                <c:pt idx="2">
                  <c:v>2023</c:v>
                </c:pt>
                <c:pt idx="3">
                  <c:v>2024</c:v>
                </c:pt>
                <c:pt idx="4">
                  <c:v>2025</c:v>
                </c:pt>
                <c:pt idx="5">
                  <c:v>2026e</c:v>
                </c:pt>
                <c:pt idx="6">
                  <c:v>2027e</c:v>
                </c:pt>
                <c:pt idx="7">
                  <c:v>2028e</c:v>
                </c:pt>
                <c:pt idx="8">
                  <c:v>2029e</c:v>
                </c:pt>
                <c:pt idx="9">
                  <c:v>2030e</c:v>
                </c:pt>
                <c:pt idx="10">
                  <c:v>2031e</c:v>
                </c:pt>
              </c:strCache>
            </c:strRef>
          </c:cat>
          <c:val>
            <c:numRef>
              <c:f>Hoja1!$B$2:$B$12</c:f>
              <c:numCache>
                <c:formatCode>#,##0</c:formatCode>
                <c:ptCount val="11"/>
                <c:pt idx="0">
                  <c:v>8695.34</c:v>
                </c:pt>
                <c:pt idx="1">
                  <c:v>10537.1</c:v>
                </c:pt>
                <c:pt idx="2">
                  <c:v>12460.03</c:v>
                </c:pt>
                <c:pt idx="3">
                  <c:v>15458.07</c:v>
                </c:pt>
                <c:pt idx="4">
                  <c:v>21539.03</c:v>
                </c:pt>
                <c:pt idx="5">
                  <c:v>27247</c:v>
                </c:pt>
                <c:pt idx="6">
                  <c:v>32696</c:v>
                </c:pt>
                <c:pt idx="7">
                  <c:v>37601</c:v>
                </c:pt>
                <c:pt idx="8">
                  <c:v>41361</c:v>
                </c:pt>
                <c:pt idx="9">
                  <c:v>44256</c:v>
                </c:pt>
                <c:pt idx="10">
                  <c:v>46469</c:v>
                </c:pt>
              </c:numCache>
            </c:numRef>
          </c:val>
        </c:ser>
        <c:ser>
          <c:idx val="1"/>
          <c:order val="1"/>
          <c:tx>
            <c:strRef>
              <c:f>Hoja1!$C$1</c:f>
              <c:strCache>
                <c:ptCount val="1"/>
                <c:pt idx="0">
                  <c:v>EBITDA</c:v>
                </c:pt>
              </c:strCache>
            </c:strRef>
          </c:tx>
          <c:spPr>
            <a:solidFill>
              <a:srgbClr val="EB6834"/>
            </a:solidFill>
            <a:ln w="9525">
              <a:noFill/>
            </a:ln>
          </c:spPr>
          <c:invertIfNegative val="0"/>
          <c:cat>
            <c:strRef>
              <c:f>Hoja1!$A$2:$A$12</c:f>
              <c:strCache>
                <c:ptCount val="11"/>
                <c:pt idx="0">
                  <c:v>2021</c:v>
                </c:pt>
                <c:pt idx="1">
                  <c:v>2022</c:v>
                </c:pt>
                <c:pt idx="2">
                  <c:v>2023</c:v>
                </c:pt>
                <c:pt idx="3">
                  <c:v>2024</c:v>
                </c:pt>
                <c:pt idx="4">
                  <c:v>2025</c:v>
                </c:pt>
                <c:pt idx="5">
                  <c:v>2026e</c:v>
                </c:pt>
                <c:pt idx="6">
                  <c:v>2027e</c:v>
                </c:pt>
                <c:pt idx="7">
                  <c:v>2028e</c:v>
                </c:pt>
                <c:pt idx="8">
                  <c:v>2029e</c:v>
                </c:pt>
                <c:pt idx="9">
                  <c:v>2030e</c:v>
                </c:pt>
                <c:pt idx="10">
                  <c:v>2031e</c:v>
                </c:pt>
              </c:strCache>
            </c:strRef>
          </c:cat>
          <c:val>
            <c:numRef>
              <c:f>Hoja1!$C$2:$C$12</c:f>
              <c:numCache>
                <c:formatCode>#,##0</c:formatCode>
                <c:ptCount val="11"/>
                <c:pt idx="0">
                  <c:v>1504.67</c:v>
                </c:pt>
                <c:pt idx="1">
                  <c:v>1491.94</c:v>
                </c:pt>
                <c:pt idx="2">
                  <c:v>1941.66</c:v>
                </c:pt>
                <c:pt idx="3">
                  <c:v>2709.95</c:v>
                </c:pt>
                <c:pt idx="4">
                  <c:v>3949.35</c:v>
                </c:pt>
                <c:pt idx="5">
                  <c:v>4795</c:v>
                </c:pt>
                <c:pt idx="6">
                  <c:v>5755</c:v>
                </c:pt>
                <c:pt idx="7">
                  <c:v>6580</c:v>
                </c:pt>
                <c:pt idx="8">
                  <c:v>7155</c:v>
                </c:pt>
                <c:pt idx="9">
                  <c:v>7612</c:v>
                </c:pt>
                <c:pt idx="10">
                  <c:v>7900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29.8</c:v>
                </c:pt>
                <c:pt idx="1">
                  <c:v>25.6</c:v>
                </c:pt>
                <c:pt idx="2">
                  <c:v>28.9</c:v>
                </c:pt>
                <c:pt idx="3">
                  <c:v>30.6</c:v>
                </c:pt>
                <c:pt idx="4">
                  <c:v>30.2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17.3</c:v>
                </c:pt>
                <c:pt idx="1">
                  <c:v>14.2</c:v>
                </c:pt>
                <c:pt idx="2">
                  <c:v>15.6</c:v>
                </c:pt>
                <c:pt idx="3">
                  <c:v>17.5</c:v>
                </c:pt>
                <c:pt idx="4">
                  <c:v>18.3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16.1</c:v>
                </c:pt>
                <c:pt idx="1">
                  <c:v>12.8</c:v>
                </c:pt>
                <c:pt idx="2">
                  <c:v>13.9</c:v>
                </c:pt>
                <c:pt idx="3">
                  <c:v>15.9</c:v>
                </c:pt>
                <c:pt idx="4">
                  <c:v>16.9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13.8</c:v>
                </c:pt>
                <c:pt idx="1">
                  <c:v>11.6</c:v>
                </c:pt>
                <c:pt idx="2">
                  <c:v>12.5</c:v>
                </c:pt>
                <c:pt idx="3">
                  <c:v>13.3</c:v>
                </c:pt>
                <c:pt idx="4">
                  <c:v>14.6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30.2</c:v>
                </c:pt>
                <c:pt idx="1">
                  <c:v>21.4</c:v>
                </c:pt>
                <c:pt idx="2">
                  <c:v>50.2</c:v>
                </c:pt>
                <c:pt idx="3">
                  <c:v>25.7</c:v>
                </c:pt>
                <c:pt idx="4">
                  <c:v>52.7</c:v>
                </c:pt>
                <c:pt idx="5">
                  <c:v>41.6</c:v>
                </c:pt>
                <c:pt idx="6">
                  <c:v>18.1</c:v>
                </c:pt>
                <c:pt idx="7">
                  <c:v>30.7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150</c:v>
                </c:pt>
                <c:pt idx="1">
                  <c:v>156</c:v>
                </c:pt>
                <c:pt idx="2">
                  <c:v>156</c:v>
                </c:pt>
                <c:pt idx="3">
                  <c:v>156</c:v>
                </c:pt>
                <c:pt idx="4">
                  <c:v>158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156</c:v>
                </c:pt>
                <c:pt idx="1">
                  <c:v>115</c:v>
                </c:pt>
                <c:pt idx="2">
                  <c:v>118</c:v>
                </c:pt>
                <c:pt idx="3">
                  <c:v>118</c:v>
                </c:pt>
                <c:pt idx="4">
                  <c:v>99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199</c:v>
                </c:pt>
                <c:pt idx="1">
                  <c:v>189</c:v>
                </c:pt>
                <c:pt idx="2">
                  <c:v>205</c:v>
                </c:pt>
                <c:pt idx="3">
                  <c:v>221</c:v>
                </c:pt>
                <c:pt idx="4">
                  <c:v>198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(CNY,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-165.63</c:v>
                </c:pt>
                <c:pt idx="1">
                  <c:v>596.4999999999999</c:v>
                </c:pt>
                <c:pt idx="2">
                  <c:v>1524.38</c:v>
                </c:pt>
                <c:pt idx="3">
                  <c:v>1525.3899999999999</c:v>
                </c:pt>
                <c:pt idx="4">
                  <c:v>1393.7400000000002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1197.67</c:v>
                </c:pt>
                <c:pt idx="1">
                  <c:v>1220.51</c:v>
                </c:pt>
                <c:pt idx="2">
                  <c:v>1559.17</c:v>
                </c:pt>
                <c:pt idx="3">
                  <c:v>2049.07</c:v>
                </c:pt>
                <c:pt idx="4">
                  <c:v>3150.14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19.2</c:v>
                </c:pt>
                <c:pt idx="1">
                  <c:v>20.8</c:v>
                </c:pt>
                <c:pt idx="2">
                  <c:v>26.6</c:v>
                </c:pt>
                <c:pt idx="3">
                  <c:v>34.9</c:v>
                </c:pt>
                <c:pt idx="4">
                  <c:v>44.2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8.1</c:v>
                </c:pt>
                <c:pt idx="1">
                  <c:v>8.1</c:v>
                </c:pt>
                <c:pt idx="2">
                  <c:v>8.1</c:v>
                </c:pt>
                <c:pt idx="3">
                  <c:v>8.1</c:v>
                </c:pt>
                <c:pt idx="4">
                  <c:v>8.1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14.3</c:v>
                </c:pt>
                <c:pt idx="1">
                  <c:v>13.9</c:v>
                </c:pt>
                <c:pt idx="2">
                  <c:v>15.9</c:v>
                </c:pt>
                <c:pt idx="3">
                  <c:v>18</c:v>
                </c:pt>
                <c:pt idx="4">
                  <c:v>22.6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-1.31</c:v>
                </c:pt>
                <c:pt idx="1">
                  <c:v>-2.33</c:v>
                </c:pt>
                <c:pt idx="2">
                  <c:v>-2.46</c:v>
                </c:pt>
                <c:pt idx="3">
                  <c:v>-2.39</c:v>
                </c:pt>
                <c:pt idx="4">
                  <c:v>-1.92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(CNY,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2027</c:v>
                </c:pt>
                <c:pt idx="2">
                  <c:v>2028+</c:v>
                </c:pt>
              </c:strCache>
            </c:strRef>
          </c:cat>
          <c:val>
            <c:numRef>
              <c:f>Hoja1!$B$2:$B$4</c:f>
              <c:numCache>
                <c:formatCode>#,##0</c:formatCode>
                <c:ptCount val="3"/>
                <c:pt idx="0">
                  <c:v>737</c:v>
                </c:pt>
                <c:pt idx="1">
                  <c:v>50</c:v>
                </c:pt>
                <c:pt idx="2">
                  <c:v>119.5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(CNY,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595.92</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187.1</c:v>
                </c:pt>
                <c:pt idx="1">
                  <c:v>187.59</c:v>
                </c:pt>
                <c:pt idx="2">
                  <c:v>298.53</c:v>
                </c:pt>
                <c:pt idx="3">
                  <c:v>353.4</c:v>
                </c:pt>
                <c:pt idx="4">
                  <c:v>472.11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Dominical</c:v>
                </c:pt>
                <c:pt idx="2">
                  <c:v>Otro externo</c:v>
                </c:pt>
                <c:pt idx="3">
                  <c:v>Independiente</c:v>
                </c:pt>
              </c:strCache>
            </c:strRef>
          </c:cat>
          <c:val>
            <c:numRef>
              <c:f>Hoja1!$B$2:$B$5</c:f>
              <c:numCache>
                <c:formatCode>0</c:formatCode>
                <c:ptCount val="4"/>
                <c:pt idx="0">
                  <c:v>2</c:v>
                </c:pt>
                <c:pt idx="1">
                  <c:v>1</c:v>
                </c:pt>
                <c:pt idx="2">
                  <c:v>1</c:v>
                </c:pt>
                <c:pt idx="3">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Dong Zengping (presidente y consejero delegado)</c:v>
                </c:pt>
                <c:pt idx="1">
                  <c:v>Chen Bangdong (vicepresidente)</c:v>
                </c:pt>
                <c:pt idx="2">
                  <c:v>Hong Kong Securities Clearing (inversores de Stock Connect)</c:v>
                </c:pt>
                <c:pt idx="3">
                  <c:v>Yang Xiaoqiang</c:v>
                </c:pt>
                <c:pt idx="4">
                  <c:v>ETF de equipos de red (ChinaAMC CSI Grid Equipment), GIC, ADIA y dos carteras del fondo de la seguridad social</c:v>
                </c:pt>
                <c:pt idx="5">
                  <c:v>Autocartera</c:v>
                </c:pt>
              </c:strCache>
            </c:strRef>
          </c:cat>
          <c:val>
            <c:numRef>
              <c:f>Hoja1!$B$2:$B$7</c:f>
              <c:numCache>
                <c:formatCode>0.0"%"</c:formatCode>
                <c:ptCount val="6"/>
                <c:pt idx="0">
                  <c:v>16.71</c:v>
                </c:pt>
                <c:pt idx="1">
                  <c:v>12.25</c:v>
                </c:pt>
                <c:pt idx="2">
                  <c:v>17.91</c:v>
                </c:pt>
                <c:pt idx="3">
                  <c:v>3.23</c:v>
                </c:pt>
                <c:pt idx="4">
                  <c:v>3.68</c:v>
                </c:pt>
                <c:pt idx="5">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21</c:v>
                </c:pt>
                <c:pt idx="1">
                  <c:v>-37.4</c:v>
                </c:pt>
                <c:pt idx="2">
                  <c:v>40.9</c:v>
                </c:pt>
                <c:pt idx="3">
                  <c:v>46.5</c:v>
                </c:pt>
                <c:pt idx="4">
                  <c:v>147.1</c:v>
                </c:pt>
                <c:pt idx="5">
                  <c:v>-21.9</c:v>
                </c:pt>
                <c:pt idx="6">
                  <c:v>37.1</c:v>
                </c:pt>
                <c:pt idx="7">
                  <c:v>40.5</c:v>
                </c:pt>
                <c:pt idx="8">
                  <c:v>114.1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23.4</c:v>
                </c:pt>
                <c:pt idx="1">
                  <c:v>-24.2</c:v>
                </c:pt>
                <c:pt idx="2">
                  <c:v>38.6</c:v>
                </c:pt>
                <c:pt idx="3">
                  <c:v>29.1</c:v>
                </c:pt>
                <c:pt idx="4">
                  <c:v>-4</c:v>
                </c:pt>
                <c:pt idx="5">
                  <c:v>-20.1</c:v>
                </c:pt>
                <c:pt idx="6">
                  <c:v>-9.8</c:v>
                </c:pt>
                <c:pt idx="7">
                  <c:v>17.4</c:v>
                </c:pt>
                <c:pt idx="8">
                  <c:v>20.8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23.8</c:v>
                </c:pt>
                <c:pt idx="1">
                  <c:v>17.5</c:v>
                </c:pt>
                <c:pt idx="2">
                  <c:v>18.4</c:v>
                </c:pt>
                <c:pt idx="3">
                  <c:v>18.5</c:v>
                </c:pt>
                <c:pt idx="4">
                  <c:v>28.9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18.5</c:v>
                </c:pt>
                <c:pt idx="1">
                  <c:v>18.5</c:v>
                </c:pt>
                <c:pt idx="2">
                  <c:v>18.5</c:v>
                </c:pt>
                <c:pt idx="3">
                  <c:v>18.5</c:v>
                </c:pt>
                <c:pt idx="4">
                  <c:v>18.5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Pt>
            <c:idx val="11"/>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Hoja1!$A$2:$A$13</c:f>
              <c:strCache>
                <c:ptCount val="12"/>
                <c:pt idx="0">
                  <c:v>Sieyuan</c:v>
                </c:pt>
                <c:pt idx="1">
                  <c:v>XJ Electric</c:v>
                </c:pt>
                <c:pt idx="2">
                  <c:v>Pinggao Electric</c:v>
                </c:pt>
                <c:pt idx="3">
                  <c:v>China XD Electric</c:v>
                </c:pt>
                <c:pt idx="4">
                  <c:v>TBEA</c:v>
                </c:pt>
                <c:pt idx="5">
                  <c:v>NARI Technology</c:v>
                </c:pt>
                <c:pt idx="6">
                  <c:v>Jinpan Technology</c:v>
                </c:pt>
                <c:pt idx="7">
                  <c:v>Huaming Equipment</c:v>
                </c:pt>
                <c:pt idx="8">
                  <c:v>Hyosung Heavy Industries</c:v>
                </c:pt>
                <c:pt idx="9">
                  <c:v>HD Hyundai Electric</c:v>
                </c:pt>
                <c:pt idx="10">
                  <c:v>LS Electric</c:v>
                </c:pt>
                <c:pt idx="11">
                  <c:v>Siemens Energy</c:v>
                </c:pt>
              </c:strCache>
            </c:strRef>
          </c:cat>
          <c:val>
            <c:numRef>
              <c:f>Hoja1!$B$2:$B$13</c:f>
              <c:numCache>
                <c:formatCode>0.0"x"</c:formatCode>
                <c:ptCount val="12"/>
                <c:pt idx="0">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(CNY,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2026e</c:v>
                </c:pt>
                <c:pt idx="1">
                  <c:v>2027e</c:v>
                </c:pt>
                <c:pt idx="2">
                  <c:v>2028e</c:v>
                </c:pt>
                <c:pt idx="3">
                  <c:v>2029e</c:v>
                </c:pt>
                <c:pt idx="4">
                  <c:v>2030e</c:v>
                </c:pt>
                <c:pt idx="5">
                  <c:v>2031e</c:v>
                </c:pt>
              </c:strCache>
            </c:strRef>
          </c:cat>
          <c:val>
            <c:numRef>
              <c:f>Hoja1!$B$2:$B$7</c:f>
              <c:numCache>
                <c:formatCode>#,##0</c:formatCode>
                <c:ptCount val="6"/>
                <c:pt idx="0">
                  <c:v>1984</c:v>
                </c:pt>
                <c:pt idx="1">
                  <c:v>2825</c:v>
                </c:pt>
                <c:pt idx="2">
                  <c:v>3550</c:v>
                </c:pt>
                <c:pt idx="3">
                  <c:v>4340</c:v>
                </c:pt>
                <c:pt idx="4">
                  <c:v>4870</c:v>
                </c:pt>
                <c:pt idx="5">
                  <c:v>5294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(CNY,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17004</c:v>
                </c:pt>
                <c:pt idx="1">
                  <c:v>50523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(CNY) · precio actual 106,81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64.99</c:v>
                </c:pt>
                <c:pt idx="1">
                  <c:v>94.66</c:v>
                </c:pt>
                <c:pt idx="2">
                  <c:v>118.41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106,81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(103,00 – 239,12)</c:v>
                </c:pt>
                <c:pt idx="1">
                  <c:v>Precio objetivo de los analistas (142,00 – 266,00)</c:v>
                </c:pt>
                <c:pt idx="2">
                  <c:v>Comparables: PER NTM (94,84 – 123,96)</c:v>
                </c:pt>
                <c:pt idx="3">
                  <c:v>DCF (WACC y g ± 0,5) (84,84 – 107,68)</c:v>
                </c:pt>
                <c:pt idx="4">
                  <c:v>Escenarios (bajista – alcista) (64,99 – 118,41)</c:v>
                </c:pt>
                <c:pt idx="5">
                  <c:v>DCF con la prima implícita del mercado (4,2 %)</c:v>
                </c:pt>
                <c:pt idx="6">
                  <c:v>Precio actual (106,81)</c:v>
                </c:pt>
              </c:strCache>
            </c:strRef>
          </c:cat>
          <c:val>
            <c:numRef>
              <c:f>Hoja1!$B$2:$B$8</c:f>
              <c:numCache>
                <c:formatCode>#,##0</c:formatCode>
                <c:ptCount val="7"/>
                <c:pt idx="0">
                  <c:v>103</c:v>
                </c:pt>
                <c:pt idx="1">
                  <c:v>142</c:v>
                </c:pt>
                <c:pt idx="2">
                  <c:v>94.84</c:v>
                </c:pt>
                <c:pt idx="3">
                  <c:v>84.84</c:v>
                </c:pt>
                <c:pt idx="4">
                  <c:v>64.99</c:v>
                </c:pt>
                <c:pt idx="5">
                  <c:v>105.91</c:v>
                </c:pt>
                <c:pt idx="6">
                  <c:v>106.28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(103,00 – 239,12)</c:v>
                </c:pt>
                <c:pt idx="1">
                  <c:v>Precio objetivo de los analistas (142,00 – 266,00)</c:v>
                </c:pt>
                <c:pt idx="2">
                  <c:v>Comparables: PER NTM (94,84 – 123,96)</c:v>
                </c:pt>
                <c:pt idx="3">
                  <c:v>DCF (WACC y g ± 0,5) (84,84 – 107,68)</c:v>
                </c:pt>
                <c:pt idx="4">
                  <c:v>Escenarios (bajista – alcista) (64,99 – 118,41)</c:v>
                </c:pt>
                <c:pt idx="5">
                  <c:v>DCF con la prima implícita del mercado (4,2 %)</c:v>
                </c:pt>
                <c:pt idx="6">
                  <c:v>Precio actual (106,81)</c:v>
                </c:pt>
              </c:strCache>
            </c:strRef>
          </c:cat>
          <c:val>
            <c:numRef>
              <c:f>Hoja1!$C$2:$C$8</c:f>
              <c:numCache>
                <c:formatCode>#,##0</c:formatCode>
                <c:ptCount val="7"/>
                <c:pt idx="0">
                  <c:v>136.12</c:v>
                </c:pt>
                <c:pt idx="1">
                  <c:v>124</c:v>
                </c:pt>
                <c:pt idx="2">
                  <c:v>29.11999999999999</c:v>
                </c:pt>
                <c:pt idx="3">
                  <c:v>22.840000000000003</c:v>
                </c:pt>
                <c:pt idx="4">
                  <c:v>53.42</c:v>
                </c:pt>
                <c:pt idx="5">
                  <c:v>19.17</c:v>
                </c:pt>
                <c:pt idx="6">
                  <c:v>1.0600000000000023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