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Capricorn Metals Ltd</w:t>
      </w:r>
    </w:p>
    <w:p>
      <w:pPr>
        <w:spacing w:after="60"/>
        <w:rPr>
          <w:color w:val="52514E"/>
          <w:sz w:val="22"/>
          <w:szCs w:val="22"/>
        </w:rPr>
      </w:pPr>
      <w:r>
        <w:rPr>
          <w:color w:val="52514E"/>
          <w:sz w:val="22"/>
          <w:szCs w:val="22"/>
        </w:rPr>
        <w:t xml:space="preserve">CMM · ASX (Sídney) · ISIN AU000000CMM9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AUD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13,88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13,84 AUD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+0,4 % (base +7,3 %)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10,35 AUD · mercado 11,46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6.378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Capricorn Metals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CMM / AU000000CMM9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(Sídney)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Metales y minería (oro)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West Perth (Australia Occidental)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www.capmetals.com.au</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13,88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9,41 – 18,26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6.378 M AUD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6.088 M AUD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30,9 M AUD/día (3 meses)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13,84 AUD</w:t>
      </w:r>
      <w:r>
        <w:t xml:space="preserve"> frente a 13,88 · Rentabilidad a 12 meses </w:t>
      </w:r>
      <w:r>
        <w:rPr>
          <w:b/>
          <w:bCs/>
        </w:rPr>
        <w:t xml:space="preserve">+0,4 % (base +7,3 %)</w:t>
      </w:r>
      <w:r>
        <w:t xml:space="preserve"> · Valor intrínseco 10,35 AUD · con la prima implícita del mercado: 11,46 (-17,4 %) · Alcista / bajista -6,5 % / -48,9 %</w:t>
      </w:r>
    </w:p>
    <w:p>
      <w:pPr>
        <w:spacing w:after="100"/>
      </w:pPr>
      <w:r>
        <w:rPr>
          <w:b/>
        </w:rPr>
        <w:t xml:space="preserve">La recomendación y por qué.</w:t>
      </w:r>
      <w:r>
        <w:t xml:space="preserve"> Mantener, con convicción media. Con el oro plano en 5.900 AUD/oz, el objetivo a 12 meses es de 13,84 AUD frente a un precio de 13,88 AUD (cierre de Sídney del 21-oct-2026): rentabilidad ponderada del +0,4 % y del base del +7,3 % con dividendo. El valor intrínseco (10,35 AUD) está un 25 % por debajo y el objetivo medio de los analistas (19,61) un 41 % por encima: ellos esperan más oro y Mt Gibson en plazo [33]. La convicción es media porque las dos reglas coinciden (12 meses y valor intrínseco) y la calidad es alta, pero el resultado depende casi entero de una variable que no prevemos, el oro: la subiría la aprobación estatal de Mt Gibson (quita el riesgo de plazo) y la bajaría un oro por debajo de 5.300 AUD o un AISC de Karlawinda por encima de 2.200.</w:t>
      </w:r>
    </w:p>
    <w:p>
      <w:pPr>
        <w:spacing w:after="100"/>
      </w:pPr>
      <w:r>
        <w:rPr>
          <w:b/>
        </w:rPr>
        <w:t xml:space="preserve">El negocio.</w:t>
      </w:r>
      <w:r>
        <w:t xml:space="preserve"> Capricorn produce oro en una mina a cielo abierto, Karlawinda (Australia Occidental), recién ampliada a ≈ 150.000 oz al año, y prepara una segunda, Mt Gibson (PFS: 3,67 Moz de reservas, 190.000 oz al año durante 19 años) [12, 14]. Sin deuda ni coberturas desde junio de 2025 [17]. El ROIC fue del 30-51 % en FY2022-FY2026 frente a un WACC del 13,5 %: calidad alta. La sostenibilidad del crecimiento es «Sí»: las onzas están en reservas y la inversión cabe en la caja.</w:t>
      </w:r>
    </w:p>
    <w:p>
      <w:pPr>
        <w:spacing w:after="100"/>
      </w:pPr>
      <w:r>
        <w:rPr>
          <w:b/>
        </w:rPr>
        <w:t xml:space="preserve">Sector y ciclo.</w:t>
      </w:r>
      <w:r>
        <w:t xml:space="preserve"> El oro realizado subió de ≈ 2.450 AUD/oz en FY2022 a 6.241 en FY2026, con un pico de ≈ 6.700 en enero de 2026, y hoy está en ≈ 5.900 [2, 21]. La acción amplifica el oro ≈ 2-3 veces (−22 % desde el máximo de agosto).</w:t>
      </w:r>
    </w:p>
    <w:p>
      <w:pPr>
        <w:spacing w:after="100"/>
      </w:pPr>
      <w:r>
        <w:rPr>
          <w:b/>
        </w:rPr>
        <w:t xml:space="preserve">Finanzas.</w:t>
      </w:r>
      <w:r>
        <w:t xml:space="preserve"> Ventas récord de 769 M en FY2026 (+46 %), EBITDA de 484 M (63 %) y beneficio subyacente de 327 M; caja neta de 505 M a 30-jun y 535 M de caja y oro a 30-sep [2, 11]. Primer dividendo (10 céntimos en el año).</w:t>
      </w:r>
    </w:p>
    <w:p>
      <w:pPr>
        <w:spacing w:after="100"/>
      </w:pPr>
      <w:r>
        <w:rPr>
          <w:b/>
        </w:rPr>
        <w:t xml:space="preserve">Equipo y gobierno.</w:t>
      </w:r>
      <w:r>
        <w:t xml:space="preserve"> Mark Clark (presidente ejecutivo, 3,8 % del capital) construyó minas en Equigold, Regis y Capricorn en plazo; hace también de consejero delegado desde mayo de 2025 [1, 29]. Cuatro consejeros independientes.</w:t>
      </w:r>
    </w:p>
    <w:p>
      <w:pPr>
        <w:spacing w:after="100"/>
      </w:pPr>
      <w:r>
        <w:rPr>
          <w:b/>
        </w:rPr>
        <w:t xml:space="preserve">Valoración.</w:t>
      </w:r>
      <w:r>
        <w:t xml:space="preserve"> El DCF (10,34 AUD) muestra que, con el oro de hoy y un 13,5 % de tasa, las dos minas no pagan la capitalización: el precio supone un oro de ≈ 7.000 AUD o una rentabilidad del 9,6 %. El PER de 18,5 veces está por encima de su mediana adelantada (13,7) y de los comparables (11,1).</w:t>
      </w:r>
    </w:p>
    <w:p>
      <w:pPr>
        <w:spacing w:after="100"/>
      </w:pPr>
      <w:r>
        <w:rPr>
          <w:b/>
        </w:rPr>
        <w:t xml:space="preserve">Riesgos y catalizadores.</w:t>
      </w:r>
      <w:r>
        <w:t xml:space="preserve"> El oro (bajista −49 % en el DCF y −64 % a 12 meses) y la aprobación estatal de Mt Gibson. Catalizadores: informe trimestral de finales de octubre, junta del 24-nov, aprobación de la Parte IV y primer oro de Mt Gibson (2028). Riesgo de IA bajo.</w:t>
      </w:r>
    </w:p>
    <w:p>
      <w:pPr>
        <w:spacing w:after="100"/>
      </w:pPr>
      <w:r>
        <w:rPr>
          <w:b/>
        </w:rPr>
        <w:t xml:space="preserve">Qué cambiaría la decisión.</w:t>
      </w:r>
      <w:r>
        <w:t xml:space="preserve"> Comprar por debajo de 10,35 AUD (valor intrínseco, con la regla a 12 meses en ≥ 15 %); Vender por encima de 15,49. La aprobación estatal de Mt Gibson con el oro por encima de 6.500 AUD nos haría revisar al alza.</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13,84 AUD</w:t>
      </w:r>
      <w:r>
        <w:t xml:space="preserve"> (rentabilidad +0,4 % (base +7,3 %)) · Valor intrínseco: 10,35 AUD (-25,4 % sobre 13,88) · con la prima implícita del mercado: 11,46 (-17,4 %)</w:t>
      </w:r>
    </w:p>
    <w:p>
      <w:pPr>
        <w:spacing w:after="100"/>
      </w:pPr>
      <w:r>
        <w:t xml:space="preserve">Capricorn Metals es una productora de oro australiana con una mina, Karlawinda, que da ≈ 150.000 oz al año tras su ampliación, y un segundo proyecto, Mt Gibson, que la llevaría a ≈ 400.000 oz hacia 2031 [12, 15]. Sin deuda, con 535 M de caja y un ROIC por encima del 30 % todos los años [11].</w:t>
      </w:r>
    </w:p>
    <w:p>
      <w:pPr>
        <w:spacing w:after="100"/>
      </w:pPr>
      <w:r>
        <w:t xml:space="preserve">El precio (13,88 AUD; ≈ 6.380 M de capitalización) es 18,5 veces nuestro BPA de los próximos 12 meses: ya descuenta Mt Gibson en marcha y un oro algo más alto que el de hoy. Con el oro plano en 5.900 AUD, el objetivo a 12 meses es de 13,84 (+0,4 %) y el valor intrínseco de 10,35. Buena empresa a precio lleno: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0,52 = 4,92 · 16,8x × 0,88 = 14,80 · 16,8x × 1,24 = 20,83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 (nuestro base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-48,9 %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13,5 % y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(11,5 %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10,35 y 15,49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15,49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10,35 AUD: Comprar (valor intrínseco y regla a 12 meses).</w:t>
      </w:r>
    </w:p>
    <w:p>
      <w:pPr>
        <w:pStyle w:val="ListParagraph"/>
        <w:numPr>
          <w:ilvl w:val="0"/>
          <w:numId w:val="2"/>
        </w:numPr>
        <w:spacing w:after="60"/>
      </w:pPr>
      <w:r>
        <w:t xml:space="preserve">Precio por encima de 15,49 AUD: Vender (ponderada a 12 meses ≤ −10 %).</w:t>
      </w:r>
    </w:p>
    <w:p>
      <w:pPr>
        <w:pStyle w:val="ListParagraph"/>
        <w:numPr>
          <w:ilvl w:val="0"/>
          <w:numId w:val="2"/>
        </w:numPr>
        <w:spacing w:after="60"/>
      </w:pPr>
      <w:r>
        <w:t xml:space="preserve">Aprobación estatal de Mt Gibson y oro sostenido por encima de 6.500 AUD/oz: revisar al alza el BPA de FY2028.</w:t>
      </w:r>
    </w:p>
    <w:p>
      <w:pPr>
        <w:pStyle w:val="ListParagraph"/>
        <w:numPr>
          <w:ilvl w:val="0"/>
          <w:numId w:val="2"/>
        </w:numPr>
        <w:spacing w:after="60"/>
      </w:pPr>
      <w:r>
        <w:t xml:space="preserve">Oro por debajo de 5.300 AUD/oz durante un trimestre: revisar a la baja.</w:t>
      </w:r>
    </w:p>
    <w:p>
      <w:pPr>
        <w:pStyle w:val="ListParagraph"/>
        <w:numPr>
          <w:ilvl w:val="0"/>
          <w:numId w:val="2"/>
        </w:numPr>
        <w:spacing w:after="60"/>
      </w:pPr>
      <w:r>
        <w:t xml:space="preserve">Retraso de la Parte IV más allá del 1S de 2027: rebajar el base al bajista en onzas.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Mt Gibson llega en plazo y que el oro se mantiene en ≈ 6.500-7.000 AUD: el consenso de BPA de FY2028 (1,25 AUD) es nuestro escenario alcista [33].</w:t>
      </w:r>
    </w:p>
    <w:p>
      <w:pPr>
        <w:keepNext/>
        <w:spacing w:after="100"/>
      </w:pPr>
      <w:r>
        <w:rPr>
          <w:b/>
          <w:bCs/>
        </w:rPr>
        <w:t xml:space="preserve">Lo que creemos nosotros.</w:t>
      </w:r>
    </w:p>
    <w:p>
      <w:pPr>
        <w:spacing w:after="100"/>
      </w:pPr>
      <w:r>
        <w:t xml:space="preserve">Coincidimos en la calidad y en el plan (las onzas están en reservas) y discrepamos en el oro y el plazo: con el oro de hoy y seis meses de retraso, la acción vale lo que cuesta a 12 meses y un 25 % menos a largo plazo.</w:t>
      </w:r>
    </w:p>
    <w:p>
      <w:pPr>
        <w:keepNext/>
        <w:spacing w:after="100"/>
      </w:pPr>
      <w:r>
        <w:rPr>
          <w:b/>
          <w:bCs/>
        </w:rPr>
        <w:t xml:space="preserve">Por qué podemos tener razón.</w:t>
      </w:r>
    </w:p>
    <w:p>
      <w:pPr>
        <w:spacing w:after="100"/>
      </w:pPr>
      <w:r>
        <w:t xml:space="preserve">Del precio del oro nadie sabe más que el mercado, y por eso lo dejamos en el de hoy. Lo que sí sabemos es que la aprobación estatal de Mt Gibson no ha llegado y que cada caída del oro en 2026 restó a la acción entre el doble y el triple.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UD) · precio actual 13,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30-51 % en FY2022-FY2026, frente a un WACC del 13,5 %.</w:t>
      </w:r>
    </w:p>
    <w:p>
      <w:pPr>
        <w:pStyle w:val="ListParagraph"/>
        <w:numPr>
          <w:ilvl w:val="0"/>
          <w:numId w:val="2"/>
        </w:numPr>
        <w:spacing w:after="60"/>
      </w:pPr>
      <w:r>
        <w:rPr>
          <w:b/>
        </w:rPr>
        <w:t xml:space="preserve">Sin deuda ni coberturas</w:t>
      </w:r>
      <w:r>
        <w:t xml:space="preserve">: todo el oro se vende a precio de mercado; 535 M de caja y oro a 30-sep.</w:t>
      </w:r>
    </w:p>
    <w:p>
      <w:pPr>
        <w:pStyle w:val="ListParagraph"/>
        <w:numPr>
          <w:ilvl w:val="0"/>
          <w:numId w:val="2"/>
        </w:numPr>
        <w:spacing w:after="60"/>
      </w:pPr>
      <w:r>
        <w:rPr>
          <w:b/>
        </w:rPr>
        <w:t xml:space="preserve">Crecimiento con reservas</w:t>
      </w:r>
      <w:r>
        <w:t xml:space="preserve">: Karlawinda ampliada en plazo y Mt Gibson con 3,67 Moz en la PFS.</w:t>
      </w:r>
    </w:p>
    <w:p>
      <w:pPr>
        <w:pStyle w:val="ListParagraph"/>
        <w:numPr>
          <w:ilvl w:val="0"/>
          <w:numId w:val="2"/>
        </w:numPr>
        <w:spacing w:after="60"/>
      </w:pPr>
      <w:r>
        <w:rPr>
          <w:b/>
        </w:rPr>
        <w:t xml:space="preserve">Equipo que construye en plazo</w:t>
      </w:r>
      <w:r>
        <w:t xml:space="preserve">: Karlawinda (2021) y su ampliación (2026).</w:t>
      </w:r>
    </w:p>
    <w:p>
      <w:pPr>
        <w:pStyle w:val="ListParagraph"/>
        <w:numPr>
          <w:ilvl w:val="0"/>
          <w:numId w:val="2"/>
        </w:numPr>
        <w:spacing w:after="60"/>
      </w:pPr>
      <w:r>
        <w:rPr>
          <w:b/>
        </w:rPr>
        <w:t xml:space="preserve">Distrito de exploración</w:t>
      </w:r>
      <w:r>
        <w:t xml:space="preserve">: Golden Range y 8,66 Moz de recursos del grupo.</w:t>
      </w:r>
    </w:p>
    <w:p>
      <w:pPr>
        <w:pStyle w:val="Heading2"/>
      </w:pPr>
      <w:r>
        <w:t xml:space="preserve">En contra</w:t>
      </w:r>
    </w:p>
    <w:p>
      <w:pPr>
        <w:pStyle w:val="ListParagraph"/>
        <w:numPr>
          <w:ilvl w:val="0"/>
          <w:numId w:val="2"/>
        </w:numPr>
        <w:spacing w:after="60"/>
      </w:pPr>
      <w:r>
        <w:rPr>
          <w:b/>
        </w:rPr>
        <w:t xml:space="preserve">El precio exige un oro de ≈ 7.000 AUD</w:t>
      </w:r>
      <w:r>
        <w:t xml:space="preserve">: el DCF con el oro de hoy da 10,34 AUD, un 26 % menos.</w:t>
      </w:r>
    </w:p>
    <w:p>
      <w:pPr>
        <w:pStyle w:val="ListParagraph"/>
        <w:numPr>
          <w:ilvl w:val="0"/>
          <w:numId w:val="2"/>
        </w:numPr>
        <w:spacing w:after="60"/>
      </w:pPr>
      <w:r>
        <w:rPr>
          <w:b/>
        </w:rPr>
        <w:t xml:space="preserve">Una sola mina hasta 2028</w:t>
      </w:r>
      <w:r>
        <w:t xml:space="preserve">: Karlawinda es todo el ingreso.</w:t>
      </w:r>
    </w:p>
    <w:p>
      <w:pPr>
        <w:pStyle w:val="ListParagraph"/>
        <w:numPr>
          <w:ilvl w:val="0"/>
          <w:numId w:val="2"/>
        </w:numPr>
        <w:spacing w:after="60"/>
      </w:pPr>
      <w:r>
        <w:rPr>
          <w:b/>
        </w:rPr>
        <w:t xml:space="preserve">Mt Gibson sin aprobación estatal</w:t>
      </w:r>
      <w:r>
        <w:t xml:space="preserve">: el calendario puede alargarse.</w:t>
      </w:r>
    </w:p>
    <w:p>
      <w:pPr>
        <w:pStyle w:val="ListParagraph"/>
        <w:numPr>
          <w:ilvl w:val="0"/>
          <w:numId w:val="2"/>
        </w:numPr>
        <w:spacing w:after="60"/>
      </w:pPr>
      <w:r>
        <w:rPr>
          <w:b/>
        </w:rPr>
        <w:t xml:space="preserve">AISC al alza</w:t>
      </w:r>
      <w:r>
        <w:t xml:space="preserve">: de 1.629 a 1.900-2.100 AUD en FY2027.</w:t>
      </w:r>
    </w:p>
    <w:p>
      <w:pPr>
        <w:pStyle w:val="ListParagraph"/>
        <w:numPr>
          <w:ilvl w:val="0"/>
          <w:numId w:val="2"/>
        </w:numPr>
        <w:spacing w:after="60"/>
      </w:pPr>
      <w:r>
        <w:rPr>
          <w:b/>
        </w:rPr>
        <w:t xml:space="preserve">PER de 18,5 frente a 13,7 de su historia</w:t>
      </w:r>
      <w:r>
        <w:t xml:space="preserve"> y 11,1 de los comparables.</w:t>
      </w:r>
    </w:p>
    <w:p>
      <w:pPr>
        <w:pStyle w:val="Heading2"/>
      </w:pPr>
      <w:r>
        <w:t xml:space="preserve">Qué tiene que pasar para que la tesis funcione</w:t>
      </w:r>
    </w:p>
    <w:p>
      <w:pPr>
        <w:spacing w:after="100"/>
      </w:pPr>
      <w:r>
        <w:t xml:space="preserve">La tesis depende del oro y del plazo de Mt Gibson. La señal a favor sería la aprobación estatal con el oro por encima de 6.500 AUD (el base a 12 meses se acercaría al alcista); la señal en contra, un oro por debajo de 5.300 AUD o una evaluación de la EPA que se alargue más allá de mediados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 en AUD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5.900 AUD/oz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6.500 o &lt; 5.300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casi en proporción.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trimestral de Karlawinda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31.218 oz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32.000 con la planta ampliada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137.000-147.000 oz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AISC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1.900-2.100 AUD/oz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2.200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la ampliación.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Permisos de Mt Gibson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Federal concedido; Parte IV en evaluación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decisión a mediados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plazo del segundo activo.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oro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535,0 M (30-sep-2026)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250 M durante la obra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 Mt Gibson sin deuda.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Capricorn Metals es una productora de oro de Perth que cotiza en la ASX. Su primer activo, Karlawinda, en la región de Pilbara (Australia Occidental), lo exploraron WMC (2004-2008) e IGO (2008-2014) antes de pasar a Capricorn [10]. En julio de 2019 entró como presidente ejecutivo Mark Clark, que había dirigido Equigold y Regis Resources, con varios consejeros de Regis; financió y construyó la mina, que vertió el primer oro el 30-jun-2021 en plazo y presupuesto [1, 6]. En 2021 compró Mt Gibson, una mina histórica en la región de Yalgoo, que se ha convertido en su segundo proyecto, y en 2025-2026 sumó Warriedar y varios permisos alrededor para formar un distrito [1, 6]. En 2025 cerró las coberturas de oro con las que financió la construcción y devolvió toda la deuda; en 2026 pagó su primer dividendo, terminó la ampliación de Karlawinda a 6,5 Mt al año y publicó la PFS actualizada de Mt Gibson [7, 12, 14, 16,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WMC e IGO exploran Karlawinda (Bibra) antes de que pase a Capricorn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Clark (antes en Equigold y Regis Resources) entra como presidente ejecutivo; consejo renovado con antiguos de Regis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oro en Karlawinda (30 de junio), en plazo y presupuesto, con financiación bancaria y coberturas; compra de Mt Gibson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por valor razonable de las coberturas con el oro al alza: beneficio estatutario de 4,4 M frente a 85,8 M subyacente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200 M AUD a 6,00 AUD para Mt Gibson y la ampliación de Karlawinda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consejero delegado Paul Criddle (cargo personal desestimado): Clark asume sus funciones. Cierre de todas las coberturas y deuda cero (junio) [16, 17,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Warriedar (Golden Range y Fields Find) por acciones y otros permisos alrededor de Mt Gibson (nov-2025); venta de Big Springs por 26 M (jul-2026) [1,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dividendo (5 céntimos, febrero); aprobación federal de Mt Gibson (30-jun); PFS actualizada, reservas del grupo de 5,24 Moz y aspiración «Range 500» (27-jul); ampliación de Karlawinda terminada (23-sep) [7, 12, 13, 14, 15,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Capricorn Metals (West Perth; antes Malagasy Minerals, rebautizada en 2016) es dueña al 100 % de Karlawinda, una mina de oro a cielo abierto en el Pilbara (Australia Occidental) que produce desde junio de 2021, y del proyecto Mt Gibson (Murchison, 280 km al noreste de Perth), con aprobación federal desde junio de 2026 y pendiente de la estatal [1, 23]. Karlawinda procesa ≈ 4,6 Mt al año de mineral de 0,9 g/t; la ampliación terminada en septiembre de 2026 sube la planta a 6,5 Mt y la producción a ≈ 150.000 onzas al año durante más de 10 años [1]. Mt Gibson tiene 3,67 Moz de reservas y una PFS de 19 años de vida con 260.000 onzas al año en régimen [14]. Tiene además Golden Range (Warriedar) en exploración. La minería la hacen contratistas; la empresa tiene 212 empleados [1].</w:t>
      </w:r>
    </w:p>
    <w:p>
      <w:pPr>
        <w:pStyle w:val="Heading2"/>
      </w:pPr>
      <w:r>
        <w:t xml:space="preserve">Cómo gana dinero</w:t>
      </w:r>
    </w:p>
    <w:p>
      <w:pPr>
        <w:spacing w:after="100"/>
      </w:pPr>
      <w:r>
        <w:t xml:space="preserve">Ingresos = onzas vendidas × precio del oro en AUD, sin coberturas desde junio de 2025 [1]. El coste es casi fijo por tonelada movida y procesada, así que el coste por onza depende de la ley y del ratio de desmonte, y el margen sube y baja con el precio con apalancamiento: en FY2026 el AISC fue de 1.629 AUD/oz frente a un precio de 6.241 [1]. Las regalías (≈ 5,6 % de las ventas en Karlawinda) suben con el precio [1]. No hay estacionalidad relevante. El beneficio crecerá por volumen (de 124.000 a ≈ 400.000 onzas si Mt Gibson se construye) y el riesgo es de precio y de ejecución.</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Oro (Karlawinda)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Oro (Karlawinda)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oro se vende refinado en un mercado mundial líquido (refinería Perth Mint y bancos); la empresa no tiene clientes que importen ni poder de precio: cobra el precio de contado en AUD [1]. No hay contratos a plazo desde junio de 2025 [16]. Lo que decide el margen es el coste por onza, y ahí Karlawinda es de coste medio en Australia (AISC de 1.629 AUD/oz en FY2026) a pesar de una ley muy baja (0,9 g/t), por la escala de la planta y un ratio de desmonte moderado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oro (onzas)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117.076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123.589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137.000-147.000; 31.218 en el trimestre a septiembre de 2026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realizado (AUD/oz)</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4.500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6.241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trimestral de 7.034 en enero-marzo de 2026; sin coberturas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AISC (AUD/oz)</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1.900-2.100 (+23 %)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Ley de cabeza (g/t)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Karlawinda a 0,6 g/t: la ley media de las reservas está por debajo de la que se procesa hoy [2,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Mineral procesado (Mt)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6,5 Mt/año desde septiembre de 2026 con la ampliación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del grupo (Moz)</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Karlawinda 1,57; Mt Gibson 3,31 a cielo abierto y 0,36 subterráneas; optimizadas a 2.200-2.600 AUD/oz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oro de 535,0 M a 30-sep-2026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producción minera de oro: Capricorn vende onzas al precio de contado y compite por yacimientos, permisos, personal y capital, no por clientes. Se mide como el valor de la producción minera mundial (toneladas del World Gold Council por el precio medio en AUD), porque es lo que define el ingreso del sector [20, 21]. El submercado que importa para costes y permisos es Australia Occidental, el primer distrito aurífero del país, donde están las dos minas de la empresa y casi todos sus comparables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614.000 M AUD en 2025 (3.672 t a un precio medio estimado de ≈ 5.200 AUD/oz) [20,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UD (valor de la producción minera mundial,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 en AUD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 4.500 AUD/oz a principios de 2025 a un máximo de ≈ 7.000 en el 1T de 2026 y 5.894 el 21-oct-2026 (4.142 USD con el AUD a 0,703)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bancos centrales e inversión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récord de 5.002 t en 2025; bancos centrales 863 t e inversión 2.175 t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minera rígida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3.672 t en 2025, +1 %, casi igual al récord de 2018 pese al precio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costes y regalías ligadas al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AISC de Capricorn de 1.208 AUD/oz en FY2023 a 1.629 en FY2026 y guía de 1.900-2.100 en FY2027; las regalías subieron ≈ 100 AUD/oz por el precio [1,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AUD/USD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AUD pasó de 0,62 (enero de 2025) a 0,70 (octubre de 2026): resta ≈ 11 % al oro en AUD con el mismo precio en USD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compite por precio: cada onza se vende al de mercado; la rivalidad es por yacimientos (compras de 2,4-5,0 mil M AUD en 2025) y por personal y contratistas en Australia Occidental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mundial líquido; la refinería cobra poco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Contratistas mineros (MACA en Mt Gibson), energía y personal escasos en Australia Occidental; el Estado cobra una regalía del 2,5 % y hay regalías privadas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Llevar un proyecto a mina pide 3-5 años de permisos (Mt Gibson: aprobación federal en junio de 2026 y estatal en curso) y 300-500 M de inversión [14,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la inversión, el oro compite con bonos y activos digitales; la demanda de bancos centrales no tiene sustituto cercano [20].</w:t>
            </w:r>
          </w:p>
        </w:tc>
      </w:tr>
    </w:tbl>
    <w:p>
      <w:pPr>
        <w:spacing w:after="160" w:before="0"/>
      </w:pPr>
    </w:p>
    <w:p>
      <w:pPr>
        <w:pStyle w:val="Heading2"/>
      </w:pPr>
      <w:r>
        <w:t xml:space="preserve">Ciclo</w:t>
      </w:r>
    </w:p>
    <w:p>
      <w:pPr>
        <w:spacing w:after="100"/>
      </w:pPr>
      <w:r>
        <w:t xml:space="preserve">El precio del oro en USD se duplicó entre 2023 y enero de 2026 (máximo cercano a 5.300 USD) y desde entonces ha caído ≈ 22 % (4.142 USD el 21-oct-2026) [21]. En AUD la caída es algo mayor por la subida del AUD (de 0,62 a 0,70). Las mineras australianas multiplicaron su margen EBITDA hasta el 50-70 % [22] y gastan en exploración y compras, rasgos de la parte alta del ciclo. En 2013 el oro cayó un 28 % en un año y muchas mineras de Australia Occidental de baja ley cerraron o se deterioraron; en 2020 y 2022 el oro aguantó. La lectura: margen alto con riesgo de que la caída continúe.</w:t>
      </w:r>
    </w:p>
    <w:p>
      <w:pPr>
        <w:pStyle w:val="Heading2"/>
      </w:pPr>
      <w:r>
        <w:t xml:space="preserve">Regulación</w:t>
      </w:r>
    </w:p>
    <w:p>
      <w:pPr>
        <w:spacing w:after="100"/>
      </w:pPr>
      <w:r>
        <w:t xml:space="preserve">Australia Occidental cobra una regalía del 2,5 % sobre el valor del oro producido (con exención de las primeras 2.500 onzas) y hay regalías privadas sobre Karlawinda y Mt Gibson (1 % NSR a Avenger, más otra a St Barbara); en la PFS de Mt Gibson suman el 3,35 % [1, 14]. Los permisos ambientales son federales (EPBC Act, ya concedido para Mt Gibson en junio de 2026) y estatales (Parte IV de la EP Act con la EPA, en revisión pública cerrada en el 1T FY2027, y Parte V) [10, 23]. Impuesto de sociedades del 30 %. Sin cambios fiscales en tramitación conocidos que afecten al oro.</w:t>
      </w:r>
    </w:p>
    <w:p>
      <w:pPr>
        <w:pStyle w:val="Heading2"/>
      </w:pPr>
      <w:r>
        <w:t xml:space="preserve">Tendencias y disrupción</w:t>
      </w:r>
    </w:p>
    <w:p>
      <w:pPr>
        <w:spacing w:after="100"/>
      </w:pPr>
      <w:r>
        <w:t xml:space="preserve">Concentración: las grandes de Australia compran proyectos y productoras (Northern Star–De Grey por ≈ 5.000 M AUD en 2025; Gold Fields–Gold Road por 3.700 M; Ramelius–Spartan por ≈ 2.400 M) [24, 25]. Las medianas como Capricorn tienen poca deuda y financian el crecimiento con caja. El coste sube por la escasez de personal y contratistas. La automatización (camiones y perforadoras autónomas, control de planta) reduce costes en las grandes; en una mina de contratista como Karlawinda llega a través del contratista. Capricorn gana con el precio alto (más reservas económicas) y pierde con la inflación de costes.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Productora mediana de Australia Occidental: ≈ 0,1 % de la producción minera mundial (123.589 onzas en FY2026 frente a ≈ 118 Moz) [1, 20]. Con la ampliación (150.000 onzas) y Mt Gibson (hasta 260.000) pasaría a ≈ 400.000 onzas, el tamaño de Ramelius, Genesis o Vault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Northern Star Resources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NST.AX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productora de Australia (Kalgoorlie, Yandal, Pogo); compró De Grey (Hemi). Margen EBITDA de los últimos 12 meses: 54.4 %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Evolution Mining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EVN.AX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Productora de oro y cobre (Cowal, Red Lake, Ernest Henry, Northparkes). Margen EBITDA de los últimos 12 meses: 56.4 %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Genesis Minerals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GMD.AX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Productora de Leonora (Australia Occidental) en crecimiento hacia 300.000 onzas. Margen EBITDA de los últimos 12 meses: 54.2 %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Ramelius Resources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Productora de Mt Magnet y Edna May; compró Spartan (Dalgaranga), vecina de Mt Gibson. Margen EBITDA de los últimos 12 meses: 71.4 %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 Resources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RRL.AX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Duketon y Tropicana (30 %); la dirigió Mark Clark hasta 2016. Margen EBITDA de los últimos 12 meses: 51.8 %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Vault Minerals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VAU.AX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Red 5 y Silver Lake (King of the Hills, Deflector, Mount Monger). Margen EBITDA de los últimos 12 meses: 49.4 %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Westgold Resources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WGX.AX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Productora subterránea del Murchison y Southern Goldfields. Margen EBITDA de los últimos 12 meses: 43.5 %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mina.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oro se vende al precio de mercado.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mineras con 5,24 Moz de reservas y 8,66 Moz de recursos; Mt Gibson con aprobación federal y diseño terminado [13 de 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subyacente del 63 % en FY2026 frente al 43-71 % de los comparables, pese a una ley de 0,9 g/t; el AISC sube a 1.900-2.100 AUD en FY2027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 de 6,5 Mt/año ya construida en Karlawinda y vida de más de 10 años; Mt Gibson con 19 años de vida y AISC de 1.870 AUD/oz [5].</w:t>
            </w:r>
          </w:p>
        </w:tc>
      </w:tr>
    </w:tbl>
    <w:p>
      <w:pPr>
        <w:spacing w:after="160" w:before="0"/>
      </w:pPr>
    </w:p>
    <w:p>
      <w:pPr>
        <w:pStyle w:val="Heading2"/>
      </w:pPr>
      <w:r>
        <w:t xml:space="preserve">Amenazas</w:t>
      </w:r>
    </w:p>
    <w:p>
      <w:pPr>
        <w:spacing w:after="100"/>
      </w:pPr>
      <w:r>
        <w:t xml:space="preserve">El foso es de reservas y de permisos, no comercial. Lo erosionan tres cosas: (1) una caída del oro, que con una ley de 0,6-1,0 g/t aprieta el margen más que en minas de alta ley (cada 500 AUD/oz menos restan ≈ 8 puntos de margen) [1, 21]; (2) la inflación de costes en Australia Occidental, que ya sube el AISC un 23 % en FY2027 [10]; y (3) un retraso o condiciones en la aprobación estatal de Mt Gibson, que es el 60 % de la producción futura [10, 14]. Probabilidad: media para las tres.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FY2022-FY2026: ingresos </w:t>
      </w:r>
      <w:r>
        <w:rPr>
          <w:b/>
          <w:bCs/>
        </w:rPr>
        <w:t xml:space="preserve">28,0 %</w:t>
      </w:r>
      <w:r>
        <w:t xml:space="preserve">, EBITDA </w:t>
      </w:r>
      <w:r>
        <w:rPr>
          <w:b/>
          <w:bCs/>
        </w:rPr>
        <w:t xml:space="preserve">33,1 %</w:t>
      </w:r>
      <w:r>
        <w:t xml:space="preserve">, BPA </w:t>
      </w:r>
      <w:r>
        <w:rPr>
          <w:b/>
          <w:bCs/>
        </w:rPr>
        <w:t xml:space="preserve">27,4 %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U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Karlawinda (KGP) produjo su primer oro en junio de 2021 y es la única mina en producción. Las ventas pasaron de 287,0 M AUD en FY2022 a 769,3 M en FY2026 (TCAC del 28 %) con la producción casi plana: 118.432 onzas en FY2022 y 123.589 en FY2026 [2, 6]. Casi todo el crecimiento es precio: el realizado subió de 3.185 AUD/oz en FY2024 a 6.241 en FY2026 [2, 4]. El margen EBITDA subyacente pasó del 47 % (FY2024) al 63 % (FY2026) porque el coste por onza sube mucho menos que el precio: AISC de 1.208 AUD/oz en FY2023, 1.421 en FY2024, 1.468 en FY2025 y 1.629 en FY2026 [2, 3, 4, 5]. Las regalías (estatales del 2,5 % y privadas) sí suben con el precio: 42,9 M en FY2026 frente a 28,6 M en FY2025 [1]. FY2023 no es comparable en beneficio: el cierre anticipado de coberturas costó 83,2 M de pérdida de valor y 33,1 M de coste de forwards, y el beneficio neto quedó en 4,4 M (85,8 M sin ellas) [5].</w:t>
      </w:r>
    </w:p>
    <w:p>
      <w:pPr>
        <w:pStyle w:val="Heading2"/>
      </w:pPr>
      <w:r>
        <w:t xml:space="preserve">Ajustes y partidas no recurrentes</w:t>
      </w:r>
    </w:p>
    <w:p>
      <w:pPr>
        <w:spacing w:after="100"/>
      </w:pPr>
      <w:r>
        <w:t xml:space="preserve">Ingresos = ventas de oro cobradas (la «sales revenue» de la empresa). Los ingresos estatutarios restan un ajuste contable sin caja por coberturas cerradas antes de su fecha (57,985 M en FY2026 y 22,317 M en FY2025), que aquí va al resultado financiero con las pérdidas de valor de opciones y forwards de oro (FY2023: 116,4 M; FY2024: 13,6 M; FY2025: 34,9 M; FY2026: 4,7 M) [1, 3, 5]. Con ello el BAI y el beneficio neto son los estatutarios. El beneficio subyacente de la empresa (sin esos efectos) fue de 85,8 M en FY2023, 87,1 M en FY2024, 206,4 M en FY2025 y 327,2 M en FY2026 (BPA subyacente de 73,37 céntimos frente a 63,03 diluido estatutario) [2, 4, 5]. Desde junio de 2025 no hay coberturas ni deuda, así que el ajuste desaparece en FY2027 [16, 17].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Semestres con cifras subyacentes de la empresa (EBITDA y BPA sin el ajuste de coberturas) [2, 3, 7]. En el 2S26 vendió 63.280 onzas a ≈ 6.627 AUD (29.009 a 7.034 en el trimestre a marzo y 34.271 a 6.267 en el de junio) [9, 10]. El mensaje del resultado anual (27-ago-2026) y de la presentación del 27-jul fue el crecimiento: ampliación de Karlawinda (KEP) a 6,5 Mt/año y ≈ 150.000 onzas, terminada el 23-sep a tiempo y dentro de presupuesto; PFS de Mt Gibson con 260.000 onzas al año en régimen y 19 años de vida; reservas del grupo de 5,24 Moz; y la aspiración «Range 500» (500.000 onzas al año en cinco años, que la empresa reconoce sin base razonable todavía) [12, 13, 14, 15]. Lo que cambió entre las dos presentaciones: la guía de AISC de FY2027 sube a 1.900-2.100 AUD/oz (+23 % sobre FY2026) porque las reservas se optimizan a 2.600 AUD en vez de 2.200 y entra mineral de menor ley, y el pago único de impuestos de FY2026 (90-100 M) sale en FY2027 [2, 10]. No hay transcripción pública de la conferencia del 27-jul.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Warriedar Resources (Golden Range, exploración), comprada el 25-nov-2025 con 23,8 M de acciones (324,9 M AUD): entra en balance como exploración capitalizada; no aporta ingresos.).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(65,4 M en FY2022) se pagó en tres años y desde FY2025 hay caja neta: 355,7 M en FY2025 y 504,8 M en FY2026 [1, 3]. En FY2025 ayudó una colocación de 200 M a 6,00 AUD (noviembre de 2024) para financiar la ampliación y Mt Gibson [3]. El circulante comercial es pequeño (existencias corrientes + clientes − proveedores ≈ 11 M, 1,5 % de las ventas) pero hay 87,5 M de mineral de baja ley a largo plazo, que se procesará al final de la vida de Karlawinda [1]. El activo no corriente casi se dobla en FY2026 por la compra de Warriedar (exploración capitalizada de 617,0 M frente a 185,0 M) y la ampliación (propiedades en desarrollo de 158,9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566</w:t>
      </w:r>
      <w:r>
        <w:t xml:space="preserve">, conversión </w:t>
      </w:r>
      <w:r>
        <w:rPr>
          <w:b/>
          <w:bCs/>
        </w:rPr>
        <w:t xml:space="preserve">92 %</w:t>
      </w:r>
      <w:r>
        <w:t xml:space="preserve"> del beneficio neto; adquisiciones 31, dividendos 23, recompras 0.</w:t>
      </w:r>
    </w:p>
    <w:p>
      <w:pPr>
        <w:spacing w:after="100"/>
      </w:pPr>
      <w:r>
        <w:t xml:space="preserve">La conversión en caja es alta: flujo operativo de 470,2 M en FY2026 frente a un EBITDA subyacente de 483,6 M, porque los impuestos casi no se pagaron (18,7 M) [1, 2]. En FY2027 el flujo bajará por el pago único de 90-100 M de impuestos de FY2026 y el paso al régimen normal [2]. La inversión de FY2026 (300,7 M) es sobre todo de crecimiento: 133,4 M en la ampliación de Karlawinda y obras previas de Mt Gibson, 74,0 M de exploración y 21,0 M de estudios [2]; la de mantenimiento está dentro del AISC (≈ 400 AUD por onza sobre el coste en efectivo, estimación propia: AISC 1.629 frente a coste en efectivo neto de ≈ 1.250) [10]. Entre FY2023 y FY2025 la empresa pagó ≈ 211 M en efectivo y 142 M en acciones (17,7 M de acciones a 8,02 AUD) por cerrar las coberturas a precios de 2.400-2.600 AUD, que figuran en financiación y no en este cuadro [3, 4,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(Perth)</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FY2026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una mina en producción, sin fondo de comercio y sin deuda. Lo complejo fueron las coberturas: la empresa vendió a plazo parte de la producción a ≈ 2.400-2.600 AUD/oz para financiar Karlawinda y las fue cerrando entre 2023 y 2025 con pérdidas contables de 116 M (FY2023), 14 M (FY2024) y 35 M (FY2025) y ajustes de ingresos sin caja de 22 M y 58 M en FY2025-FY2026 [1, 3, 4, 5]. El beneficio subyacente de la empresa los excluye y cuadra con el estatutario en la nota del resultado [2]. La amortización es por unidades de producción y baja (3,8 % de las ventas en FY2026) porque Karlawinda costó poco y parte del coste está en existencias a largo plazo [1]. La exploración se capitaliza (95,0 M en FY2026) y se deteriora poco (0,8 M); el riesgo es que una parte de los 617 M capitalizados (325 M de Warriedar) no llegue a mina [1]. Los pagos en acciones (8,1 M) son el 2,9 % del beneficio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Exploración capitalizada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617,0 M (33 % del activo) a 30-jun-2026, 325 M de ellos por la compra de Warriedar pagada en acciones; un deterioro no afectaría a la caja pero sí al ROIC y al patrimonio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de coberturas cerradas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Terminan en FY2026; el beneficio estatutario de FY2023-FY2026 está por debajo del subyacente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a largo plazo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87,5 M de mineral de baja ley valorado a coste; si el oro cae mucho podría haber ajuste a valor neto realizable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FY2026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53,6 % · </w:t>
      </w:r>
      <w:r>
        <w:rPr>
          <w:b/>
          <w:bCs/>
        </w:rPr>
        <w:t xml:space="preserve">WACC</w:t>
      </w:r>
      <w:r>
        <w:t xml:space="preserve">: 13,5 %.</w:t>
      </w:r>
    </w:p>
    <w:p>
      <w:pPr>
        <w:spacing w:after="100"/>
      </w:pPr>
      <w:r>
        <w:t xml:space="preserve">Con un WACC del 13,5 %, Capricorn crea mucho valor desde que Karlawinda produce: ROIC del 33,6 % en FY2022, 30,4 % en FY2023, 38,0 % en FY2024, 51,2 % en FY2025 y 45,1 % en FY2026 [1, 3, 4, 5, 6]. La diferencia ROIC − WACC fue de 17 a 38 puntos todos los años, incluso con el oro a 2.400-2.700 AUD de FY2022-FY2023. Dos razones: una mina a cielo abierto de baja ley pero de coste bajo (AISC de 1.208-1.629 AUD/oz) y poco capital invertido (≈ 300 M hasta FY2024). La bajada de FY2026 frente a FY2025 no es peor negocio: el capital invertido casi se dobla (de 365 a 702 M) con la ampliación de Karlawinda, Warriedar y la exploración de Mt Gibson, que aún no producen. En los próximos dos años el ROIC bajará con la construcción de Mt Gibson (≈ 600 M de inversión antes de producir), y volverá a subir desde FY2029 si la mina arranca en plazo: con nuestro caso base, el NOPAT de FY2030 (≈ 870 M) sobre un capital de ≈ 1.500 M da ≈ 55-60 %. El ROE es menor que el ROIC por la caja sin usar (505 M a 30-jun-2026)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504,8 M AUD a 30-jun-2026 sin deuda financiera; caja y oro de 535,0 M a 30-sep-2026 tras 42,7 M de inversión en el trimestre [1, 11]. La deuda de Macquarie (50 M) se devolvió el 27-jun-2025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Impuesto sobre beneficios a pagar de 102,8 M a 30-jun-2026: la empresa espera un pago único de 90-100 M en FY2027 por FY2026, porque los pagos a cuenta eran bajos mientras usaba bases negativas [1, 2]. Provisiones de rehabilitación de 79,5 M a largo plazo (más 2,8 M a corto) por el cierre de Karlawinda y Mt Gibson [1]. Pasivos por arrendamiento de 20,3 M (centrales eléctricas y equipos) [1]. Sin coberturas de oro desde junio de 2025, salvo puts residuales con valor de 0,3 M [1, 16]. Activos mantenidos para la venta de 13,7 M (Big Springs, vendido en agosto de 2026 por 8,5 M en efectivo, 5,0 M en acciones de Sentinel y pagos diferidos) [18].</w:t>
      </w:r>
    </w:p>
    <w:p>
      <w:pPr>
        <w:pStyle w:val="Heading1"/>
      </w:pPr>
      <w:r>
        <w:t xml:space="preserve">12. Asignación de capital</w:t>
      </w:r>
    </w:p>
    <w:p>
      <w:pPr>
        <w:pStyle w:val="Confianza"/>
        <w:spacing w:after="100"/>
      </w:pPr>
      <w:r>
        <w:t xml:space="preserve">Confianza: Alta</w:t>
      </w:r>
    </w:p>
    <w:p>
      <w:pPr>
        <w:spacing w:after="100"/>
      </w:pPr>
      <w:r>
        <w:t xml:space="preserve">Dividendo desde FY2026: 5 céntimos a cuenta y 5 de final, totalmente «franked» (con crédito fiscal), 45,7 M en total; el pago empieza al pasar a pagar impuestos [2]. No hay recompra en vigor [1]. Prioridad declarada: financiar con caja propia la ampliación de Karlawinda y Mt Gibson sin deuda y mantener el reparto [2]. Compras pequeñas de terrenos alrededor de Mt Gibson (Golden Range) pagadas en acciones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 Gibson Gold Project (proyecto; a Tetris y otros)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M de acciones a 1,83 AUD (15,2 M) y pagos en efectivo (26,7 M en FY2022)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de 5,67 Moz y reservas de 3,67 Moz en 2026, frente a 2,8 Moz de recursos en 2022; PFS con VAN de 6.065 M AUD antes de impuestos [6,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Warriedar Resources (Golden Range, 1,38 Moz de recursos)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23,8 M de acciones a 13,64 AUD (≈ 5,5 % del capital) y 1,07 M de opciones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producción; estudio de una segunda planta en Golden Range (resultados preliminares en el 2T FY2027, decisión en 2027)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Big Springs (Nevada,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8,5 M en efectivo, 5,0 M en acciones de Sentinel y el resto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de un activo no estratégico [18].</w:t>
            </w:r>
          </w:p>
        </w:tc>
      </w:tr>
    </w:tbl>
    <w:p>
      <w:pPr>
        <w:spacing w:after="160" w:before="0"/>
      </w:pPr>
    </w:p>
    <w:p>
      <w:pPr>
        <w:spacing w:after="100"/>
      </w:pPr>
      <w:r>
        <w:t xml:space="preserve">La dirección ha creado mucho valor con la caja: Karlawinda se construyó por ≈ 200 M AUD y ha generado 1.175 M de flujo operativo en cinco años; Mt Gibson se compró por ≈ 42 M y hoy tiene 3,67 Moz de reservas [1, 6, 14]. Lo discutible es la dilución: las acciones diluidas pasaron de 374 M (FY2022) a 448 M (FY2026), +20 %, por la colocación de 2024 (33,3 M a 6,00), el cierre de coberturas pagado en acciones (17,7 M a 8,02) y Warriedar (23,8 M a 13,64) [1, 3]. Las coberturas a 2.400-2.600 AUD fueron caras (≈ 350 M entre efectivo y acciones) pero permitieron financiar la mina sin una gran ampliación. El dividendo es simbólico (≈ 0,7 % de rentabilidad) mientras se construye Mt Gibson.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Clark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(hace de consejero delegado desde mayo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Equigold hasta su fusión con Lihir por 1.200 M AUD (2008) y de Regis Resources (2009-2016), donde desarrolló Duketon hasta más de 300.000 onzas al año [1]. En Capricorn ha construido Karlawinda (primer oro en 2021), la ampliación (a tiempo y en presupuesto) y ha llevado Mt Gibson de 2,8 a 5,67 Moz de recursos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Nguyen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llevado la devolución de la deuda, el cierre de las coberturas (2023-2025) y el primer dividendo; remuneración de 1,40 M AUD en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Criddle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 (desarrollo de proyectos)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como director de operaciones en mayo de 2024 y fue consejero delegado de febrero a mayo de 2025; dimitió tras un cargo penal personal que fue desestimado y volvió a un puesto de desarrollo de proyectos [1,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Tony Hinkley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Karlawinda: producción en la parte alta de la guía en FY2025 y FY2026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Shane Clark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desarrollo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la construcción de la ampliación de Karlawinda (12 meses) y la de Mt Gibson [1,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Karlawinda; AISC en la horquilla de la guía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118.432 oz (parte alta de la guía); AISC de 1.112 AUD/oz (parte baja)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115.000-125.000 oz; AISC 1.160-1.260 AUD/oz</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120.014 oz; AISC 1.208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revisada a 112.000-115.000 oz; AISC 1.270-1.370 AUD/oz</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113.007 oz; AISC 1.421 (4 % por encima)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110.000-120.000 oz; AISC 1.370-1.470 AUD/oz</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117.076 oz; AISC 1.468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115.000-125.000 oz; AISC 1.530-1.630 AUD/oz</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123.589 oz; AISC 1.629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137.000-147.000 oz; AISC 1.900-2.100 AUD/oz</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31.218 oz en el primer trimestre (en línea con el plan)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constructores de minas con historial: Clark hizo crecer Regis hasta más de 300.000 onzas y en Capricorn ha cumplido la guía de producción cuatro de cinco años y el coste en cuatro de cinco (FY2024 se pasó un 4 %) [1, 2, 4, 5]. La ampliación de Karlawinda se terminó a tiempo y en presupuesto [5 de A]. El punto débil es la dependencia de Clark: es presidente y hace de consejero delegado desde mayo de 2025, tras la salida de Criddle [29]. No hay plan de sucesión publicado. El equipo tiene acciones: Clark posee el 3,8 %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Clark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Okeby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 y diversidad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Myles Ertzen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diversidad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De Araugo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Jillian Irvin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FY2026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entrada y salida frecuentes en 2025-2026 [1,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 Eck Associates (ETF de mineras de oro)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Clark (Samoz Pty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+77.335 acciones por derechos en septiembre de 2026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Jillian Irvin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Mark Clark cobró 2,89 M AUD en FY2026: salario de 1,10 M, variable anual de 0,89 M (79 % del objetivo) y derechos sobre acciones de 0,79 M [1]. El variable anual mide producción (35 %), AISC (35 %), seguridad y medio ambiente (15 %) y crecimiento de reservas (15 %); el de largo plazo, solo el TSR relativo frente a 17 mineras australianas (0 % por debajo de la mediana, 100 % desde el percentil 75) [1]. El diseño premia producir y añadir reservas, no el retorno sobre el capital: el TSR relativo mide algo, pero no castiga diluir. El informe de remuneración tuvo un 99,25 % a favor en 2025, pero la emisión de derechos a Clark tuvo un 22,2 % en contra [26]. Los consejeros externos subieron su fondo de retribución en marzo de 2026 con un 99,7 % a favor [27].</w:t>
      </w:r>
    </w:p>
    <w:p>
      <w:pPr>
        <w:pStyle w:val="Heading2"/>
      </w:pPr>
      <w:r>
        <w:t xml:space="preserve">Operaciones vinculadas, estructura de control y defensas</w:t>
      </w:r>
    </w:p>
    <w:p>
      <w:pPr>
        <w:spacing w:after="100"/>
      </w:pPr>
      <w:r>
        <w:t xml:space="preserve">No hay accionista de control: los cuatro mayores son gestoras de índices y fondos (26,3 % entre las cuatro) y el consejo y la dirección tienen ≈ 5 % [1]. Una acción, un voto; sin blindajes ni clases de acciones [1]. El presidente es ejecutivo y hace de consejero delegado, y no hay consejero independiente coordinador: la concentración de poder en una persona es el punto débil del gobierno, compensado en parte por cuatro consejeros independientes de cinco y comisiones presididas por ellos [1].</w:t>
      </w:r>
    </w:p>
    <w:p>
      <w:pPr>
        <w:pStyle w:val="Heading2"/>
      </w:pPr>
      <w:r>
        <w:t xml:space="preserve">Señales de alerta</w:t>
      </w:r>
    </w:p>
    <w:p>
      <w:pPr>
        <w:pStyle w:val="ListParagraph"/>
        <w:numPr>
          <w:ilvl w:val="0"/>
          <w:numId w:val="2"/>
        </w:numPr>
        <w:spacing w:after="60"/>
      </w:pPr>
      <w:r>
        <w:t xml:space="preserve">Presidente ejecutivo que hace también de consejero delegado desde mayo de 2025 y sin consejero coordinador independiente [1, 29].</w:t>
      </w:r>
    </w:p>
    <w:p>
      <w:pPr>
        <w:pStyle w:val="ListParagraph"/>
        <w:numPr>
          <w:ilvl w:val="0"/>
          <w:numId w:val="2"/>
        </w:numPr>
        <w:spacing w:after="60"/>
      </w:pPr>
      <w:r>
        <w:t xml:space="preserve">Salida del consejero delegado en mayo de 2025 tras un cargo penal personal (desestimado); sigue en la empresa como consejero delegado adjunto [28, 29].</w:t>
      </w:r>
    </w:p>
    <w:p>
      <w:pPr>
        <w:pStyle w:val="ListParagraph"/>
        <w:numPr>
          <w:ilvl w:val="0"/>
          <w:numId w:val="2"/>
        </w:numPr>
        <w:spacing w:after="60"/>
      </w:pPr>
      <w:r>
        <w:t xml:space="preserve">Rotación del personal del 29 % en FY2026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(31-jul-2026, confirmada el 5-oct-2026): 137.000-147.000 onzas en Karlawinda con un AISC de 1.900-2.100 AUD/oz y 70-85 M de inversión de crecimiento (prestripping); la planta ampliada (6,5 Mt/año) trabaja a ≈ 150.000 onzas al año desde el 2T FY2027 [11]. Mt Gibson: inicio de obras previsto en el 2T FY2027 (octubre-diciembre de 2026) si llega la aprobación estatal, y de la producción en el 3T FY2028; inversión de 345 M en planta más 129 M de minería previa [11]. Perspectiva del grupo (no es guía): 145.000 onzas en FY2027, 220.000 en FY2028, 330.000 en FY2029, 380.000 en FY2030 y 410.000 en FY2031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(7 analistas; BPA 0,85 AUD) [33]; FNArena: BPA 0,868 y dividendo 0,103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(7 analistas) [33]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 – 24,00</w:t>
            </w:r>
          </w:p>
        </w:tc>
      </w:tr>
    </w:tbl>
    <w:p>
      <w:pPr>
        <w:spacing w:after="160" w:before="0"/>
      </w:pPr>
    </w:p>
    <w:p>
      <w:pPr>
        <w:pStyle w:val="Heading2"/>
      </w:pPr>
      <w:r>
        <w:t xml:space="preserve">Revisiones de estimaciones</w:t>
      </w:r>
    </w:p>
    <w:p>
      <w:pPr>
        <w:spacing w:after="100"/>
      </w:pPr>
      <w:r>
        <w:t xml:space="preserve">El BPA de FY2027 de Yahoo bajó de 0,874 hace 90 días a 0,855 hace 30 y 0,850 hoy (−3 %), y el de FY2028 de 1,290 a 1,252 (−3 %), por la caída del oro desde agosto [33]. Macquarie recortó su objetivo de 17,70 a 15,50 AUD el 2-oct-2026 (Neutral); Canaccord lo subió de 19,05 a 19,20 tras el resultado anual (Buy) [34]. El objetivo medio de FNArena (6 brokers) es 20,03 AUD y el de Yahoo (8) 19,61 [33, 34]. Solo hay dos ejercicios de consenso con ventas; el EBITDA del consenso no es accesible gratis.</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Rentabilidades en AUD con dividendos. La acción ha rendido un 40,8 % anual en cinco años y un 37,0 % en diez frente al 7,7 % y el 9,1 % del S&amp;P/ASX 200 y al 24,9 % y el 15,6 % del índice de mineras de oro (GDX.AX) [32]: pasó de proyecto a productora (primer oro en junio de 2021) y luego se benefició del oro. En 2025 subió un 129 % con el oro en AUD (de ≈ 4.500 a ≈ 6.500 AUD/oz) y la mejora de Mt Gibson; en 2026 va −2,7 % frente a +4,1 % del índice [32]. Beta mensual de 5 años de 1,44 frente al S&amp;P/ASX 200 (ajustada 1,29) y volatilidad del 56 % [32]. La caída máxima de 5 años (−44,5 %) fue en 2022, con las coberturas que impedían ganar con el oro [32].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 +16,6 % / +21,2 % / +6,7 %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 / +47,5 %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Desplome del oro desde el máximo de ≈ 5.300 USD (28-ene) a ≈ 4.650 (2-feb): la acción cayó de 16,05 a 13,37 AUD en una semana (−7,9 % el 30-ene y −7,7 % el 2-feb) sin noticia propia [21,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caída del oro (de 5.126 a 4.400 USD entre el 12 y el 24-mar): la acción tocó su mínimo de 52 semanas (9,41 AUD el 22-mar; −9,3 % el 19-mar y −8,4 % el 23-mar) [21,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de 4.590 a 4.110 USD (−10 %) entre finales de mayo y el 11-jun; −8,1 % el 28-may [21,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PFS de Mt Gibson, reservas de 5,24 Moz y «Range 500» el 27-jul (+15 % en el día), y subida del oro de 4.040 a 4.700 USD en agosto con el resultado anual récord del 27-ago [21,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Recogida desde el máximo de 18,26 AUD (26-ago) con el oro de vuelta a ≈ 4.140 USD; Macquarie recortó el objetivo a 15,50 el 2-oct [21,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federal (EPBC) de Mt Gibson; la evaluación estatal (Parte IV, EPA) cerró su revisión pública en el trimestre a septiembre y la Parte V va en paralelo; la empresa quiere empezar obras en el 2T FY2027 [11, 39]. La decisión estatal está pendiente y sin fecha publicada.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PFS de Mt Gibson (VAN antes de impuestos de 6.065 M AUD a 5.500 AUD/oz), reservas del grupo de 5,24 Moz y «Range 500»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FY2026 récord (beneficio subyacente de 327,2 M, +59 %) y dividendo final de 5 céntimos; guía FY2027 con AISC +23 %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Big Springs (EE. UU.) a Sentinel por 26 M AUD; Capricorn pasa a accionista significativo de Sentinel [1,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mantiene Neutral y baja el objetivo de 17,70 a 15,50 AUD; a finales de septiembre varios brokers subieron la recomendación tras la caída [34,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Entradas y salidas de BlackRock y otros institucionales por encima y por debajo del 5 % (avisos de 2025-2026); no hay un accionista de referencia que coloque un paquete [1,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trimestral del 1T FY2027 «a finales de octubre» (costes y permisos de Mt Gibson); junta general el 24-nov-2026 [11,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22 % por debajo de su máximo de 52 semanas (y del histórico) y un 47 % por encima del mínimo, en tendencia alcista (1,2 % sobre la media de 200 sesiones) y sin avisos P de la herramienta. Todos los movimientos fuertes de 12 meses los explica el oro, con una sensibilidad de 2-3 veces, y uno el 27-jul por la PFS de Mt Gibson [21, 39]. No hay colocaciones, ventas de directivos (solo una compra pequeña de una consejera) ni ofertas pendientes. El único hecho pendiente que puede mover el precio es la aprobación estatal de Mt Gibson; no tiene fecha y la tesis ya recoge el riesgo de retraso, así que no retrasa. Veredicto: no cambia. Fecha del informe trimestral estimada (la empresa dice «finales de octubre»).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Cierres de junio de cada ejercicio [32]. El PER estatutario de FY2023 (345 veces) está deformado por la pérdida del cierre de coberturas y se excluye; con el beneficio subyacente de FY2023 (85,8 M) sería de ≈ 18 veces. En los demás años el PER de los últimos 12 meses ha estado entre 13 y 21 veces y el EV/EBITDA entre ≈ 6 y 13 veces. La empresa ha cotizado casi siempre con prima frente a las productoras australianas (PER adelantado de ≈ 7-12 veces) por la opción de crecimiento de Mt Gibson; hoy esa opción ya tiene PFS y aprobación federal.</w:t>
      </w:r>
    </w:p>
    <w:p>
      <w:pPr>
        <w:pStyle w:val="Heading1"/>
      </w:pPr>
      <w:r>
        <w:t xml:space="preserve">18. Comparables cotizados</w:t>
      </w:r>
    </w:p>
    <w:p>
      <w:pPr>
        <w:pStyle w:val="Confianza"/>
        <w:spacing w:after="100"/>
      </w:pPr>
      <w:r>
        <w:t xml:space="preserve">Confianza: Media</w:t>
      </w:r>
    </w:p>
    <w:p>
      <w:pPr>
        <w:spacing w:after="100"/>
      </w:pPr>
      <w:r>
        <w:t xml:space="preserve">Productoras de oro de la ASX con minas en Australia, consenso y balances en AUD en Yahoo: grandes (Northern Star, Evolution), medianas en crecimiento (Genesis, Ramelius, Vault, Westgold) y de pocas minas con prima de calidad (Regis, Emerald). Fuera: Perseus (minas en África, cuentas en USD), Greatland (datos de ventas inconsistentes en Yahoo) y Bellevue (beneficio casi nulo). El EBITDA de los próximos 12 meses es estimación propia (ventas del consenso × margen actual)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Capricorn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Northern Star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Evolution Mining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Genesis Minerals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Ramelius Resources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 Resources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Vault Minerals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Westgold Resources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Emerald Resources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 / 8,2x / 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11,1x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4,5x / 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Capricorn cotiza a ≈ 11 veces el BPA de los próximos 12 meses del consenso (≈ 18 con nuestro BPA, que supone el oro a 5.900 AUD) frente a una mediana de 11,1 veces de las comparables [22, 33]. La prima con el consenso es pequeña y con nuestras cifras grande; la justifica el crecimiento en volumen (de 124.000 a ≈ 400.000 onzas en cinco años si Mt Gibson se construye) que ninguna comparable tiene en esa proporción, y la penaliza que hoy es una sola mina de baja ley. En EV/EBITDA de los últimos 12 meses Capricorn (≈ 12-14 veces) está entre las más caras; las comparables cotizan a 4-11 veces.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Grey Mining (Hemi, Pilbara; proyecto sin producción)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Northern Star Resources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5.000 M AUD en acciones; 11,2 Moz de recursos; sin EBITDA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Spartan Resources (Dalgaranga, Murchison; proyecto)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Ramelius Resources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2.400 M AUD en acciones y efectivo; proyecto vecino de Mt Gibson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 Road Resources (50 % de Gruyere, Australia Occidental)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 Fields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3.700 M AUD en efectivo; múltiplo no publicado en la fuente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Warriedar Resources (Golden Range, exploración)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23,8 M de acciones de Capricorn a 13,64 AUD; 1,38 Moz de recursos [1].</w:t>
            </w:r>
          </w:p>
        </w:tc>
      </w:tr>
    </w:tbl>
    <w:p>
      <w:pPr>
        <w:spacing w:after="160" w:before="0"/>
      </w:pPr>
    </w:p>
    <w:p>
      <w:pPr>
        <w:spacing w:after="160" w:before="0"/>
      </w:pPr>
    </w:p>
    <w:p>
      <w:pPr>
        <w:spacing w:after="100"/>
      </w:pPr>
      <w:r>
        <w:t xml:space="preserve">Las compras de minas y proyectos de oro en Australia se pagan por onzas y por valor neto de los activos, no por EBITDA: ninguna fuente publica el múltiplo. Sirven para el control: sin accionista de control y con 5,24 Moz de reservas en Australia Occidental, Capricorn es un objetivo posible para las grandes (Northern Star, Evolution, Gold Fields) que compraron proyectos de 2.400-5.000 M AUD en 2025 [24, 25, 38]. No hay ninguna oferta conocida y no entra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son onzas vendidas × precio del oro en AUD; no hay coberturas desde junio de 2025 [16]. Oro plano en 5.900 AUD/oz, el cierre del 21-oct (4.142 USD al 0,7028) [21]; FY2027 lleva el 1T ya vendido a ≈ 6.300 AUD. Producción: 142.000 oz en FY2027 (centro alto de la guía de 137.000-147.000 [10]; Karlawinda ya ampliada [12]); Mt Gibson arranca con seis meses de retraso sobre el calendario de la empresa (195.000 oz del grupo en FY2028 frente a 220.000 de «Range 500») y sube a 375.000-400.000 en FY2030-FY2032, algo por debajo de la aspiración de 380.000-410.000 [15]. Después baja con la ley de Karlawinda (reservas a 0,6 g/t) y Mt Gibson en su media de vida (190.000 oz) [13, 14].</w:t>
      </w:r>
    </w:p>
    <w:p>
      <w:pPr>
        <w:keepNext/>
        <w:spacing w:after="100"/>
      </w:pPr>
      <w:r>
        <w:rPr>
          <w:b/>
          <w:bCs/>
        </w:rPr>
        <w:t xml:space="preserve">Márgenes.</w:t>
      </w:r>
    </w:p>
    <w:p>
      <w:pPr>
        <w:spacing w:after="100"/>
      </w:pPr>
      <w:r>
        <w:t xml:space="preserve">Coste por onza (sin amortización, con regalías y exploración en gastos) de ≈ 2.320 AUD en FY2026 [2]. Sube a ≈ 2.550 en FY2027 con la guía de AISC (1.900-2.100 frente a 1.629: más estéril movido con la ampliación) → margen EBITDA del 57 % [10]. FY2028 con el arranque de Mt Gibson (AISC del año 1 de 2.127) → 56 %. Desde FY2029 Mt Gibson en régimen (AISC de 1.700-1.820) → 61-63 %, y baja un punto al año desde FY2033 [14]. Regalías: el 2,5 % del Estado de Australia Occidental más regalías privadas (5,6 % de las ventas en FY2026; 3,35 % en Mt Gibson) [2, 14]; suben y bajan con el oro, por eso los escenarios mueven el margen.</w:t>
      </w:r>
    </w:p>
    <w:p>
      <w:pPr>
        <w:keepNext/>
        <w:spacing w:after="100"/>
      </w:pPr>
      <w:r>
        <w:rPr>
          <w:b/>
          <w:bCs/>
        </w:rPr>
        <w:t xml:space="preserve">Inversión y circulante.</w:t>
      </w:r>
    </w:p>
    <w:p>
      <w:pPr>
        <w:spacing w:after="100"/>
      </w:pPr>
      <w:r>
        <w:t xml:space="preserve">FY2027: inversión inicial de Mt Gibson (345 M más 129 M de minería previa; ≈ 45 % este año), Karlawinda y exploración capitalizada → 39 % de las ventas (≈ 330 M). FY2028: el resto de Mt Gibson → 33 % (≈ 380 M). Desde FY2029, mantenimiento de las dos minas (59 M de capital de Mt Gibson tras el arranque, recrecimientos de las presas de relaves, flota) y exploración: 8-10 % [10, 14].</w:t>
      </w:r>
    </w:p>
    <w:p>
      <w:pPr>
        <w:keepNext/>
        <w:spacing w:after="100"/>
      </w:pPr>
      <w:r>
        <w:rPr>
          <w:b/>
          <w:bCs/>
        </w:rPr>
        <w:t xml:space="preserve">Coste del capital.</w:t>
      </w:r>
    </w:p>
    <w:p>
      <w:pPr>
        <w:spacing w:after="100"/>
      </w:pPr>
      <w:r>
        <w:t xml:space="preserve">Coste del capital del 13,5 %, sin deuda: bono australiano a 10 años del 5,31 % (RBA, 14-oct-2026) [36] + beta de 1,30 × 5,5 % (la de Damodaran para metales preciosos es de 1,37 [37]; la nuestra frente al S&amp;P/ASX 200, 1,44 la bruta y 1,29 la ajustada [32]) + 1,0 % de prima por depender hoy de una sola mina y tener un proyecto pendiente de aprobación. Con la prima implícita del mercado (4,2 %) el WACC sería del 11,8 % [35].</w:t>
      </w:r>
    </w:p>
    <w:p>
      <w:pPr>
        <w:keepNext/>
        <w:spacing w:after="100"/>
      </w:pPr>
      <w:r>
        <w:rPr>
          <w:b/>
          <w:bCs/>
        </w:rPr>
        <w:t xml:space="preserve">Valor terminal.</w:t>
      </w:r>
    </w:p>
    <w:p>
      <w:pPr>
        <w:spacing w:after="100"/>
      </w:pPr>
      <w:r>
        <w:t xml:space="preserve">Crecimiento perpetuo del −3 % desde FY2036: las minas se agotan. Entre FY2027 y FY2036 se producen ≈ 3,2 Moz; quedan ≈ 1,5-2 Moz de reservas y 8,66 Moz de recursos del grupo (que incluyen las reservas) y la exploración del distrito de Mt Gibson [13]. El valor terminal pesa el 27 % del valor de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 (reinvierte el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 (histórico: 53,6 %)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 frente al 11,5 %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(hoy: 0,1 %)</w:t>
            </w:r>
          </w:p>
        </w:tc>
      </w:tr>
    </w:tbl>
    <w:p>
      <w:pPr>
        <w:spacing w:after="160" w:before="0"/>
      </w:pPr>
    </w:p>
    <w:p>
      <w:pPr>
        <w:spacing w:after="100"/>
      </w:pPr>
      <w:r>
        <w:t xml:space="preserve">La proyección apenas necesita inversión neta de la amortización (reinversión acumulada de 902 M, el 13 % del NOPAT, con un capex bruto medio del 13,7 % de las ventas). En un negocio de activos ligeros, el crecimiento medio del 11,5 % tiene que salir de subir precios y de ganar volumen sin capital nuevo, y la prueba es el poder de precios y la cuota (0,3 % del mercado en 2036e, frente al 0,1 %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(142.000 oz frente a 123.096 vendidas) con la ampliación de Karlawinda; precio −4 % (≈ 6.000 AUD frente a 6.241 de FY2026) [2,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+37 % con medio año de Mt Gibson (≈ 45.000 oz) y Karlawinda a 150.000; oro plano en 5.900 AUD [12,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de Mt Gibson (≈ 170.000 oz)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 Gibson en los años de mayor producción (260.000 oz en los años 3-6 de la PFS)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en ≈ 400.000 oz, por debajo de los 410.000 de «Range 500» [15].</w:t>
            </w:r>
          </w:p>
        </w:tc>
      </w:tr>
    </w:tbl>
    <w:p>
      <w:pPr>
        <w:spacing w:after="160" w:before="0"/>
      </w:pPr>
    </w:p>
    <w:p>
      <w:pPr>
        <w:spacing w:after="100"/>
      </w:pPr>
      <w:r>
        <w:t xml:space="preserve">El crecimiento no sale de ganar cuota a nadie (el oro se vende entero al precio del mercado: la cuota pasa del 0,1 % al 0,3 % de la producción mundial) sino de dos minas con reservas declaradas: Karlawinda ampliada (1,57 Moz) y Mt Gibson (3,67 Moz, PFS de julio de 2026) [13, 14]. La inversión (≈ 710 M en FY2027-FY2028) se paga con la caja (535 M a 30-sep) y el flujo de Karlawinda (≈ 250-300 M al año después de impuestos con el oro de hoy) sin deuda [11]. Lo que no está asegurado es el plazo: falta la aprobación estatal de Mt Gibson, y por eso el caso base ya lleva seis meses de retraso sobre el calendario de la empresa y el bajista doce.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11,5 %)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75,6 % (base: 58,5 %)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13,5 %)</w:t>
            </w:r>
          </w:p>
        </w:tc>
      </w:tr>
    </w:tbl>
    <w:p>
      <w:pPr>
        <w:spacing w:after="160" w:before="0"/>
      </w:pPr>
    </w:p>
    <w:p>
      <w:pPr>
        <w:spacing w:after="100"/>
      </w:pPr>
      <w:r>
        <w:t xml:space="preserve">El DCF da 10,34 AUD por acción, un 26 % por debajo del precio de 13,88. No es la cola (el valor terminal pesa un 27 %) ni el crecimiento (el caso base ya triplica la producción con Mt Gibson): es el oro y la tasa. Con el oro de hoy plano (5.900 AUD) y un WACC del 13,5 %, las dos minas no llegan a la capitalización de 6.380 M. El precio supone una rentabilidad anual del 9,6 % (por debajo de nuestro 13,5 % y del 11,8 % que pide el mercado) o un oro de ≈ 7.000 AUD (≈ 4.900 USD) sostenido: cada 100 AUD de oro mueven ≈ 0,30 AUD el valor por acción. El escenario alcista (oro a 6.700 AUD y Mt Gibson en el calendario de la empresa) da 12,98: ni así llega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oro baja a 5.000 AUD/oz (≈ 3.500 USD, el nivel de finales de 2025) y Mt Gibson llega doce meses tarde sobre el calendario de la empresa (aprobación estatal lenta o retrasos de obra): 160.000 oz en FY2028 y 280.000 en FY2029. Margen EBITDA 7,5 puntos menor (los costes por onza no bajan con el oro) y WACC +0,5. Valor de 7,09 AUD.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plano en 5.900 AUD/oz, Karlawinda a 150.000 oz al año y Mt Gibson con seis meses de retraso (primer oro a mediados de 2028); grupo en ≈ 400.000 oz desde FY2031. Valor de 10,34 AUD.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oro sube a 6.700 AUD/oz (≈ 4.700 USD, la media de enero-agosto de 2026) y Mt Gibson sigue el calendario de «Range 500» (220.000 oz del grupo en FY2028 y 410.000 en FY2031); margen 5 puntos mayor. Valor de 12,98 AUD: ni con este oro el DCF llega al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AUD) · precio actual 13,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10,19 AUD (-26,6 %).</w:t>
      </w:r>
    </w:p>
    <w:p>
      <w:pPr>
        <w:spacing w:after="100"/>
      </w:pPr>
      <w:r>
        <w:t xml:space="preserve">Los escenarios combinan las dos cosas que deciden: el oro (5.000 / 5.900 / 6.700 AUD/oz) y el plazo de Mt Gibson (12 / 6 / 0 meses de retraso sobre la empresa). El valor va de 7,09 a 12,98 AUD, todo por debajo del precio de 13,88; el ponderado (25/50/25) es de 10,19. La asimetría es negativa: el bajista resta un 49 % y el alcista un 6,5 %. Para el horizonte de 12 meses, con el PER, el abanico es mucho más ancho (4,92-20,83 AUD) porque el beneficio de FY2028 depende casi entero del oro y de cuántas onzas dé Mt Gibson ese año.</w:t>
      </w:r>
    </w:p>
    <w:p>
      <w:pPr>
        <w:pStyle w:val="Heading1"/>
      </w:pPr>
      <w:r>
        <w:t xml:space="preserve">22. Suma de partes</w:t>
      </w:r>
    </w:p>
    <w:p>
      <w:pPr>
        <w:pStyle w:val="Confianza"/>
        <w:spacing w:after="100"/>
      </w:pPr>
      <w:r>
        <w:t xml:space="preserve">Confianza: Media</w:t>
      </w:r>
    </w:p>
    <w:p>
      <w:pPr>
        <w:spacing w:after="100"/>
      </w:pPr>
      <w:r>
        <w:t xml:space="preserve">No se hace suma de partes: Karlawinda y Mt Gibson ya están juntas en la proyección por onzas, y Golden Range (Warriedar) y la exploración regional no tienen un plan de mina publicado que permita valorarlas aparte. Para contrastar: la PFS da a Mt Gibson un VAN antes de impuestos de 6.065 M AUD al 7,5 % con el oro a 5.500 AUD [14]; después de impuestos y al 13,5 % de nuestro WACC queda en ≈ 2.000-2.500 M, y Karlawinda con ≈ 150.000 oz al año durante diez años vale ≈ 1.800-2.000 M. Con la caja (≈ 300 M netos), la suma da ≈ 4.200-4.800 M (9-10,5 AUD por acción), coherente con el DCF.</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AUD) · precio actual 13,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10,35 AUD (-25,4 % sobre 13,88).</w:t>
      </w:r>
    </w:p>
    <w:p>
      <w:pPr>
        <w:spacing w:after="100"/>
      </w:pPr>
      <w:r>
        <w:t xml:space="preserve">El DCF (10,34 AUD) mide las dos minas con el oro de hoy y su vida de reservas; el objetivo a 12 meses (13,84) mide lo que el mercado suele pagar por su beneficio. Los comparables (PER de 11,1 veces de mediana sobre los próximos 12 meses) dan 10,3-13,1 AUD porque las grandes productoras australianas cotizan a 7-16 veces [22]. Pesos: DCF 45 %, escenarios 40 %, comparables 15 %; sin transacciones con múltiplos comparables publicados. Valor intrínseco de 10,35 AUD, un 25 % por debajo del precio: Capricorn no tiene margen de seguridad hoy.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(18.5x) ÷ 1.1 (tope: la mediana de 5 años, 13.7x,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spacing w:after="100"/>
      </w:pPr>
      <w:r>
        <w:rPr>
          <w:b/>
          <w:bCs/>
        </w:rPr>
        <w:t xml:space="preserve">Objetivo a 12 meses (ponderado):</w:t>
      </w:r>
      <w:r>
        <w:t xml:space="preserve"> 13,84 AUD · rentabilidad +0,4 % (base +7,3 %) · señal Mantener.</w:t>
      </w:r>
    </w:p>
    <w:p>
      <w:pPr>
        <w:spacing w:after="100"/>
      </w:pPr>
      <w:r>
        <w:t xml:space="preserve">Para comparar, con la regla v2 (historia al cierre, mismo precio): 13,1x / 17,6x / 17,6x, 8,2 % Mantener; con el tope anterior del base (×1,3, 14-oct mediodía): -4,4 %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objetivo a 12 meses (13,84 AUD) queda un 29 % por debajo del objetivo medio de 8 analistas (19,61; nuestro base, un 25 % por debajo) [33]. La diferencia está en el beneficio de FY2028: el consenso espera 1,25 AUD por acción y nosotros 0,88. Para llegar ahí hace falta el oro de ≈ 6.700 AUD y Mt Gibson en plazo, que es nuestro alcista. Los analistas van recortando: el BPA de FY2027 bajó de 0,874 a 0,850 en 90 días, y Macquarie bajó el objetivo a 15,50 (Neutral) el 2-oct [33, 34].</w:t>
      </w:r>
    </w:p>
    <w:p>
      <w:pPr>
        <w:keepNext/>
        <w:spacing w:after="100"/>
      </w:pPr>
      <w:r>
        <w:rPr>
          <w:b/>
          <w:bCs/>
        </w:rPr>
        <w:t xml:space="preserve">Del valor intrínseco al objetivo a 12 meses.</w:t>
      </w:r>
    </w:p>
    <w:p>
      <w:pPr>
        <w:spacing w:after="100"/>
      </w:pPr>
      <w:r>
        <w:t xml:space="preserve">El objetivo es el PER sobre el BPA de FY2028e, el primer ejercicio con Mt Gibson produciendo. La regla v3 da un base de 16,8 veces (el PER actual de 18,5 rebajado un 10 %, porque la mediana adelantada de cinco años es de 13,7) y deja el alcista en el mismo múltiplo. Con el oro de hoy, la acción vale ≈ lo que cuesta: +0,4 % ponderado y +7,3 % el base con dividendo. La v2 (historia al cierre) da +8,2 %, también Mantener. El BPA base crece un 10 % al año desde el subyacente de FY2026 (0,73) y un 18 % desde el estatutario (0,63): lo explica la producción, que pasa de 123.000 a 195.000 oz, con el oro algo más bajo y costes más altos.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trimestral del 1T FY2027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AISC real tras la ampliación (guía de 1.900-2.100) y calendario de Mt Gibson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2026-11-24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sobre la remuneración y la reelección de consejeros; actualización de permisos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 2027 (1S)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estatal de Mt Gibson (Parte IV) y licencias de la Parte V; inicio de obras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el mayor riesgo del plan: el base pasa a parecerse al alcista en onzas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FY2027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con la ampliación; dividendo frente a la inversión de Mt Gibson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y recursos a 30-jun-2027 y guía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Golden Range y la exploración regional pueden añadir vida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 (1T natural)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oro de Mt Gibson (calendario de la empresa)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de mina única a dos minas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100 AUD/oz ≈ 14 M de EBITDA al año hoy y ≈ 40 M con las dos minas; ≈ 0,30 AUD de valor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 la acción mueve ≈ 2-3 veces lo que mueve el oro y el beneficio casi en proporción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en el DCF con oro a 5.000 AUD y retraso (bajista: 7,09 frente a 10,34); −64 % a 12 meses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ni coberturas; AISC de ≈ 2.000 AUD/oz: gana dinero hasta con el oro un 60 % más 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por debajo de 5.300 AUD varias semanas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sola mina en producción (Karlawinda) hasta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trimestre perdido ≈ −5 % del valor; un problema en la presa de relaves o la planta ampliada para todo el ingreso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Mina a cielo abierto sencilla, cumplió la guía en FY2025-FY2026; planta nueva en paralelo a la antigua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trimestral por debajo de 32.000 oz con la planta ampliada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Aprobaciones y ejecución de Mt Gibson: falta la aprobación ambiental estatal (Parte IV) y las licencias de la Parte V; obra de 345 M más 129 M de minería previa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6 meses de retraso ≈ −0,3 a −0,5 AUD por acción en el DCF y ≈ −0,15 AUD de BPA en FY2028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federal ya concedida (30-jun-2026), revisión pública cerrada, ingeniería y contratos cerrados; el equipo construyó Karlawinda y su ampliación en plazo [11,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 la EPA de Australia Occidental pida información adicional o alargue la evaluación más allá del 1S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de las reservas: Karlawinda tiene 1,57 Moz a 0,6 g/t (≈ 10 años a 150.000 oz) y la ley de lo que se procesa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valor terminal (27 %) supone producción menguante y no un desplome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de 8,66 Moz; distrito de Mt Gibson y Golden Range con exploración activa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julio de 2027 que no reponen lo minado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el AISC sube de 1.629 a 1.900-2.100 AUD en FY2027 con la ampliación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−0,02 AUD de BPA al año por cada 100 AUD de AISC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cerrados; más volumen reparte los costes fijos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AISC trimestral por encima de 2.200 AUD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18,5 veces nuestro BPA de 12 meses frente a una mediana adelantada de 13,7 y comparables a 11,1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Valor intrínseco un 25 % por debajo del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producción que los comparables no tienen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que no baja aunque baje el 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presidente ejecutivo que hace de consejero delegado desde mayo de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Dependencia de una persona clave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consejeros independientes; equipo de dirección con consejero delegado adjunto, director de operaciones y de desarrollo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en la junta del 24-nov-2026</w:t>
            </w:r>
          </w:p>
        </w:tc>
      </w:tr>
    </w:tbl>
    <w:p>
      <w:pPr>
        <w:spacing w:after="160" w:before="0"/>
      </w:pPr>
    </w:p>
    <w:p>
      <w:pPr>
        <w:pStyle w:val="Heading2"/>
      </w:pPr>
      <w:r>
        <w:t xml:space="preserve">Pre-mortem</w:t>
      </w:r>
    </w:p>
    <w:p>
      <w:pPr>
        <w:spacing w:after="100"/>
      </w:pPr>
      <w:r>
        <w:t xml:space="preserve">Octubre de 2029: la acción vale un 40 % menos. Lo más probable es una combinación de dos cosas. Primero, el oro: tras el pico de enero de 2026 (≈ 6.700 AUD) siguió bajando hasta los 4.800-5.000 AUD con tipos reales más altos y ventas de los ETF. Con el AISC de ≈ 2.000 AUD, el beneficio por onza cayó un 30 %. Segundo, Mt Gibson: la EPA tardó un año más de lo previsto y la obra se encareció un 20 %, así que el primer oro llegó a finales de 2028 y la inversión se comió la caja y el dividendo. El mercado, que en 2026 pagaba 18 veces el beneficio por el crecimiento, pasó a pagar las 10 veces de su mínimo.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±1-2 % a 3-5 años</w:t>
      </w:r>
    </w:p>
    <w:p>
      <w:pPr>
        <w:spacing w:after="100"/>
      </w:pPr>
      <w:r>
        <w:t xml:space="preserve">La IA no cambia lo que vende Capricorn (oro, un bien físico cuyo precio fija el mercado mundial) ni sustituye a la mina. Toca solo los costes: planificación de la mina y del procesado, mantenimiento predictivo de la flota y la planta, interpretación de sondeos de exploración (útil en el distrito de Mt Gibson) y seguridad. Ahí puede ahorrar algo, pero la ventaja la tendrán también los demás productores, así que no cambia la posición relativa. Riesgo de IA bajo.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(1) Permisos y patrimonio aborigen: Mt Gibson necesita la aprobación ambiental del Estado (Parte IV de la ley ambiental de Australia Occidental, revisión pública cerrada) y las licencias de la Parte V; la federal llegó el 30-jun-2026 [15, 23]. La relación con los propietarios tradicionales (Nyiyaparli en Karlawinda; Badimia en Mt Gibson) es condición de las dos minas [1]. (2) Agua y relaves: la presa de relaves de Karlawinda funciona con licencia del regulador del agua (DWER); en FY2026 se reutilizaron 1.681 ML de agua y se estudia un espesador para recuperar más [1]. (3) Energía y emisiones: la mina usa sobre todo gas (más diésel en la flota), con una base de 100.000 t de CO2 del Safeguard Mechanism; el alcance 3 se publicará desde FY2027 y se estudian placas solares y eólica [1]. Seguridad: TRIFR de 4,45 en FY2026 (6,52 en FY2025) y un accidente con baja [1].</w:t>
      </w:r>
    </w:p>
    <w:p>
      <w:pPr>
        <w:pStyle w:val="Heading2"/>
      </w:pPr>
      <w:r>
        <w:t xml:space="preserve">Controversias</w:t>
      </w:r>
    </w:p>
    <w:p>
      <w:pPr>
        <w:spacing w:after="100"/>
      </w:pPr>
      <w:r>
        <w:t xml:space="preserve">Sin controversias ambientales o de cumplimiento conocidas. La única de los últimos dos años fue personal: en abril de 2025 se acusó al consejero delegado Paul Criddle de agresión con agravantes; el cargo se desestimó en mayo y él dimitió como consejero delegado (hoy es consejero delegado adjunto) [1, 28, 29]. En la junta de 2025, el 22 % votó contra los derechos de acciones a Mark Clark y casi el 10 % contra su reelección [26].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Mt Gibson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esperan la recomendación de la EPA de Australia Occidental y el visto bueno del ministro, y cuánto de la inversión inicial (345 M) ya está comprometido en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calendario de Mt Gibson decide el beneficio de FY2028 y el objetivo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AISC esperan en Karlawinda con la planta ampliada en régimen y la ley bajando hacia la de reservas (0,6 g/t)?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sube el AISC un 25 %; hay que saber si es pico o nivel.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Golden Range (Warriedar) puede convertirse en reservas y procesarse en Mt Gibson?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vía para alargar la vida más allá de las reservas actuales.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el dividendo durante la construcción de Mt Gibson o priorizarán la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(535 M) cubre la inversión, pero con poco margen si el oro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y de un consejero delegado separado del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Clark concentra la presidencia y la dirección desde mayo de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(artículos y teasers de sep-oct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terminada a tiempo, producción del 1T en línea, mejoras de recomendación tras la caída de septiembre y comparativas con otras mineras «que han volado»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(jun-sep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cobertura propia: la ampliación de Karlawinda y artículos generales de mineras de oro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FNArena (resumen de brokers)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Canaccord Buy con 19,20 AUD tras el resultado y Macquarie Neutral con 15,50 tras la caída del oro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400.000-500.000 onzas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por la PFS y las reservas, pero depende de la aprobación estatal de Mt Gibson y de construir en 15 meses; «Range 500» la empresa dice que aún no tiene base razonable [41].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decide: la acción sube y baja 2-3 veces lo que el oro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(ampliación a tiempo)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KEP en 12 meses y en presupuesto [41].</w:t>
            </w:r>
          </w:p>
        </w:tc>
      </w:tr>
    </w:tbl>
    <w:p>
      <w:pPr>
        <w:spacing w:after="160" w:before="0"/>
      </w:pPr>
    </w:p>
    <w:p>
      <w:pPr>
        <w:spacing w:after="100"/>
      </w:pPr>
      <w:r>
        <w:t xml:space="preserve">El poco debate accesible es favorable y gira sobre el crecimiento; no hay euforia ni capitulación: los brokers se dividen entre los que ven el crecimiento (objetivos de 19-24 AUD) y los que miran el oro (15,50) [34]. No aporta un riesgo que el informe no recoja. Confianza baja por la cobertura: los foros australianos (HotCopper) no abren sin navegador.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42 (29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0,3 % en 2036e frente al 0,1 %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1,5 %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auditor del Annual Report 2026; 2) Corporate Governance Statement 2026; 3) cuentas de FY2022 (KPMG ya auditaba)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(KPMG desde al menos FY2022)</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citan consenso); 2) FNArena (solo cambios de objetivo); 3) prensa (Motley Fool, sin consenso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WGC Gold Demand Trends (sin producción por empresa); 2) informes anuales de los grandes (no reunidos a la misma fecha); 3) Yahoo (solo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WGC (sin previsión de valor); 2) USGS (sin previsión); 3) derivarlo exigiría suponer el precio del oro, que es la variable del análisis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margen EBITDA); 2) informes anuales de los comparables (no copiados por presupuesto); 3) MarketScreener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Annual Report 2026 (solo consejeros); 2) Appendix 3Y (solo consejeros); 3) informe de remuneración (derechos, no acciones de los directivos no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para los directivos no consejeros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(sin ratio); 2) gasto de personal / empleados (mezcla personal de mina y capitalizado); 3) informe de sostenibilidad (sin salario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múltiplos EV/EBITDA de las compras de oro australianas de 2024-2026; 2) prensa sectorial (Australian Mining, Mining Technology: solo importes); 3) Nasdaq/RTTNews (importe)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transacciones sin múltiplo, peso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(sin ROIC); 2) MarketScreener (no abre sin sesión); 3) Stock Analysis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ASIC, informe diario agregado (no descargado: la fecha de corte deja ≈ 4 días de retraso); 2) Yahoo (sin dato para la ASX); 3) Motley Fool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ventas y BPA); 2) FNArena (BPA y dividendo); 3) MarketScreener (pide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(HotCopper,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HotCopper (403); 2) Market Index y Livewire (JavaScript); 3) Motley Fool Australia (abre, solo artículos)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con dos fuentes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 informe de gestión, informe de remuneración y estados financieros auditados a 30-jun-2026 (con FY25 comparativo), notas de ingresos, gastos, impuestos, capital y coberturas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Capricorn Metals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https://announcements.asx.com.au/asxpdf/20260827/pdf/0738zj3hnws8n9.pdf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Capricorn Delivers Record Full Year Results (FY26): resultado subyacente, conciliación con el estatutario, guía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https://announcements.asx.com.au/asxpdf/20260827/pdf/0738zqgkrrk78h.pdf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FY25 (estados auditados a 30-jun-2025 con FY24 comparativo y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https://announcements.asx.com.au/asxpdf/20250829/pdf/06nk3sb6k3l5dr.pdf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FY24 (nota de resultados «Strong FY24 Financial Results» y estados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https://announcements.asx.com.au/asxpdf/20240905/pdf/067jtr3kq3fnr8.pdf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FY23 (estados auditados a 30-jun-2023 con FY22 comparativo; cierre de coberturas)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https://announcements.asx.com.au/asxpdf/20230908/pdf/05tnqrfn9w8td1.pdf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FY22 (primer año completo de Karlawinda; compra de Mt Gibson)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https://announcements.asx.com.au/asxpdf/20220929/pdf/45fmgptntnw748.pdf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Half Year Results and Maiden 5cps Fully Franked Dividend (1S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https://announcements.asx.com.au/asxpdf/20260226/pdf/06ws1txx7hmp1v.pdf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Activities Report, December 2025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https://announcements.asx.com.au/asxpdf/20260129/pdf/06vp6whvlxhhfg.pdf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Activities Report, March 2026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https://announcements.asx.com.au/asxpdf/20260429/pdf/06yz0zr8dvwl81.pdf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Activities Report, June 2026 quarter (operación de Karlawinda, guía FY27, caja y 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https://announcements.asx.com.au/asxpdf/20260731/pdf/0727yfyjnyf8wg.pdf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KGP Q1 Production 31koz, KEP Completed on Schedule (producción del trimestre a septiembre de 2026, caja y oro a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https://announcements.asx.com.au/asxpdf/20261005/pdf/074xtm2xkmsjyq.pdf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Karlawinda Expansion Project Completed on Schedule (6,5 Mtpa)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https://announcements.asx.com.au/asxpdf/20260923/pdf/074db1jmfrh361.pdf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Gold Reserves Increase to 5.2 Million Ounces (reservas y recursos de Karlawinda y Mt Gibson)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https://announcements.asx.com.au/asxpdf/20260727/pdf/07227v0pncnlhm.pdf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Compelling Mt Gibson PFS Update (producción, AISC, inversión, calendario, sensibilidades)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https://announcements.asx.com.au/asxpdf/20260727/pdf/07227rwp92pp8d.pdf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Range 500 Aspiration (perspectiva de producción del grupo FY27-FY31)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https://announcements.asx.com.au/asxpdf/20260727/pdf/07227x43cmzn1p.pdf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Hedge Book Closure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https://announcements.asx.com.au/asxpdf/20250611/pdf/06kn0b0gqlv1mp.pdf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Repays Residual $50M Debt, Now Gold Hedging &amp; Debt Free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https://announcements.asx.com.au/asxpdf/20250627/pdf/06l5wd321x0b1q.pdf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Divestment of the Big Springs Gold Project (venta a Sentinel por 26 M AUD)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https://announcements.asx.com.au/asxpdf/20260702/pdf/0718ywx4lrpcyr.pdf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End of FY26 Guidance Delivered at KGP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https://announcements.asx.com.au/asxpdf/20260706/pdf/071dhqm3cy2jvt.pdf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 Demand Trends Full Year 2025: oferta (producción minera de 3.672 t) y demanda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Gold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https://www.gold.org/goldhub/research/gold-demand-trends/gold-demand-trends-full-year-2025/supply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del oro (GC=F) y del AUD/USD: serie mensual y diaria hasta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https://finance.yahoo.com/quote/GC%3DF/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las productoras australianas (ventas, EBITDA, márgenes, caja y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Environmental Approval Received for MGGP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https://announcements.asx.com.au/asxpdf/20260630/pdf/0714snbhsb508j.pdf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 Fields completes AU$3.7 billion acquisition of Gold Road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https://www.nasdaq.com/articles/gold-fields-completes-au-37-billion-acquisition-gold-road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Northern Star finalises $5bn De Grey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Australian Mining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https://www.australianmining.com.au/northern-star-finalises-5bn-de-grey-acquisition/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2025 Annual General Meeting (votos por delegación y en la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https://announcements.asx.com.au/asxpdf/20251125/pdf/06sgw7vq80g7h1.pdf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General Meeting (junta extraordinaria del 3-mar-2026, fondo de retribución de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https://announcements.asx.com.au/asxpdf/20260303/pdf/06x0dnb26khsqg.pdf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Update (cargo contra el consejero delegado Paul Criddle y su baja)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https://announcements.asx.com.au/asxpdf/20250422/pdf/06hyfptrm304z7.pdf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Update (cargo desestimado, dimisión de Criddle como consejero delegado; Mark Clark asume sus funciones)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https://announcements.asx.com.au/asxpdf/20250515/pdf/06js5mrhbt964d.pdf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of Director’s Interest Notices (Appendix 3Y): Mark Clark (3-sep-2025, 22-dic-2025, 4-sep-2026) y Jillian Irvin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https://announcements.asx.com.au/asxpdf/20260904/pdf/073r7vz0xrk78g.pdf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y Ceasing to be a substantial holder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https://announcements.asx.com.au/asxpdf/20260623/pdf/070wvr11n0b023.pdf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CMM.AX, STW.AX (S&amp;P/ASX 200) y GDX.AX (VanEck Gold Miners en la ASX), con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https://finance.yahoo.com/quote/CMM.AX/history/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CMM.AX: consenso de BPA y ventas FY2027-FY2028, recomendaciones y objetivos (8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https://finance.yahoo.com/quote/CMM.AX/analysis/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FNArena: consenso de CMM (BPA FY2027 de 86,8 céntimos, dividendo 10,3; objetivo medio 20,03 AUD de 6 brokers; Macquarie Neutral 15,50 el 2-oct-2026; Canaccord Buy 19,20 el 30-ago-2026)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FNArena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https://fnarena.com/index.php/analysis-data/consensus-forecasts/stock-analysis/?code=CMM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F2 Capital Market Yields – Government Bonds (diaria): bono australiano a 10 años al 5,314 %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https://www.rba.gov.au/statistics/tables/xls/f02d.xlsx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global (betaGlobal.xls, enero de 2026): Precious Metals, beta sin deuda corregida por caja 1,37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https://pages.stern.nyu.edu/~adamodar/pc/datasets/betaGlobal.xls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Ramelius completes acquisition of Spartan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Mining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https://www.mining-technology.com/news/ramelius-completes-acquisition-of-spartan/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Anuncios de la ASX de CMM de 12 meses (listado anual 2025-2026: resultados, PFS, permisos, compras, juntas, avisos de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https://www.asx.com.au/asx/v2/statistics/announcements.do?by=asxCode&amp;asxCode=CMM&amp;timeframe=Y&amp;year=2026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Annual General Meeting (24-nov-2026)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Capricorn Metals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https://announcements.asx.com.au/asxpdf/20260929/pdf/074mvzd2tgwh36.pdf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Australia: «6 ASX shares upgraded by experts amid a weak market» (30-sep-2026) y página de noticias de CMM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https://www.fool.com.au/tickers/asx-cmm/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Australia: página 2 de CMM (jun-sep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https://www.fool.com.au/tickers/asx-cmm/page/2/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87,8 %</w:t>
      </w:r>
      <w:r>
        <w:t xml:space="preserve"> · Secciones con menos del 60 % de campos cubiertos: </w:t>
      </w:r>
      <w:r>
        <w:rPr>
          <w:b/>
          <w:bCs/>
        </w:rPr>
        <w:t xml:space="preserve">ninguna</w:t>
      </w:r>
      <w:r>
        <w:t xml:space="preserve"> · Generado el 21 oct 2026.</w:t>
      </w:r>
    </w:p>
    <w:p>
      <w:pPr>
        <w:pStyle w:val="Nota"/>
        <w:spacing w:after="100"/>
      </w:pPr>
      <w:r>
        <w:t xml:space="preserve">Australia no tiene XBRL en herramientas/cuentas.mjs: las cuentas de FY2022-FY2026 (cierre a 30 de junio) se copiaron de los estados auditados por KPMG publicados en la ASX (NIIF australianas, AUD), y los semestres de las notas de resultados y de los informes trimestrales. El BPA de la historia del PER es el subyacente diluido (sin el valor razonable ni el cierre de las coberturas de oro, que hundieron el resultado estatutario de FY2023 y restaron en FY2025-FY2026). El precio es el cierre de Sídney del 21-oct-2026 (13,88 AUD). El puente al valor de las acciones es a 30-jun-2026: no recoge la caja generada en el 1T FY2027 (+62,2 M antes de inversión, 535,0 M de caja y oro a 30-sep) ni el informe trimestral completo, que sale a finales de octubre. La producción posterior a FY2031 es estimación propia sobre las reservas y la PFS de Mt Gibson; la aprobación estatal de Mt Gibson (Parte IV y Parte V) no ha llegado. HotCopper, Market Index, Livewire, Simply Wall St y MarketScreener no abren: el sentimiento sale solo de Motley Fool Australia y FNArena.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Capricorn Metals Ltd (CMM)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13,88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(9,41 – 18,26)</c:v>
                </c:pt>
                <c:pt idx="1">
                  <c:v>Precio objetivo de los analistas (15,50 – 24,00)</c:v>
                </c:pt>
                <c:pt idx="2">
                  <c:v>Comparables: PER NTM (10,26 – 13,11)</c:v>
                </c:pt>
                <c:pt idx="3">
                  <c:v>DCF (WACC y g ± 0,5) (9,93 – 10,81)</c:v>
                </c:pt>
                <c:pt idx="4">
                  <c:v>Escenarios (bajista – alcista) (7,09 – 12,98)</c:v>
                </c:pt>
                <c:pt idx="5">
                  <c:v>DCF con la prima implícita del mercado (4,2 %)</c:v>
                </c:pt>
                <c:pt idx="6">
                  <c:v>Precio actual (13,88)</c:v>
                </c:pt>
              </c:strCache>
            </c:strRef>
          </c:cat>
          <c:val>
            <c:numRef>
              <c:f>Hoja1!$B$2:$B$8</c:f>
              <c:numCache>
                <c:formatCode>#,##0.0</c:formatCode>
                <c:ptCount val="7"/>
                <c:pt idx="0">
                  <c:v>9.41</c:v>
                </c:pt>
                <c:pt idx="1">
                  <c:v>15.5</c:v>
                </c:pt>
                <c:pt idx="2">
                  <c:v>10.26</c:v>
                </c:pt>
                <c:pt idx="3">
                  <c:v>9.93</c:v>
                </c:pt>
                <c:pt idx="4">
                  <c:v>7.09</c:v>
                </c:pt>
                <c:pt idx="5">
                  <c:v>11.24</c:v>
                </c:pt>
                <c:pt idx="6">
                  <c:v>13.81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(9,41 – 18,26)</c:v>
                </c:pt>
                <c:pt idx="1">
                  <c:v>Precio objetivo de los analistas (15,50 – 24,00)</c:v>
                </c:pt>
                <c:pt idx="2">
                  <c:v>Comparables: PER NTM (10,26 – 13,11)</c:v>
                </c:pt>
                <c:pt idx="3">
                  <c:v>DCF (WACC y g ± 0,5) (9,93 – 10,81)</c:v>
                </c:pt>
                <c:pt idx="4">
                  <c:v>Escenarios (bajista – alcista) (7,09 – 12,98)</c:v>
                </c:pt>
                <c:pt idx="5">
                  <c:v>DCF con la prima implícita del mercado (4,2 %)</c:v>
                </c:pt>
                <c:pt idx="6">
                  <c:v>Precio actual (13,88)</c:v>
                </c:pt>
              </c:strCache>
            </c:strRef>
          </c:cat>
          <c:val>
            <c:numRef>
              <c:f>Hoja1!$C$2:$C$8</c:f>
              <c:numCache>
                <c:formatCode>#,##0.0</c:formatCode>
                <c:ptCount val="7"/>
                <c:pt idx="0">
                  <c:v>8.850000000000001</c:v>
                </c:pt>
                <c:pt idx="1">
                  <c:v>8.5</c:v>
                </c:pt>
                <c:pt idx="2">
                  <c:v>2.8499999999999996</c:v>
                </c:pt>
                <c:pt idx="3">
                  <c:v>0.8800000000000008</c:v>
                </c:pt>
                <c:pt idx="4">
                  <c:v>5.890000000000001</c:v>
                </c:pt>
                <c:pt idx="5">
                  <c:v>0.8699999999999992</c:v>
                </c:pt>
                <c:pt idx="6">
                  <c:v>0.1399999999999988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(AUD, millones)</a:t>
            </a:r>
          </a:p>
        </c:rich>
      </c:tx>
      <c:overlay val="0"/>
    </c:title>
    <c:autoTitleDeleted val="0"/>
    <c:plotArea>
      <c:layout/>
      <c:barChart>
        <c:barDir val="col"/>
        <c:grouping val="stacked"/>
        <c:varyColors val="0"/>
        <c:ser>
          <c:idx val="0"/>
          <c:order val="0"/>
          <c:tx>
            <c:strRef>
              <c:f>Hoja1!$B$1</c:f>
              <c:strCache>
                <c:ptCount val="1"/>
                <c:pt idx="0">
                  <c:v>Oro (Karlawinda)</c:v>
                </c:pt>
              </c:strCache>
            </c:strRef>
          </c:tx>
          <c:spPr>
            <a:solidFill>
              <a:srgbClr val="2A78D6"/>
            </a:solidFill>
            <a:ln w="12700">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287.043</c:v>
                </c:pt>
                <c:pt idx="1">
                  <c:v>320.84</c:v>
                </c:pt>
                <c:pt idx="2">
                  <c:v>359.727</c:v>
                </c:pt>
                <c:pt idx="3">
                  <c:v>528.209</c:v>
                </c:pt>
                <c:pt idx="4">
                  <c:v>769.346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Oro (Karlawinda)</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Australia (ventas de oro a refinerías y bancos)</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AUD (valor de la producción minera mundial,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417848</c:v>
                </c:pt>
                <c:pt idx="1">
                  <c:v>613898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1</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Capricorn</c:v>
                </c:pt>
                <c:pt idx="1">
                  <c:v>Northern Star Resources</c:v>
                </c:pt>
                <c:pt idx="2">
                  <c:v>Evolution Mining</c:v>
                </c:pt>
                <c:pt idx="3">
                  <c:v>Genesis Minerals</c:v>
                </c:pt>
                <c:pt idx="4">
                  <c:v>Ramelius Resources</c:v>
                </c:pt>
                <c:pt idx="5">
                  <c:v>Regis Resources</c:v>
                </c:pt>
                <c:pt idx="6">
                  <c:v>Vault Minerals</c:v>
                </c:pt>
                <c:pt idx="7">
                  <c:v>Westgold Resources</c:v>
                </c:pt>
              </c:strCache>
            </c:strRef>
          </c:cat>
          <c:val>
            <c:numRef>
              <c:f>Hoja1!$B$2:$B$9</c:f>
              <c:numCache>
                <c:formatCode>0.0"%"</c:formatCode>
                <c:ptCount val="8"/>
                <c:pt idx="0">
                  <c:v>59.1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0</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(AUD,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2027e</c:v>
                </c:pt>
                <c:pt idx="6">
                  <c:v>2028e</c:v>
                </c:pt>
                <c:pt idx="7">
                  <c:v>2029e</c:v>
                </c:pt>
                <c:pt idx="8">
                  <c:v>2030e</c:v>
                </c:pt>
                <c:pt idx="9">
                  <c:v>2031e</c:v>
                </c:pt>
                <c:pt idx="10">
                  <c:v>2032e</c:v>
                </c:pt>
                <c:pt idx="11">
                  <c:v>2033e</c:v>
                </c:pt>
                <c:pt idx="12">
                  <c:v>2034e</c:v>
                </c:pt>
                <c:pt idx="13">
                  <c:v>2035e</c:v>
                </c:pt>
                <c:pt idx="14">
                  <c:v>2036e</c:v>
                </c:pt>
              </c:strCache>
            </c:strRef>
          </c:cat>
          <c:val>
            <c:numRef>
              <c:f>Hoja1!$B$2:$B$16</c:f>
              <c:numCache>
                <c:formatCode>#,##0</c:formatCode>
                <c:ptCount val="15"/>
                <c:pt idx="0">
                  <c:v>287.043</c:v>
                </c:pt>
                <c:pt idx="1">
                  <c:v>320.84</c:v>
                </c:pt>
                <c:pt idx="2">
                  <c:v>359.727</c:v>
                </c:pt>
                <c:pt idx="3">
                  <c:v>528.209</c:v>
                </c:pt>
                <c:pt idx="4">
                  <c:v>769.346</c:v>
                </c:pt>
                <c:pt idx="5">
                  <c:v>850</c:v>
                </c:pt>
                <c:pt idx="6">
                  <c:v>1150</c:v>
                </c:pt>
                <c:pt idx="7">
                  <c:v>1888</c:v>
                </c:pt>
                <c:pt idx="8">
                  <c:v>2212</c:v>
                </c:pt>
                <c:pt idx="9">
                  <c:v>2360</c:v>
                </c:pt>
                <c:pt idx="10">
                  <c:v>2360</c:v>
                </c:pt>
                <c:pt idx="11">
                  <c:v>2183</c:v>
                </c:pt>
                <c:pt idx="12">
                  <c:v>2007</c:v>
                </c:pt>
                <c:pt idx="13">
                  <c:v>2007</c:v>
                </c:pt>
                <c:pt idx="14">
                  <c:v>1948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2027e</c:v>
                </c:pt>
                <c:pt idx="6">
                  <c:v>2028e</c:v>
                </c:pt>
                <c:pt idx="7">
                  <c:v>2029e</c:v>
                </c:pt>
                <c:pt idx="8">
                  <c:v>2030e</c:v>
                </c:pt>
                <c:pt idx="9">
                  <c:v>2031e</c:v>
                </c:pt>
                <c:pt idx="10">
                  <c:v>2032e</c:v>
                </c:pt>
                <c:pt idx="11">
                  <c:v>2033e</c:v>
                </c:pt>
                <c:pt idx="12">
                  <c:v>2034e</c:v>
                </c:pt>
                <c:pt idx="13">
                  <c:v>2035e</c:v>
                </c:pt>
                <c:pt idx="14">
                  <c:v>2036e</c:v>
                </c:pt>
              </c:strCache>
            </c:strRef>
          </c:cat>
          <c:val>
            <c:numRef>
              <c:f>Hoja1!$C$2:$C$16</c:f>
              <c:numCache>
                <c:formatCode>#,##0</c:formatCode>
                <c:ptCount val="15"/>
                <c:pt idx="0">
                  <c:v>154.274</c:v>
                </c:pt>
                <c:pt idx="1">
                  <c:v>161.925</c:v>
                </c:pt>
                <c:pt idx="2">
                  <c:v>168.453</c:v>
                </c:pt>
                <c:pt idx="3">
                  <c:v>295.872</c:v>
                </c:pt>
                <c:pt idx="4">
                  <c:v>483.955</c:v>
                </c:pt>
                <c:pt idx="5">
                  <c:v>485</c:v>
                </c:pt>
                <c:pt idx="6">
                  <c:v>644</c:v>
                </c:pt>
                <c:pt idx="7">
                  <c:v>1151</c:v>
                </c:pt>
                <c:pt idx="8">
                  <c:v>1383</c:v>
                </c:pt>
                <c:pt idx="9">
                  <c:v>1487</c:v>
                </c:pt>
                <c:pt idx="10">
                  <c:v>1475</c:v>
                </c:pt>
                <c:pt idx="11">
                  <c:v>1343</c:v>
                </c:pt>
                <c:pt idx="12">
                  <c:v>1214</c:v>
                </c:pt>
                <c:pt idx="13">
                  <c:v>1194</c:v>
                </c:pt>
                <c:pt idx="14">
                  <c:v>1140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47.9</c:v>
                </c:pt>
                <c:pt idx="1">
                  <c:v>46.5</c:v>
                </c:pt>
                <c:pt idx="2">
                  <c:v>43.6</c:v>
                </c:pt>
                <c:pt idx="3">
                  <c:v>55.7</c:v>
                </c:pt>
                <c:pt idx="4">
                  <c:v>62.5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53.7</c:v>
                </c:pt>
                <c:pt idx="1">
                  <c:v>50.5</c:v>
                </c:pt>
                <c:pt idx="2">
                  <c:v>46.8</c:v>
                </c:pt>
                <c:pt idx="3">
                  <c:v>56</c:v>
                </c:pt>
                <c:pt idx="4">
                  <c:v>62.9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43</c:v>
                </c:pt>
                <c:pt idx="1">
                  <c:v>42.5</c:v>
                </c:pt>
                <c:pt idx="2">
                  <c:v>39.3</c:v>
                </c:pt>
                <c:pt idx="3">
                  <c:v>51.3</c:v>
                </c:pt>
                <c:pt idx="4">
                  <c:v>59.1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31.2</c:v>
                </c:pt>
                <c:pt idx="1">
                  <c:v>1.4</c:v>
                </c:pt>
                <c:pt idx="2">
                  <c:v>24.2</c:v>
                </c:pt>
                <c:pt idx="3">
                  <c:v>28.5</c:v>
                </c:pt>
                <c:pt idx="4">
                  <c:v>36.7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1S25</c:v>
                </c:pt>
                <c:pt idx="1">
                  <c:v>2S25</c:v>
                </c:pt>
                <c:pt idx="2">
                  <c:v>1S26</c:v>
                </c:pt>
                <c:pt idx="3">
                  <c:v>2S26</c:v>
                </c:pt>
              </c:strCache>
            </c:strRef>
          </c:cat>
          <c:val>
            <c:numRef>
              <c:f>Hoja1!$B$2:$B$5</c:f>
              <c:numCache>
                <c:formatCode>0.0"%"</c:formatCode>
                <c:ptCount val="4"/>
                <c:pt idx="2">
                  <c:v>64</c:v>
                </c:pt>
                <c:pt idx="3">
                  <c:v>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c:v>
                </c:pt>
                <c:pt idx="1">
                  <c:v>3</c:v>
                </c:pt>
                <c:pt idx="2">
                  <c:v>3</c:v>
                </c:pt>
                <c:pt idx="3">
                  <c:v>4</c:v>
                </c:pt>
                <c:pt idx="4">
                  <c:v>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36</c:v>
                </c:pt>
                <c:pt idx="1">
                  <c:v>35</c:v>
                </c:pt>
                <c:pt idx="2">
                  <c:v>29</c:v>
                </c:pt>
                <c:pt idx="3">
                  <c:v>86</c:v>
                </c:pt>
                <c:pt idx="4">
                  <c:v>112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67</c:v>
                </c:pt>
                <c:pt idx="1">
                  <c:v>71</c:v>
                </c:pt>
                <c:pt idx="2">
                  <c:v>91</c:v>
                </c:pt>
                <c:pt idx="3">
                  <c:v>110</c:v>
                </c:pt>
                <c:pt idx="4">
                  <c:v>111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(AUD,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76.471</c:v>
                </c:pt>
                <c:pt idx="1">
                  <c:v>96.81299999999999</c:v>
                </c:pt>
                <c:pt idx="2">
                  <c:v>83.029</c:v>
                </c:pt>
                <c:pt idx="3">
                  <c:v>151.264</c:v>
                </c:pt>
                <c:pt idx="4">
                  <c:v>158.766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89.483</c:v>
                </c:pt>
                <c:pt idx="1">
                  <c:v>4.399</c:v>
                </c:pt>
                <c:pt idx="2">
                  <c:v>87.138</c:v>
                </c:pt>
                <c:pt idx="3">
                  <c:v>150.277</c:v>
                </c:pt>
                <c:pt idx="4">
                  <c:v>282.194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33.6</c:v>
                </c:pt>
                <c:pt idx="1">
                  <c:v>30.4</c:v>
                </c:pt>
                <c:pt idx="2">
                  <c:v>38</c:v>
                </c:pt>
                <c:pt idx="3">
                  <c:v>51.2</c:v>
                </c:pt>
                <c:pt idx="4">
                  <c:v>45.1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13.5</c:v>
                </c:pt>
                <c:pt idx="1">
                  <c:v>13.5</c:v>
                </c:pt>
                <c:pt idx="2">
                  <c:v>13.5</c:v>
                </c:pt>
                <c:pt idx="3">
                  <c:v>13.5</c:v>
                </c:pt>
                <c:pt idx="4">
                  <c:v>13.5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36.1</c:v>
                </c:pt>
                <c:pt idx="1">
                  <c:v>1.7</c:v>
                </c:pt>
                <c:pt idx="2">
                  <c:v>30.8</c:v>
                </c:pt>
                <c:pt idx="3">
                  <c:v>27.6</c:v>
                </c:pt>
                <c:pt idx="4">
                  <c:v>25.5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0.32</c:v>
                </c:pt>
                <c:pt idx="1">
                  <c:v>-0.09</c:v>
                </c:pt>
                <c:pt idx="2">
                  <c:v>-0.21</c:v>
                </c:pt>
                <c:pt idx="3">
                  <c:v>-1.09</c:v>
                </c:pt>
                <c:pt idx="4">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(AUD,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26.744</c:v>
                </c:pt>
                <c:pt idx="1">
                  <c:v>0.2</c:v>
                </c:pt>
                <c:pt idx="2">
                  <c:v>0</c:v>
                </c:pt>
                <c:pt idx="3">
                  <c:v>0.371</c:v>
                </c:pt>
                <c:pt idx="4">
                  <c:v>3.365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22.836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Group</c:v>
                </c:pt>
                <c:pt idx="1">
                  <c:v>Van Eck Associates (ETF de mineras de oro)</c:v>
                </c:pt>
                <c:pt idx="2">
                  <c:v>State Street Corporation</c:v>
                </c:pt>
                <c:pt idx="3">
                  <c:v>Vanguard Group</c:v>
                </c:pt>
                <c:pt idx="4">
                  <c:v>Mark Clark (Samoz Pty Ltd)</c:v>
                </c:pt>
              </c:strCache>
            </c:strRef>
          </c:cat>
          <c:val>
            <c:numRef>
              <c:f>Hoja1!$B$2:$B$6</c:f>
              <c:numCache>
                <c:formatCode>0.0"%"</c:formatCode>
                <c:ptCount val="5"/>
                <c:pt idx="0">
                  <c:v>8.82</c:v>
                </c:pt>
                <c:pt idx="1">
                  <c:v>6.16</c:v>
                </c:pt>
                <c:pt idx="2">
                  <c:v>6.11</c:v>
                </c:pt>
                <c:pt idx="3">
                  <c:v>5.18</c:v>
                </c:pt>
                <c:pt idx="4">
                  <c:v>3.84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87.5</c:v>
                </c:pt>
                <c:pt idx="1">
                  <c:v>-34.3</c:v>
                </c:pt>
                <c:pt idx="2">
                  <c:v>-1.4</c:v>
                </c:pt>
                <c:pt idx="3">
                  <c:v>275.9</c:v>
                </c:pt>
                <c:pt idx="4">
                  <c:v>45.1</c:v>
                </c:pt>
                <c:pt idx="5">
                  <c:v>90.5</c:v>
                </c:pt>
                <c:pt idx="6">
                  <c:v>35.3</c:v>
                </c:pt>
                <c:pt idx="7">
                  <c:v>2.4</c:v>
                </c:pt>
                <c:pt idx="8">
                  <c:v>33.3</c:v>
                </c:pt>
                <c:pt idx="9">
                  <c:v>129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11.6</c:v>
                </c:pt>
                <c:pt idx="1">
                  <c:v>11.5</c:v>
                </c:pt>
                <c:pt idx="2">
                  <c:v>-2.9</c:v>
                </c:pt>
                <c:pt idx="3">
                  <c:v>23.2</c:v>
                </c:pt>
                <c:pt idx="4">
                  <c:v>1.9</c:v>
                </c:pt>
                <c:pt idx="5">
                  <c:v>16.7</c:v>
                </c:pt>
                <c:pt idx="6">
                  <c:v>-1.3</c:v>
                </c:pt>
                <c:pt idx="7">
                  <c:v>12.2</c:v>
                </c:pt>
                <c:pt idx="8">
                  <c:v>12.6</c:v>
                </c:pt>
                <c:pt idx="9">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7.9</c:v>
                </c:pt>
                <c:pt idx="1">
                  <c:v>9.3</c:v>
                </c:pt>
                <c:pt idx="2">
                  <c:v>10.5</c:v>
                </c:pt>
                <c:pt idx="3">
                  <c:v>12</c:v>
                </c:pt>
                <c:pt idx="4">
                  <c:v>10.7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10.6</c:v>
                </c:pt>
                <c:pt idx="1">
                  <c:v>10.6</c:v>
                </c:pt>
                <c:pt idx="2">
                  <c:v>10.6</c:v>
                </c:pt>
                <c:pt idx="3">
                  <c:v>10.6</c:v>
                </c:pt>
                <c:pt idx="4">
                  <c:v>10.6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Capricorn</c:v>
                </c:pt>
                <c:pt idx="1">
                  <c:v>Northern Star</c:v>
                </c:pt>
                <c:pt idx="2">
                  <c:v>Evolution Mining</c:v>
                </c:pt>
                <c:pt idx="3">
                  <c:v>Genesis Minerals</c:v>
                </c:pt>
                <c:pt idx="4">
                  <c:v>Ramelius Resources</c:v>
                </c:pt>
                <c:pt idx="5">
                  <c:v>Regis Resources</c:v>
                </c:pt>
                <c:pt idx="6">
                  <c:v>Vault Minerals</c:v>
                </c:pt>
                <c:pt idx="7">
                  <c:v>Westgold Resources</c:v>
                </c:pt>
                <c:pt idx="8">
                  <c:v>Emerald Resources</c:v>
                </c:pt>
              </c:strCache>
            </c:strRef>
          </c:cat>
          <c:val>
            <c:numRef>
              <c:f>Hoja1!$B$2:$B$10</c:f>
              <c:numCache>
                <c:formatCode>0.0"x"</c:formatCode>
                <c:ptCount val="9"/>
                <c:pt idx="1">
                  <c:v>7.1</c:v>
                </c:pt>
                <c:pt idx="2">
                  <c:v>7.4</c:v>
                </c:pt>
                <c:pt idx="3">
                  <c:v>7.7</c:v>
                </c:pt>
                <c:pt idx="4">
                  <c:v>6</c:v>
                </c:pt>
                <c:pt idx="5">
                  <c:v>3.2</c:v>
                </c:pt>
                <c:pt idx="6">
                  <c:v>4.5</c:v>
                </c:pt>
                <c:pt idx="7">
                  <c:v>3.7</c:v>
                </c:pt>
                <c:pt idx="8">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Northern Star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23.6</c:v>
                </c:pt>
              </c:numCache>
            </c:numRef>
          </c:xVal>
          <c:yVal>
            <c:numRef>
              <c:f>Hoja1!$C$2</c:f>
              <c:numCache>
                <c:formatCode>0.0"x"</c:formatCode>
                <c:ptCount val="1"/>
                <c:pt idx="0">
                  <c:v>7.1</c:v>
                </c:pt>
              </c:numCache>
            </c:numRef>
          </c:yVal>
          <c:smooth val="0"/>
        </c:ser>
        <c:ser>
          <c:idx val="1"/>
          <c:order val="1"/>
          <c:tx>
            <c:strRef>
              <c:f>Hoja1!$A$3</c:f>
              <c:strCache>
                <c:ptCount val="1"/>
                <c:pt idx="0">
                  <c:v>Evolution Mining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6.8</c:v>
                </c:pt>
              </c:numCache>
            </c:numRef>
          </c:xVal>
          <c:yVal>
            <c:numRef>
              <c:f>Hoja1!$C$3</c:f>
              <c:numCache>
                <c:formatCode>0.0"x"</c:formatCode>
                <c:ptCount val="1"/>
                <c:pt idx="0">
                  <c:v>7.4</c:v>
                </c:pt>
              </c:numCache>
            </c:numRef>
          </c:yVal>
          <c:smooth val="0"/>
        </c:ser>
        <c:ser>
          <c:idx val="2"/>
          <c:order val="2"/>
          <c:tx>
            <c:strRef>
              <c:f>Hoja1!$A$4</c:f>
              <c:strCache>
                <c:ptCount val="1"/>
                <c:pt idx="0">
                  <c:v>Genesis Minerals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9.2</c:v>
                </c:pt>
              </c:numCache>
            </c:numRef>
          </c:xVal>
          <c:yVal>
            <c:numRef>
              <c:f>Hoja1!$C$4</c:f>
              <c:numCache>
                <c:formatCode>0.0"x"</c:formatCode>
                <c:ptCount val="1"/>
                <c:pt idx="0">
                  <c:v>7.7</c:v>
                </c:pt>
              </c:numCache>
            </c:numRef>
          </c:yVal>
          <c:smooth val="0"/>
        </c:ser>
        <c:ser>
          <c:idx val="3"/>
          <c:order val="3"/>
          <c:tx>
            <c:strRef>
              <c:f>Hoja1!$A$5</c:f>
              <c:strCache>
                <c:ptCount val="1"/>
                <c:pt idx="0">
                  <c:v>Ramelius Resources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41.8</c:v>
                </c:pt>
              </c:numCache>
            </c:numRef>
          </c:xVal>
          <c:yVal>
            <c:numRef>
              <c:f>Hoja1!$C$5</c:f>
              <c:numCache>
                <c:formatCode>0.0"x"</c:formatCode>
                <c:ptCount val="1"/>
                <c:pt idx="0">
                  <c:v>6</c:v>
                </c:pt>
              </c:numCache>
            </c:numRef>
          </c:yVal>
          <c:smooth val="0"/>
        </c:ser>
        <c:ser>
          <c:idx val="4"/>
          <c:order val="4"/>
          <c:tx>
            <c:strRef>
              <c:f>Hoja1!$A$6</c:f>
              <c:strCache>
                <c:ptCount val="1"/>
                <c:pt idx="0">
                  <c:v>Regis Resources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c:v>
                </c:pt>
              </c:numCache>
            </c:numRef>
          </c:xVal>
          <c:yVal>
            <c:numRef>
              <c:f>Hoja1!$C$6</c:f>
              <c:numCache>
                <c:formatCode>0.0"x"</c:formatCode>
                <c:ptCount val="1"/>
                <c:pt idx="0">
                  <c:v>3.2</c:v>
                </c:pt>
              </c:numCache>
            </c:numRef>
          </c:yVal>
          <c:smooth val="0"/>
        </c:ser>
        <c:ser>
          <c:idx val="5"/>
          <c:order val="5"/>
          <c:tx>
            <c:strRef>
              <c:f>Hoja1!$A$7</c:f>
              <c:strCache>
                <c:ptCount val="1"/>
                <c:pt idx="0">
                  <c:v>Vault Minerals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21.5</c:v>
                </c:pt>
              </c:numCache>
            </c:numRef>
          </c:xVal>
          <c:yVal>
            <c:numRef>
              <c:f>Hoja1!$C$7</c:f>
              <c:numCache>
                <c:formatCode>0.0"x"</c:formatCode>
                <c:ptCount val="1"/>
                <c:pt idx="0">
                  <c:v>4.5</c:v>
                </c:pt>
              </c:numCache>
            </c:numRef>
          </c:yVal>
          <c:smooth val="0"/>
        </c:ser>
        <c:ser>
          <c:idx val="6"/>
          <c:order val="6"/>
          <c:tx>
            <c:strRef>
              <c:f>Hoja1!$A$8</c:f>
              <c:strCache>
                <c:ptCount val="1"/>
                <c:pt idx="0">
                  <c:v>Westgold Resources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6.2</c:v>
                </c:pt>
              </c:numCache>
            </c:numRef>
          </c:xVal>
          <c:yVal>
            <c:numRef>
              <c:f>Hoja1!$C$8</c:f>
              <c:numCache>
                <c:formatCode>0.0"x"</c:formatCode>
                <c:ptCount val="1"/>
                <c:pt idx="0">
                  <c:v>3.7</c:v>
                </c:pt>
              </c:numCache>
            </c:numRef>
          </c:yVal>
          <c:smooth val="0"/>
        </c:ser>
        <c:ser>
          <c:idx val="7"/>
          <c:order val="7"/>
          <c:tx>
            <c:strRef>
              <c:f>Hoja1!$A$9</c:f>
              <c:strCache>
                <c:ptCount val="1"/>
                <c:pt idx="0">
                  <c:v>Emerald Resources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49.4</c:v>
                </c:pt>
              </c:numCache>
            </c:numRef>
          </c:xVal>
          <c:yVal>
            <c:numRef>
              <c:f>Hoja1!$C$9</c:f>
              <c:numCache>
                <c:formatCode>0.0"x"</c:formatCode>
                <c:ptCount val="1"/>
                <c:pt idx="0">
                  <c:v>6.4</c:v>
                </c:pt>
              </c:numCache>
            </c:numRef>
          </c:yVal>
          <c:smooth val="0"/>
        </c:ser>
        <c:axId val="10"/>
        <c:axId val="20"/>
      </c:scatterChart>
      <c:valAx>
        <c:axId val="10"/>
        <c:scaling>
          <c:orientation val="minMax"/>
          <c:max val="7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2"/>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(AUD,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2027e</c:v>
                </c:pt>
                <c:pt idx="1">
                  <c:v>2028e</c:v>
                </c:pt>
                <c:pt idx="2">
                  <c:v>2029e</c:v>
                </c:pt>
                <c:pt idx="3">
                  <c:v>2030e</c:v>
                </c:pt>
                <c:pt idx="4">
                  <c:v>2031e</c:v>
                </c:pt>
                <c:pt idx="5">
                  <c:v>2032e</c:v>
                </c:pt>
                <c:pt idx="6">
                  <c:v>2033e</c:v>
                </c:pt>
                <c:pt idx="7">
                  <c:v>2034e</c:v>
                </c:pt>
                <c:pt idx="8">
                  <c:v>2035e</c:v>
                </c:pt>
                <c:pt idx="9">
                  <c:v>2036e</c:v>
                </c:pt>
              </c:strCache>
            </c:strRef>
          </c:cat>
          <c:val>
            <c:numRef>
              <c:f>Hoja1!$B$2:$B$11</c:f>
              <c:numCache>
                <c:formatCode>#,##0</c:formatCode>
                <c:ptCount val="10"/>
                <c:pt idx="0">
                  <c:v>15</c:v>
                </c:pt>
                <c:pt idx="1">
                  <c:v>86</c:v>
                </c:pt>
                <c:pt idx="2">
                  <c:v>639</c:v>
                </c:pt>
                <c:pt idx="3">
                  <c:v>827</c:v>
                </c:pt>
                <c:pt idx="4">
                  <c:v>895</c:v>
                </c:pt>
                <c:pt idx="5">
                  <c:v>890</c:v>
                </c:pt>
                <c:pt idx="6">
                  <c:v>811</c:v>
                </c:pt>
                <c:pt idx="7">
                  <c:v>732</c:v>
                </c:pt>
                <c:pt idx="8">
                  <c:v>714</c:v>
                </c:pt>
                <c:pt idx="9">
                  <c:v>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(AUD,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3249</c:v>
                </c:pt>
                <c:pt idx="1">
                  <c:v>1214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(AUD) · precio actual 13,88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7.09</c:v>
                </c:pt>
                <c:pt idx="1">
                  <c:v>10.34</c:v>
                </c:pt>
                <c:pt idx="2">
                  <c:v>12.98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13,88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(9,41 – 18,26)</c:v>
                </c:pt>
                <c:pt idx="1">
                  <c:v>Precio objetivo de los analistas (15,50 – 24,00)</c:v>
                </c:pt>
                <c:pt idx="2">
                  <c:v>Comparables: PER NTM (10,26 – 13,11)</c:v>
                </c:pt>
                <c:pt idx="3">
                  <c:v>DCF (WACC y g ± 0,5) (9,93 – 10,81)</c:v>
                </c:pt>
                <c:pt idx="4">
                  <c:v>Escenarios (bajista – alcista) (7,09 – 12,98)</c:v>
                </c:pt>
                <c:pt idx="5">
                  <c:v>DCF con la prima implícita del mercado (4,2 %)</c:v>
                </c:pt>
                <c:pt idx="6">
                  <c:v>Precio actual (13,88)</c:v>
                </c:pt>
              </c:strCache>
            </c:strRef>
          </c:cat>
          <c:val>
            <c:numRef>
              <c:f>Hoja1!$B$2:$B$8</c:f>
              <c:numCache>
                <c:formatCode>#,##0.0</c:formatCode>
                <c:ptCount val="7"/>
                <c:pt idx="0">
                  <c:v>9.41</c:v>
                </c:pt>
                <c:pt idx="1">
                  <c:v>15.5</c:v>
                </c:pt>
                <c:pt idx="2">
                  <c:v>10.26</c:v>
                </c:pt>
                <c:pt idx="3">
                  <c:v>9.93</c:v>
                </c:pt>
                <c:pt idx="4">
                  <c:v>7.09</c:v>
                </c:pt>
                <c:pt idx="5">
                  <c:v>11.24</c:v>
                </c:pt>
                <c:pt idx="6">
                  <c:v>13.81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(9,41 – 18,26)</c:v>
                </c:pt>
                <c:pt idx="1">
                  <c:v>Precio objetivo de los analistas (15,50 – 24,00)</c:v>
                </c:pt>
                <c:pt idx="2">
                  <c:v>Comparables: PER NTM (10,26 – 13,11)</c:v>
                </c:pt>
                <c:pt idx="3">
                  <c:v>DCF (WACC y g ± 0,5) (9,93 – 10,81)</c:v>
                </c:pt>
                <c:pt idx="4">
                  <c:v>Escenarios (bajista – alcista) (7,09 – 12,98)</c:v>
                </c:pt>
                <c:pt idx="5">
                  <c:v>DCF con la prima implícita del mercado (4,2 %)</c:v>
                </c:pt>
                <c:pt idx="6">
                  <c:v>Precio actual (13,88)</c:v>
                </c:pt>
              </c:strCache>
            </c:strRef>
          </c:cat>
          <c:val>
            <c:numRef>
              <c:f>Hoja1!$C$2:$C$8</c:f>
              <c:numCache>
                <c:formatCode>#,##0.0</c:formatCode>
                <c:ptCount val="7"/>
                <c:pt idx="0">
                  <c:v>8.850000000000001</c:v>
                </c:pt>
                <c:pt idx="1">
                  <c:v>8.5</c:v>
                </c:pt>
                <c:pt idx="2">
                  <c:v>2.8499999999999996</c:v>
                </c:pt>
                <c:pt idx="3">
                  <c:v>0.8800000000000008</c:v>
                </c:pt>
                <c:pt idx="4">
                  <c:v>5.890000000000001</c:v>
                </c:pt>
                <c:pt idx="5">
                  <c:v>0.8699999999999992</c:v>
                </c:pt>
                <c:pt idx="6">
                  <c:v>0.1399999999999988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