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Tyler Technologies, Inc.</w:t>
      </w:r>
    </w:p>
    <w:p>
      <w:pPr>
        <w:spacing w:after="60"/>
        <w:rPr>
          <w:color w:val="52514E"/>
          <w:sz w:val="22"/>
          <w:szCs w:val="22"/>
        </w:rPr>
      </w:pPr>
      <w:r>
        <w:rPr>
          <w:color w:val="52514E"/>
          <w:sz w:val="22"/>
          <w:szCs w:val="22"/>
        </w:rPr>
        <w:t xml:space="preserve">TYL · New York Stock Exchange · ISIN US9022521051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346,90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417,60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+20,4 % (base +20,5 %)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248,39 USD · mercado 289,56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14.292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23,3x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Tyler Technologies,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TYL / US9022521051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Plano (Texas) · 1966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www.tylertech.com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346,90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270,71 – 524,43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14.292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14.714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279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417,60 USD</w:t>
      </w:r>
      <w:r>
        <w:t xml:space="preserve"> frente a 346,90 · Rentabilidad a 12 meses </w:t>
      </w:r>
      <w:r>
        <w:rPr>
          <w:b/>
          <w:bCs/>
        </w:rPr>
        <w:t xml:space="preserve">+20,4 % (base +20,5 %)</w:t>
      </w:r>
      <w:r>
        <w:t xml:space="preserve"> · Valor intrínseco 248,39 USD · con la prima implícita del mercado: 289,56 (-16,5 %) · Alcista / bajista -10,7 % / -51,0 %</w:t>
      </w:r>
    </w:p>
    <w:p>
      <w:pPr>
        <w:spacing w:after="100"/>
      </w:pPr>
      <w:r>
        <w:rPr>
          <w:b/>
        </w:rPr>
        <w:t xml:space="preserve">La recomendación y por qué.</w:t>
      </w:r>
      <w:r>
        <w:t xml:space="preserve"> Mantener, con convicción media. La regla a 12 meses, con la v2 que elige el selector (Tyler está desrateada: mediana adelantada de 80,4x frente a 35,7x hoy), da un objetivo de 417,60 USD, con una rentabilidad ponderada del 20,4 % y del 20,5 % en el base; con la v3 sería del 32,4 %. No es Comprar porque el valor intrínseco, 248,39 USD, está un 28 % por debajo del precio de 346,90 (cierre del 13-oct; una acción son unos 310,06 EUR, el 1 % de una cartera de 30.000 EUR, muy por debajo del 7 %). El objetivo medio de 23 analistas (425,45) está cerca de nuestro base [26]. La convicción es media porque las dos lecturas tiran en sentidos opuestos (a un año manda el BPA, que crece; a largo plazo, el DCF, que queda por debajo); la convicción subiría hacia Comprar si el precio bajara del valor intrínseco o si el 3T26 y la guía de 2027 confirmaran un crecimiento ≥ 10 % con el margen al alza, y bajaría hacia Vender con un SaaS creciendo menos del 15 %.</w:t>
      </w:r>
    </w:p>
    <w:p>
      <w:pPr>
        <w:spacing w:after="100"/>
      </w:pPr>
      <w:r>
        <w:rPr>
          <w:b/>
        </w:rPr>
        <w:t xml:space="preserve">El negocio.</w:t>
      </w:r>
      <w:r>
        <w:t xml:space="preserve"> El mayor proveedor de software para administraciones locales y estatales de EE. UU.: ingresos de 2.332 M en 2025, 87 % recurrentes, caja libre del 26,6 % de las ventas [2]. Pasa a la nube a sus clientes (SaaS +21,7 % en el 2T26) con un salto de precio y de margen [3]. La calidad con el capital publicado no pasa: ROIC del 8,9 % frente a un WACC del 9,63 % (−0,7 puntos), por los 2.755 M de fondo de comercio, sobre todo de NIC; sin él, el ROIC es de ~57 %. Veredicto de sostenibilidad: «en parte», porque el salto de la nube se agota y la IA puede abaratar la atención al ciudadano.</w:t>
      </w:r>
    </w:p>
    <w:p>
      <w:pPr>
        <w:spacing w:after="100"/>
      </w:pPr>
      <w:r>
        <w:rPr>
          <w:b/>
        </w:rPr>
        <w:t xml:space="preserve">El riesgo de la IA.</w:t>
      </w:r>
      <w:r>
        <w:t xml:space="preserve"> Es menor que en el resto del software, pero no nulo. Los sistemas de registro (tribunales, contabilidad, catastro; ~65 % de las ventas según nuestra estimación) exigen trazabilidad, certificaciones y migraciones de datos de años, y se contratan por concurso a 5-10 años: la IA entra como módulo que Tyler vende. Lo expuesto es la atención al ciudadano, los permisos y los pagos (~35 %, estimación propia), donde la IA abarata las alternativas y el desarrollo propio de los grandes estados. El 3-feb-2026 la venta del software por las herramientas de Anthropic restó un 8,5 % a Tyler en un día [14].</w:t>
      </w:r>
    </w:p>
    <w:p>
      <w:pPr>
        <w:spacing w:after="100"/>
      </w:pPr>
      <w:r>
        <w:rPr>
          <w:b/>
        </w:rPr>
        <w:t xml:space="preserve">Finanzas.</w:t>
      </w:r>
      <w:r>
        <w:t xml:space="preserve"> Ventas +9,1 % en 2025 y +8,4 % en el 1S26; margen EBITDA contable del 21,3 % (con 151 M de pagos en acciones como gasto) [1, 3]. Caja de 1.015 M frente a 1.437,5 M de convertibles al 0,5 % hasta 2031; recompra de 761 M en el 1S26 [3, 4].</w:t>
      </w:r>
    </w:p>
    <w:p>
      <w:pPr>
        <w:spacing w:after="100"/>
      </w:pPr>
      <w:r>
        <w:rPr>
          <w:b/>
        </w:rPr>
        <w:t xml:space="preserve">Equipo y gobierno.</w:t>
      </w:r>
      <w:r>
        <w:t xml:space="preserve"> Siete de ocho consejeros independientes, con consejero coordinador; la dirección ha cumplido la guía cada año desde 2022 [2, 7, 20, 23, 24]. El variable a largo plazo no está ligado al ROIC.</w:t>
      </w:r>
    </w:p>
    <w:p>
      <w:pPr>
        <w:spacing w:after="100"/>
      </w:pPr>
      <w:r>
        <w:rPr>
          <w:b/>
        </w:rPr>
        <w:t xml:space="preserve">Valoración.</w:t>
      </w:r>
      <w:r>
        <w:t xml:space="preserve"> El DCF da 262,82 USD con un WACC del 9,63 % y 316,96 con la prima del mercado. El precio descuenta un crecimiento del 12,0 % anual en 2027-2033, frente a nuestro 7,5 % y al 10-12 % que la empresa espera de los recurrentes. Cotiza a 29,1 veces el EBITDA, un 34 % por debajo de su media, pero entre las más caras del software.</w:t>
      </w:r>
    </w:p>
    <w:p>
      <w:pPr>
        <w:spacing w:after="100"/>
      </w:pPr>
      <w:r>
        <w:rPr>
          <w:b/>
        </w:rPr>
        <w:t xml:space="preserve">Riesgos y catalizadores.</w:t>
      </w:r>
      <w:r>
        <w:t xml:space="preserve"> El bajista (169,91, −51 %) es la IA más presupuestos públicos ajustados; le damos un 30 %. Los catalizadores son el 3T26 (28-oct) y la guía de 2027 en febrero. Los foros están divididos y mejorando: Tyler se ve como el software «seguro» frente a la IA, sin euforia.</w:t>
      </w:r>
    </w:p>
    <w:p>
      <w:pPr>
        <w:spacing w:after="100"/>
      </w:pPr>
      <w:r>
        <w:rPr>
          <w:b/>
        </w:rPr>
        <w:t xml:space="preserve">Qué cambiaría la decisión.</w:t>
      </w:r>
      <w:r>
        <w:t xml:space="preserve"> Compraríamos por debajo de 248,39 USD y venderíamos por encima de 464,00. Un SaaS creciendo por debajo del 15 % o una guía de 2027 por debajo del 8 % nos llevarían a Vender; un crecimiento ≥ 10 % con el margen al alza subiría el valor intrínseco.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417,60 USD</w:t>
      </w:r>
      <w:r>
        <w:t xml:space="preserve"> (rentabilidad +20,4 % (base +20,5 %)) · Valor intrínseco: 248,39 USD (-28,4 % sobre 346,90) · con la prima implícita del mercado: 289,56 (-16,5 %)</w:t>
      </w:r>
    </w:p>
    <w:p>
      <w:pPr>
        <w:spacing w:after="100"/>
      </w:pPr>
      <w:r>
        <w:t xml:space="preserve">Tyler es el mayor proveedor de software para administraciones locales y estatales de EE. UU.: tribunales y justicia, contabilidad pública, impuestos y catastro, seguridad pública, escuelas y pagos digitales. Ingresos de 2.332 M en 2025 (+9,1 %), 87 % recurrentes, y una caja libre del 26,6 % de las ventas [2]. Su motor hasta 2030 es pasar a la nube a los clientes que aún tienen el programa instalado (SaaS +20,6 % en 2025), con un salto de precio y de margen.</w:t>
      </w:r>
    </w:p>
    <w:p>
      <w:pPr>
        <w:spacing w:after="100"/>
      </w:pPr>
      <w:r>
        <w:t xml:space="preserve">El precio (346,90 USD) ha caído un 34 % en un año por el miedo a la IA en el software y por la pérdida del contrato de pagos de Texas, pero sigue descontando un crecimiento del 12 % anual hasta 2033 (nuestro base: 7,5 %). Cotiza a 35,7 veces nuestro BPA de 2027 y 29,1 veces el EBITDA.</w:t>
      </w:r>
    </w:p>
    <w:p>
      <w:pPr>
        <w:spacing w:after="100"/>
      </w:pPr>
      <w:r>
        <w:t xml:space="preserve">Para invertir hay que creer dos cosas: que los sistemas de registro de los gobiernos son de lo más protegido frente a la IA (lo creemos) y que el margen llegará al objetivo de 2030 (no lo damos por hecho). A estos precios lo primero ya está pagado.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417,60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30,3x × 9,47 = 286,94 · 35,7x × 11,71 = 418,05 · 46,4x × 13,20 = 612,48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 / 20,5 %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(80,4x) es 2,3 veces el PER de hoy (35,7x);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425,45 (nuestro base -1,7 %)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248,39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 / -51,0 %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 frente a 9,6 % y 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289,56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 frente a 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(7,8 %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248,39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248,39 y 464,00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464,00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a 12 meses da Mantener: con la v2, que elige el selector porque Tyler está «desrateada» (mediana adelantada de 80,4x frente a 35,7x hoy), la rentabilidad ponderada es del 20,4 % y la del base del 20,5 %, pero el valor intrínseco (248,39 USD) está un 28 % por debajo del precio, así que no puede ser Comprar. Tampoco Vender: el BPA crece un 15-20 % anual por el margen y, con el PER de hoy, eso basta para que el precio suba a un año. Lo que no damos es una compra: hay que creer el plan de 2030 completo para que el precio sea justo, y la calidad con el capital publicado no pasa (ROIC del 8,9 % frente a un WACC del 9,63 %). Hay resultados el 28-oct.</w:t>
      </w:r>
    </w:p>
    <w:p>
      <w:pPr>
        <w:pStyle w:val="Heading2"/>
      </w:pPr>
      <w:r>
        <w:t xml:space="preserve">Qué cambiaría la recomendación</w:t>
      </w:r>
    </w:p>
    <w:p>
      <w:pPr>
        <w:pStyle w:val="ListParagraph"/>
        <w:numPr>
          <w:ilvl w:val="0"/>
          <w:numId w:val="2"/>
        </w:numPr>
        <w:spacing w:after="60"/>
      </w:pPr>
      <w:r>
        <w:t xml:space="preserve">La regla da Comprar por debajo de 248,39 USD (valor intrínseco); ahí compraríamos.</w:t>
      </w:r>
    </w:p>
    <w:p>
      <w:pPr>
        <w:pStyle w:val="ListParagraph"/>
        <w:numPr>
          <w:ilvl w:val="0"/>
          <w:numId w:val="2"/>
        </w:numPr>
        <w:spacing w:after="60"/>
      </w:pPr>
      <w:r>
        <w:t xml:space="preserve">Por encima de 464,00 USD la rentabilidad a 12 meses caería por debajo del umbral de venta.</w:t>
      </w:r>
    </w:p>
    <w:p>
      <w:pPr>
        <w:pStyle w:val="ListParagraph"/>
        <w:numPr>
          <w:ilvl w:val="0"/>
          <w:numId w:val="2"/>
        </w:numPr>
        <w:spacing w:after="60"/>
      </w:pPr>
      <w:r>
        <w:t xml:space="preserve">Si el 3T26 (28-oct) y la guía de 2027 confirman un crecimiento ≥ 10 % con margen al alza, subiríamos el base y el valor intrínseco se acercaría al precio.</w:t>
      </w:r>
    </w:p>
    <w:p>
      <w:pPr>
        <w:pStyle w:val="ListParagraph"/>
        <w:numPr>
          <w:ilvl w:val="0"/>
          <w:numId w:val="2"/>
        </w:numPr>
        <w:spacing w:after="60"/>
      </w:pPr>
      <w:r>
        <w:t xml:space="preserve">Si el SaaS crece menos del 15 % o se pierde otro contrato estatal grande de pagos, pasaríamos a Vender.</w:t>
      </w:r>
    </w:p>
    <w:p>
      <w:pPr>
        <w:pStyle w:val="ListParagraph"/>
        <w:numPr>
          <w:ilvl w:val="0"/>
          <w:numId w:val="2"/>
        </w:numPr>
        <w:spacing w:after="60"/>
      </w:pPr>
      <w:r>
        <w:t xml:space="preserve">Una compra grande (&gt; 1.000 M) a más de 25 veces el EBITDA bajaría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Tyler es el software más seguro frente a la IA y que cumplirá su plan de 2030: crecimiento de los recurrentes del 10-12 % anual y margen operativo no GAAP de mediados del 30 %. Por eso, tras caer un 34 %, aún paga 35,7 veces el BPA de 2027.</w:t>
      </w:r>
    </w:p>
    <w:p>
      <w:pPr>
        <w:keepNext/>
        <w:spacing w:after="100"/>
      </w:pPr>
      <w:r>
        <w:rPr>
          <w:b/>
          <w:bCs/>
        </w:rPr>
        <w:t xml:space="preserve">Lo que creemos nosotros.</w:t>
      </w:r>
    </w:p>
    <w:p>
      <w:pPr>
        <w:spacing w:after="100"/>
      </w:pPr>
      <w:r>
        <w:t xml:space="preserve">Coincidimos en que el foso es de los más sólidos del software (costes de cambio, certificaciones, contratos largos), pero el crecimiento de 2026-2029 lleva un salto de precio por la nube que se agota, y la IA puede abaratar la parte de atención al ciudadano y pagos (~35 % de las ventas). Un crecimiento del 7-9 % con el margen subiendo despacio vale unos 260-320 USD.</w:t>
      </w:r>
    </w:p>
    <w:p>
      <w:pPr>
        <w:keepNext/>
        <w:spacing w:after="100"/>
      </w:pPr>
      <w:r>
        <w:rPr>
          <w:b/>
          <w:bCs/>
        </w:rPr>
        <w:t xml:space="preserve">Por qué podemos tener razón.</w:t>
      </w:r>
    </w:p>
    <w:p>
      <w:pPr>
        <w:spacing w:after="100"/>
      </w:pPr>
      <w:r>
        <w:t xml:space="preserve">Las cifras de 2026 apoyan el base, no el plan: crecimiento del 8,2-8,6 % en el 1S26, ARR +8,2 %, margen EBITDA contable del 20,9 % en el semestre y transacciones frenadas por Texas [3, 5].</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346,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Foso de los más sólidos del software</w:t>
      </w:r>
      <w:r>
        <w:t xml:space="preserve">: contratos de 5-10 años, implantaciones de 1-3 años, retención bruta del 98 % y cuota del 8,2 % en un mercado muy fragmentado [1, 11].</w:t>
      </w:r>
    </w:p>
    <w:p>
      <w:pPr>
        <w:pStyle w:val="ListParagraph"/>
        <w:numPr>
          <w:ilvl w:val="0"/>
          <w:numId w:val="2"/>
        </w:numPr>
        <w:spacing w:after="60"/>
      </w:pPr>
      <w:r>
        <w:rPr>
          <w:b/>
        </w:rPr>
        <w:t xml:space="preserve">Riesgo de IA más bajo que el sector</w:t>
      </w:r>
      <w:r>
        <w:t xml:space="preserve">: los sistemas de registro de tribunales, contabilidad y catastro exigen trazabilidad y certificación; la IA entra como módulo (For The Record).</w:t>
      </w:r>
    </w:p>
    <w:p>
      <w:pPr>
        <w:pStyle w:val="ListParagraph"/>
        <w:numPr>
          <w:ilvl w:val="0"/>
          <w:numId w:val="2"/>
        </w:numPr>
        <w:spacing w:after="60"/>
      </w:pPr>
      <w:r>
        <w:rPr>
          <w:b/>
        </w:rPr>
        <w:t xml:space="preserve">BPA que crece un 15-20 % anual</w:t>
      </w:r>
      <w:r>
        <w:t xml:space="preserve">: el margen sube con la nube y la recompra (5,6 % del capital en el 1S26) [3].</w:t>
      </w:r>
    </w:p>
    <w:p>
      <w:pPr>
        <w:pStyle w:val="ListParagraph"/>
        <w:numPr>
          <w:ilvl w:val="0"/>
          <w:numId w:val="2"/>
        </w:numPr>
        <w:spacing w:after="60"/>
      </w:pPr>
      <w:r>
        <w:rPr>
          <w:b/>
        </w:rPr>
        <w:t xml:space="preserve">Balance sin riesgo</w:t>
      </w:r>
      <w:r>
        <w:t xml:space="preserve">: caja de 1.015 M frente a 1.437,5 M de convertibles al 0,5 % hasta 2031 [4].</w:t>
      </w:r>
    </w:p>
    <w:p>
      <w:pPr>
        <w:pStyle w:val="ListParagraph"/>
        <w:numPr>
          <w:ilvl w:val="0"/>
          <w:numId w:val="2"/>
        </w:numPr>
        <w:spacing w:after="60"/>
      </w:pPr>
      <w:r>
        <w:rPr>
          <w:b/>
        </w:rPr>
        <w:t xml:space="preserve">Dirección fiable</w:t>
      </w:r>
      <w:r>
        <w:t xml:space="preserve">: ha cumplido o superado la guía en 2022-2025 [2, 7, 23, 24].</w:t>
      </w:r>
    </w:p>
    <w:p>
      <w:pPr>
        <w:pStyle w:val="Heading2"/>
      </w:pPr>
      <w:r>
        <w:t xml:space="preserve">En contra</w:t>
      </w:r>
    </w:p>
    <w:p>
      <w:pPr>
        <w:pStyle w:val="ListParagraph"/>
        <w:numPr>
          <w:ilvl w:val="0"/>
          <w:numId w:val="2"/>
        </w:numPr>
        <w:spacing w:after="60"/>
      </w:pPr>
      <w:r>
        <w:rPr>
          <w:b/>
        </w:rPr>
        <w:t xml:space="preserve">Precio exigente</w:t>
      </w:r>
      <w:r>
        <w:t xml:space="preserve">: el DCF da 262,82 USD (−24 %) y el precio descuenta un 12 % de crecimiento anual hasta 2033.</w:t>
      </w:r>
    </w:p>
    <w:p>
      <w:pPr>
        <w:pStyle w:val="ListParagraph"/>
        <w:numPr>
          <w:ilvl w:val="0"/>
          <w:numId w:val="2"/>
        </w:numPr>
        <w:spacing w:after="60"/>
      </w:pPr>
      <w:r>
        <w:rPr>
          <w:b/>
        </w:rPr>
        <w:t xml:space="preserve">ROIC publicado por debajo del WACC</w:t>
      </w:r>
      <w:r>
        <w:t xml:space="preserve">: 8,9 % frente a 9,63 %, por 2.755 M de fondo de comercio (sobre todo NIC).</w:t>
      </w:r>
    </w:p>
    <w:p>
      <w:pPr>
        <w:pStyle w:val="ListParagraph"/>
        <w:numPr>
          <w:ilvl w:val="0"/>
          <w:numId w:val="2"/>
        </w:numPr>
        <w:spacing w:after="60"/>
      </w:pPr>
      <w:r>
        <w:rPr>
          <w:b/>
        </w:rPr>
        <w:t xml:space="preserve">El salto de la nube se agota</w:t>
      </w:r>
      <w:r>
        <w:t xml:space="preserve">: el mantenimiento cae y el crecimiento de 2029 en adelante será el del mercado (6-7 %).</w:t>
      </w:r>
    </w:p>
    <w:p>
      <w:pPr>
        <w:pStyle w:val="ListParagraph"/>
        <w:numPr>
          <w:ilvl w:val="0"/>
          <w:numId w:val="2"/>
        </w:numPr>
        <w:spacing w:after="60"/>
      </w:pPr>
      <w:r>
        <w:rPr>
          <w:b/>
        </w:rPr>
        <w:t xml:space="preserve">Pagos digitales a la baja</w:t>
      </w:r>
      <w:r>
        <w:t xml:space="preserve">: Texas perdido y margen de Platform Technologies del 16,9 % [1].</w:t>
      </w:r>
    </w:p>
    <w:p>
      <w:pPr>
        <w:pStyle w:val="ListParagraph"/>
        <w:numPr>
          <w:ilvl w:val="0"/>
          <w:numId w:val="2"/>
        </w:numPr>
        <w:spacing w:after="60"/>
      </w:pPr>
      <w:r>
        <w:rPr>
          <w:b/>
        </w:rPr>
        <w:t xml:space="preserve">Pagos en acciones del 6,5 % de las ventas</w:t>
      </w:r>
      <w:r>
        <w:t xml:space="preserve">: el EBITDA ajustado de la empresa los excluye y exagera el margen [1].</w:t>
      </w:r>
    </w:p>
    <w:p>
      <w:pPr>
        <w:pStyle w:val="Heading2"/>
      </w:pPr>
      <w:r>
        <w:t xml:space="preserve">Qué tiene que pasar para que la tesis funcione</w:t>
      </w:r>
    </w:p>
    <w:p>
      <w:pPr>
        <w:spacing w:after="100"/>
      </w:pPr>
      <w:r>
        <w:t xml:space="preserve">La tesis depende de que la nube siga creciendo a ~20 % sin perder clientes por la IA. La señal de que algo falla: SaaS creciendo menos del 15 % o una guía de 2027 por debajo del 8 % de crecimiento. Por el lado bueno: un margen EBITDA contable por encima del 24 % en 2027 acercaría el plan de 2030 y el DCF al precio.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SaaS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crecimiento y del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(ingresos recurrentes anualizados)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2.240 M, +8,2 %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IA o los presupuestos restan.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contable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21 %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depende de que suba.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las transacciones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Frenado por Texas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digitales, la parte más expuesta.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Acciones diluidas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 M (jul-26)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Suben</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recompra es la palanca del BPA.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29,1x / 23,3x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48,0x / 34,7x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(2018-2025)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 · 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Tyler nació en 1966 en Tyler (Texas) como conglomerado industrial (tuberías, imprenta). En 1998-1999, con John Marr, vendió lo industrial y se convirtió en proveedor de software para administraciones locales de EE. UU. a base de compras de programas de nicho (catastro, tribunales, finanzas municipales) [1]. Creció con una estrategia de «ventanilla única» para ayuntamientos, condados, escuelas y estados; en 2015 compró New World Systems (seguridad pública) y en 2021 NIC (pagos digitales, 2.090 M), su mayor compra. Lynn Moore es consejero delegado desde 2019 y, tras la salida de Marr en mayo de 2026, también preside el consejo. Entró en el S&amp;P 500 en 2020. Desde 2019 traslada a sus clientes a la nube (SaaS en AWS) [1,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Tyler Corporation, conglomerado industrial en Texas.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Giro al software para el sector público con John Marr; venta de los negocios industriales.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New World Systems (seguridad pública y finanzas municipales).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Lynn Moore, consejero delegado; acuerdo con AWS y comienzo del paso de clientes a la nube.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el S&amp;P 500.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NIC (pagos digitales y portales estatales) por 2.090 M netos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Convertibles de 1.437,5 M, recompra del 5,6 % del capital, compra de For The Record y objetivos 2030 elevados; John Marr deja el consejo [3, 13].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Tyler vende software de gestión y pagos digitales solo al sector público: ayuntamientos, condados, distritos escolares, tribunales, policía y bomberos, y gobiernos estatales, en los 50 estados de EE. UU. y algo en Canadá y Australia, con más de 50.000 instalaciones en 16.000 clientes [3]. Enterprise Software (73 % de las ventas de 2025) cubre las funciones administrativas críticas: contabilidad y RR. HH. públicos (Munis, ERP Pro), tribunales y justicia (Odyssey, Enterprise Justice), seguridad pública (Enterprise CAD), educación, catastro e impuestos sobre la propiedad y registros. Platform Technologies (27 %) son los pagos y servicios digitales que se cobran por transacción (portales estatales, multas, licencias, vehículos), procedentes sobre todo de NIC [1]. Tiene unos 7.800 empleados, el 93 % en EE. UU. [1].</w:t>
      </w:r>
    </w:p>
    <w:p>
      <w:pPr>
        <w:pStyle w:val="Heading2"/>
      </w:pPr>
      <w:r>
        <w:t xml:space="preserve">Cómo gana dinero</w:t>
      </w:r>
    </w:p>
    <w:p>
      <w:pPr>
        <w:spacing w:after="100"/>
      </w:pPr>
      <w:r>
        <w:t xml:space="preserve">El 87 % de los ingresos de 2025 es recurrente: SaaS (778 M, +20,6 %), comisiones por transacción (808 M, +15,8 %) y mantenimiento de licencias en local (446 M, −3,8 %) [1, 3]. El resto son servicios de implantación (243 M), licencias y equipos. El motor del crecimiento es el paso de clientes de licencia con mantenimiento a SaaS: cada cliente que cambia paga unas 1,7 veces más al año, y el objetivo es pasar el 85 % del mantenimiento de 2023 a la nube en 2030 [8]. Las transacciones crecen con el volumen de pagos digitales y con contratos estatales nuevos. El margen sube con la escala de la nube (margen bruto no GAAP del 50,4 % en el 2T26 frente al 48,9 % un año antes) y es estacional: el 4T es el trimestre más flojo en margen [3].</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Enterprise Software (ES)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Platform Technologies (PT)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-4.351,1 %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Enterprise Software (ES)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Platform Technologies (PT)</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r>
    </w:tbl>
    <w:p>
      <w:pPr>
        <w:spacing w:after="160" w:before="0"/>
      </w:pPr>
    </w:p>
    <w:p>
      <w:pPr>
        <w:pStyle w:val="Heading2"/>
      </w:pPr>
      <w:r>
        <w:t xml:space="preserve">Clientes, recurrencia y poder de precios</w:t>
      </w:r>
    </w:p>
    <w:p>
      <w:pPr>
        <w:spacing w:after="100"/>
      </w:pPr>
      <w:r>
        <w:t xml:space="preserve">Ningún cliente pesa de forma relevante; son miles de administraciones pequeñas y medianas, más contratos estatales grandes en pagos y tribunales [1]. Los contratos de software son plurianuales (3-10 años en SaaS) con renovación; la retención bruta de clientes es del 98 % según la propia empresa [13]. Los clientes eligen por concurso público (RFP), lo que alarga los ciclos de venta pero hace muy caro cambiar de proveedor: una migración de un sistema de tribunales o de contabilidad municipal dura años. El poder de precios se ve en las subidas anuales de los contratos y en la prima de la nube; el riesgo es que dependen de presupuestos públicos, aunque en 2020 y 2023 no cayeron. En 2026 perdió el contrato de pagos de Texas, que frena las transacciones unos 5 puntos [3].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SaaS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644,8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777,8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+21,7 % en el 2T26; 22 trimestres seguidos por encima del 20 %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 anualizados (ARR)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mil M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mil M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Frena desde el +10,9 % del 4T25 por Texas y el mantenimiento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los ingresos recurrentes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más del 90 % en 2030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mantenimiento (licencias en local)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463,1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445,6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−5 a −7 %; cada cliente que pasa a la nube paga ~1,7 veces más [2,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574,7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620,8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26,6 %; guía 2026 del 26-28 %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Acciones en circulación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 M (dic-25, aprox.)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40,95 M (27-jul-2026)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de 2026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software para administraciones públicas (estatales, locales, educación y justicia), con peso de EE. UU. No hay estadística oficial. Usamos Apps Run The World, que mide el software para gobiernos en todo el mundo (26.676 M USD en 2024, +11,8 %) con previsión del 6 % anual hasta 2029 y sitúa a Tyler como segundo proveedor tras Microsoft [11], y lo contrastamos con la estimación de Gartner del mercado de Tyler (unos 30.000 M USD, +7 % anual) que cita Morningstar, frente a un mercado direccionable propio de 18.000 M [12]. Las dos dan un orden de magnitud de 25.000-30.000 M y un crecimiento del 6-7 %; incluyen software de propósito general (Microsoft, Zoom) que Tyler no vende, y no incluyen del todo los pagos por transacción de Tyler.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26.676 M USD en 2024 según Apps Run The World (software para gobiernos, mundial) [11]; ≈ 30.000 M USD según Gartner para el mercado de Tyler [12].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Tamaño del mercado (millones de USD (Apps Run The World; 2025-2029 previsión al 6 %))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Modernización de sistemas antiguos de las administraciones (paso a la nube)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SaaS de Tyler +20,6 % en 2025 y objetivo de pasar a la nube el 85 % del mantenimiento de 2023 antes de 2030 [1,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Digitalización de pagos y trámites a los ciudadanos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Transacciones de Tyler +15,8 % en 2025; +10 % sin Texas en el 2T26 [3,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Escasez de funcionarios: la IA como sustituto de personal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Tyler vende automatización documental y asistentes como ahorro de plantilla; también puede abaratar programas a medida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Presupuestos estatales y locales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impuestos sobre la propiedad sostienen los presupuestos locales; los recortes federales de fondos pueden frenar proyectos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 generativa: menor coste de escribir software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3-feb-2026 los complementos de IA de Anthropic hundieron el software (Thomson Reuters −16 %) [14]; Tyler perdió un 51 % desde su máximo [19].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Tyler es líder en EE. UU. en la mayoría de sus nichos; compite con Oracle, Workday, SAP e Infor en ERP de grandes clientes y con CentralSquare, Motorola y Axon en seguridad pública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fragmentados que compran por concurso; su poder está en el concurso inicial, no en la renovación, porque migrar un sistema de tribunales o de contabilidad lleva años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coste principal es el personal (7.800 empleados); la nube es de AWS, un proveedor con poder pero sustituible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abarata escribir software, pero la entrada exige referencias de otros clientes públicos, certificaciones (CJIS en justicia, FedRAMP) y años de concurso: la barrera es la confianza y la regulación, no el código [1, 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departamentos de informática propios y las consultoras desarrollan a medida en grandes gobiernos; la IA puede hacerlo más barato, pero el sector público adopta despacio y exige trazabilidad [1, 8].</w:t>
            </w:r>
          </w:p>
        </w:tc>
      </w:tr>
    </w:tbl>
    <w:p>
      <w:pPr>
        <w:spacing w:after="160" w:before="0"/>
      </w:pPr>
    </w:p>
    <w:p>
      <w:pPr>
        <w:pStyle w:val="Heading2"/>
      </w:pPr>
      <w:r>
        <w:t xml:space="preserve">Ciclo</w:t>
      </w:r>
    </w:p>
    <w:p>
      <w:pPr>
        <w:spacing w:after="100"/>
      </w:pPr>
      <w:r>
        <w:t xml:space="preserve">El software para administraciones es poco cíclico: los ingresos de Tyler crecieron en 2009, en 2020 (+2,8 %, con pocos proyectos presenciales) y en 2022-2023, porque los presupuestos locales dependen del impuesto sobre la propiedad, que se ajusta con retraso [1]. Lo que mueve hoy la acción no es el ciclo sino la percepción de la IA y el ritmo de paso a la nube. Los presupuestos estatales de 2026 están sanos según la empresa, con reservas de contratos en máximos [3].</w:t>
      </w:r>
    </w:p>
    <w:p>
      <w:pPr>
        <w:pStyle w:val="Heading2"/>
      </w:pPr>
      <w:r>
        <w:t xml:space="preserve">Regulación</w:t>
      </w:r>
    </w:p>
    <w:p>
      <w:pPr>
        <w:spacing w:after="100"/>
      </w:pPr>
      <w:r>
        <w:t xml:space="preserve">Las compras públicas van por concurso (RFP) con plazos largos. Los sistemas de justicia y policía exigen las normas CJIS del FBI; los federales, FedRAMP. La regulación de la IA en el sector público avanza por estados (leyes de uso responsable y de transparencia) y obliga a explicar las decisiones automatizadas, lo que favorece a proveedores con datos trazables [1]. En el Item 1A Tyler cita como riesgo el cambio de la regulación de la IA y su coste de cumplimiento [1].</w:t>
      </w:r>
    </w:p>
    <w:p>
      <w:pPr>
        <w:pStyle w:val="Heading2"/>
      </w:pPr>
      <w:r>
        <w:t xml:space="preserve">Tendencias y disrupción</w:t>
      </w:r>
    </w:p>
    <w:p>
      <w:pPr>
        <w:spacing w:after="100"/>
      </w:pPr>
      <w:r>
        <w:t xml:space="preserve">Dos tendencias deciden: el paso a la nube (lo que más crece, con 1,7 veces más ingresos por cliente que cambia) y la IA generativa. Tyler la usa para vender módulos (automatización documental, transcripción judicial con For The Record, asistentes a ciudadanos) solo en su versión en la nube, y espera ingresos relevantes en 2027-2028 [8]. La amenaza es que la IA reduzca el coste de desarrollar software a medida o de entrar con un producto nuevo; en el sector público, la confianza, la certificación y el coste de migrar frenan ese efecto más que en el software de productividad [8, 19].</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Segundo proveedor de software para gobiernos del mundo según Apps Run The World (tras Microsoft, que vende software general) y primero especializado en administraciones locales de EE. UU.; cuota estimada del ~8 % del mercado mundial de software para gobiernos (2.332 M sobre ~28.300 M en 2025) [1,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ORCL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57.399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ERP y nube para estados y grandes ciudades; el negocio público es una parte pequeña de sus ventas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Constellation Software (Harris Computer)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 división Harris compra programas municipales y de servicios públicos; principal rival en ayuntamientos pequeños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Roper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vertical (Deltek para contratistas públicos, Frontline en educación); compite en escuelas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CentralSquare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capital riesgo (Bain, Vista); rival directo en seguridad pública y finanzas municipales; no publica cuentas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Veeva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compite con Tyler: referencia de software vertical en la nube con nicho regulado [18].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Débiles: los datos de tribunales, policía y pagos se integran entre agencias del mismo estado cuando todas usan Tyler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bruta del 98 % y migraciones de varios años por concurso; ingresos recurrentes del 87 % [4, 12].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Referencias de miles de administraciones y certificaciones (CJIS) que un recién llegado tarda años en reunir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en implantación y soporte; margen operativo no GAAP del 26,4 % frente a rivales de capital riesgo sin cifras públicas [12].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Nichos (tribunales, catastro) con dos o tres proveedores; la cuota de Tyler en tribunales estatales es la mayor de EE. UU. [3].</w:t>
            </w:r>
          </w:p>
        </w:tc>
      </w:tr>
    </w:tbl>
    <w:p>
      <w:pPr>
        <w:spacing w:after="160" w:before="0"/>
      </w:pPr>
    </w:p>
    <w:p>
      <w:pPr>
        <w:pStyle w:val="Heading2"/>
      </w:pPr>
      <w:r>
        <w:t xml:space="preserve">Amenazas</w:t>
      </w:r>
    </w:p>
    <w:p>
      <w:pPr>
        <w:spacing w:after="100"/>
      </w:pPr>
      <w:r>
        <w:t xml:space="preserve">La amenaza que más pesa es la IA: si abarata el desarrollo a medida, los grandes gobiernos podrían sustituir partes del programa por herramientas propias, y un competidor nativo en IA podría ganar concursos con precios menores. En Tyler la probabilidad nos parece baja a cinco años en los sistemas de registro (tribunales, contabilidad pública, catastro), que exigen trazabilidad y certificaciones, y media en las funciones de atención al ciudadano y documentales. La segunda amenaza es la pérdida de contratos estatales de pagos (Texas en 2026) y la presión sobre las comisiones; la tercera, que el paso a la nube se agote hacia 2030 y el crecimiento baje al ritmo del mercado (6-7 %) [8, 11].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2018-2025: ingresos </w:t>
      </w:r>
      <w:r>
        <w:rPr>
          <w:b/>
          <w:bCs/>
        </w:rPr>
        <w:t xml:space="preserve">13,9 %</w:t>
      </w:r>
      <w:r>
        <w:t xml:space="preserve">, EBITDA </w:t>
      </w:r>
      <w:r>
        <w:rPr>
          <w:b/>
          <w:bCs/>
        </w:rPr>
        <w:t xml:space="preserve">12,7 %</w:t>
      </w:r>
      <w:r>
        <w:t xml:space="preserve">, BPA </w:t>
      </w:r>
      <w:r>
        <w:rPr>
          <w:b/>
          <w:bCs/>
        </w:rPr>
        <w:t xml:space="preserve">10,1 %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pasan de 935 M USD en 2018 a 2.332 M en 2025 (TCAC del 13,9 %): la compra de NIC (2021) explica unos 5 puntos de esa tasa y el orgánico ha sido del 7-9 % anual (8,9 % en 2021, 8,2 % en 2022 sin ingresos COVID, 7,4 % en 2023) [1, 9]. En 2025 crecieron un 9,1 %, con los ingresos de SaaS +20,6 % (778 M) y las transacciones +15,8 % (808 M), mientras el mantenimiento cae un 3,8 % porque los clientes pasan a la nube [2]. El margen EBITDA contable (con la remuneración en acciones como gasto, 151 M en 2025) sube del 20,2 % de 2023 al 21,2 % de 2025, y el EBIT del 11,2 % al 15,3 %, porque la amortización de lo comprado con NIC baja y el coste del paso a la nube ya se ha absorbido [1]. En el 1S26 los ingresos crecen un 8,4 % (unos 2 puntos por compras) y la guía 2026 es de 2.535-2.575 M [3, 8].</w:t>
      </w:r>
    </w:p>
    <w:p>
      <w:pPr>
        <w:pStyle w:val="Heading2"/>
      </w:pPr>
      <w:r>
        <w:t xml:space="preserve">Ajustes y partidas no recurrentes</w:t>
      </w:r>
    </w:p>
    <w:p>
      <w:pPr>
        <w:spacing w:after="100"/>
      </w:pPr>
      <w:r>
        <w:t xml:space="preserve">Usamos las cifras GAAP. La empresa publica un BPA no GAAP que suma la remuneración en acciones (151 M en 2025) y la amortización de intangibles comprados (~94 M), con un tipo fijo del 22,5-23 %: 11,31 USD en 2025 frente a 7,20 GAAP [2]. El tipo GAAP es bajo y volátil por las ventajas fiscales del ejercicio de opciones (negativo en 2020-2021, 14,6 % en 2024, 19,1 % en 2025) [6]; para la historia del PER y el objetivo a 12 meses normalizamos el BPA con un tipo del 23 %. El 1S26 incluye una ganancia de 25,0 M por la revalorización de una participación (no operativa) y 5,8 M de reestructuración de oficinas [3]. En el 4T25 hubo una provisión de 9,7 M por un litigio contractual que redujo ingresos [2]. El LTM a junio de 2026 se deriva de las cuentas anuales y semestrales; el beneficio LTM excluye la ganancia de 25 M.</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línea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febrero de 2026 (4T25) la dirección guio un 2026 de 2.500-2.550 M de ingresos y 12,40-12,65 USD de BPA no GAAP, con las transacciones frenadas al 5-7 % por el fin del contrato de pagos de Texas (10-12 % sin él) y el mantenimiento cayendo un 5-7 % [2]; la acción cayó un 15,4 % el día de la conferencia, en plena venta masiva del software por la IA. En abril subió la guía a 12,50-12,75 USD e incorporó For The Record (~30 M de ventas en 2026) [5]. En julio (2T26) la volvió a subir a 12,95-13,20 USD con ingresos sin cambios: SaaS +21,7 %, reservas de SaaS y totales en máximo trimestral, nuevo valor anual de contratos SaaS +22 % y crecimiento orgánico unos 2 puntos por debajo del total [3, 8]. El discurso cambió hacia la recompra («prioridad mayor»; el 5,6 % del capital en el año) [3, 8]. Sobre la IA, el consejero delegado dijo no ver «ningún impacto» en el negocio principal, que las funciones de IA solo estarán en la versión en la nube y que los ingresos de IA serán relevantes en el 2S27-2028; no dio precios ni cifras de productividad de soporte («no estoy listo para publicarlas») [8]. Los analistas preguntaron por la IA, el ritmo de paso a la nube y los contratos estatales de vehículos [8].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Compra de NIC (2.090 M USD netos de caja, consolidada desde el 22-abr-2021): pagos digitales para administraciones; financiada con 600 M de convertibles y préstamos bancarios.).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El circulante es negativo de forma estructural: los ingresos diferidos (781 M a cierre de 2025) superan a clientes menos proveedores (464 M), así que crecer libera caja [1]. La deuda neta pasó de 1.032 M tras NIC (2021) a caja neta en 2024 (−147 M) y 2025 (−415 M, con los convertibles de 2026 aún vivos) [6]. En 2026 la empresa reapalancó un poco para recomprar: emitió 1.437,5 M, devolvió 600 M y recompró 755 M de acciones en el 1S26; a junio la deuda neta es de unos 422 M, menos de una vez el EBITDA [3, 4].</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2018-2025: FCF </w:t>
      </w:r>
      <w:r>
        <w:rPr>
          <w:b/>
          <w:bCs/>
        </w:rPr>
        <w:t xml:space="preserve">2.933</w:t>
      </w:r>
      <w:r>
        <w:t xml:space="preserve">, conversión </w:t>
      </w:r>
      <w:r>
        <w:rPr>
          <w:b/>
          <w:bCs/>
        </w:rPr>
        <w:t xml:space="preserve">188 %</w:t>
      </w:r>
      <w:r>
        <w:t xml:space="preserve"> del beneficio neto; adquisiciones 2.800, dividendos 0, recompras 368.</w:t>
      </w:r>
    </w:p>
    <w:p>
      <w:pPr>
        <w:spacing w:after="100"/>
      </w:pPr>
      <w:r>
        <w:t xml:space="preserve">La caja es mejor que el beneficio: el flujo operativo de 2025 (654 M) es el 207 % del beneficio neto porque la remuneración en acciones (151 M) y la amortización (138 M) no son salidas de caja y los clientes pagan por adelantado [1, 2]. La caja libre de la empresa (flujo operativo menos inmovilizado y software activado) fue de 621 M en 2025 (26,6 % de las ventas) y de 706 M en los 12 meses a junio de 2026; la guía 2026 es del 26-28 % [2, 3]. El capex más el software activado cae del 2,7 % de las ventas en 2021 al 1,4 % en 2025 porque ya no desarrolla en propio la nube (usa AWS) [1]. La caja se ha ido a pagar NIC (2.090 M en 2021) y a devolver su deuda (2022-2024), y desde 2025 a recompras (175 M en 2025 y 755 M en el 1S26) [1, 3]. La caja libre no descuenta la remuneración en acciones: restándola, la de 2025 baja a unos 470 M.</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control interno eficaz a 31-dic-2025)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Ernst &amp; Young audita las cuentas y el control interno sin salvedades [1]. No hay cambios de criterio contable relevantes. La remuneración en acciones es alta: 151 M en 2025 (6,5 % de las ventas y el 48 % del beneficio neto), y el 20 % de los empleados recibe acciones [1, 2]. El tipo impositivo GAAP depende del ejercicio de opciones (negativo en 2020-2021, 19,1 % en 2025), lo que hace volátil el BPA publicado. Los intangibles comprados suman 3.601 M a junio de 2026 (fondo de comercio 2.755 M e intangibles 846 M), el 62 % del activo; no ha habido deterioros [3]. El software activado es pequeño (16,8 M en 2025, frente a 212 M de I+D en gasto) [1]. Los ingresos de servicios profesionales llevan provisiones por contratos con dos administraciones estatales (10,7 M en 2025) y un litigio (9,7 M en el 4T25) [1,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elevada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6,5 % de las ventas; el BPA no GAAP de la empresa la excluye y la caja libre la suma, por eso la caja libre parece un 25 % mayor que el beneficio económico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GAAP volátil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Ventajas fiscales del ejercicio de opciones; normalizamos el BPA de la historia con un 23 %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Provisiones en contratos públicos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10,7 M en dos contratos estatales y 9,7 M por un litigio en 2025; pequeñas frente a 2.332 M de ventas [1, 2].</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7,0 % · </w:t>
      </w:r>
      <w:r>
        <w:rPr>
          <w:b/>
          <w:bCs/>
        </w:rPr>
        <w:t xml:space="preserve">WACC</w:t>
      </w:r>
      <w:r>
        <w:t xml:space="preserve">: 9,6 %.</w:t>
      </w:r>
    </w:p>
    <w:p>
      <w:pPr>
        <w:spacing w:after="100"/>
      </w:pPr>
      <w:r>
        <w:t xml:space="preserve">Con el capital invertido publicado, Tyler no cubre su coste de capital: ROIC del 8,9 % en 2025 frente a un WACC del 9,63 % (−0,7 puntos) [1]. Antes de comprar NIC el ROIC era del 11-12 %; la compra (2.090 M en 2021) lo hundió al 5,3-5,5 % en 2022-2023 y desde entonces sube con el margen. La razón es el fondo de comercio: de 3.264 M de capital invertido, 2.755 M son fondo de comercio de compras [1]. Sin él, el ROIC sería de ~57 % (289 M de NOPAT sobre ~510 M), que es la rentabilidad del negocio que ya tiene: el circulante es muy negativo porque los clientes pagan por adelantado. El ROIC incremental de 2018-2025 es del 7 %, por debajo del WACC: NIC aún no ha devuelto su coste. La rotación del capital (0,43 veces) es la que limita el ROIC, no el margen. Para el requisito de calidad decide el publicado: no lo cumple, aunque por poco y con tendencia al alza (si el margen sube como prevemos, el ROIC pasaría del WACC en 2026-2027).</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895,4 M USD e inversiones a corto 74,7 M y a largo 45,2 M a 30-jun-2026 (1.015 M en total) y una línea de crédito revolvente nueva de 1.000 M a cinco años, sin disponer [3, 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La única deuda son 1.437,5 M USD de bonos convertibles al 0,5 % con vencimiento el 15-jul-2031 (emitidos en mayo de 2026; precio de conversión 405,94 USD), con una opción comprada («capped call») que eleva el precio efectivo de conversión a 655,77 USD: no hay dilución económica hasta ese precio [4]. Con ellos se devolvieron en marzo los 600 M de convertibles de 2026 y se recompraron 1,03 M de acciones por 320,7 M [4]. Arrendamientos operativos de 46,3 M, que en US GAAP no sumamos a la deuda [3]. Ingresos diferidos de 816,9 M (el 97 % se reconoce en 12 meses) [1, 3]. Impuestos diferidos pasivos de 108,6 M [3]. Litigio contractual con un cliente estatal ya provisionado en 2025 [1].</w:t>
      </w:r>
    </w:p>
    <w:p>
      <w:pPr>
        <w:pStyle w:val="Heading1"/>
      </w:pPr>
      <w:r>
        <w:t xml:space="preserve">12. Asignación de capital</w:t>
      </w:r>
    </w:p>
    <w:p>
      <w:pPr>
        <w:pStyle w:val="Confianza"/>
        <w:spacing w:after="100"/>
      </w:pPr>
      <w:r>
        <w:t xml:space="preserve">Confianza: Media</w:t>
      </w:r>
    </w:p>
    <w:p>
      <w:pPr>
        <w:spacing w:after="100"/>
      </w:pPr>
      <w:r>
        <w:t xml:space="preserve">Tyler no reparte dividendo. Usa la caja en compras de software para el sector público, en recompras y, en 2022-2024, en devolver la deuda de NIC [1]. En febrero de 2026 el consejo aprobó un programa de recompra de 1.000 M y en julio otro de 1.500 M; a 29-jul-2026 quedaban 1.745 M autorizados [3]. En el 1S26 recompró 2,4 M de acciones por 761 M (el 5,6 % del capital) y en septiembre firmó un plan 10b5-1 de hasta 260 M hasta el 29-oct [3, 4, 10]. El director financiero dice que la recompra tiene ahora «prioridad mayor»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NIC Inc. (portales y pagos digitales para administraciones)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600 M de convertibles 2026 y préstamos bancarios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Hoy es el núcleo de Platform Technologies (629 M de ventas en 2025); el margen de ese segmento cae del 20,9 % de 2023 al 16,9 % de 2025 y perdió el contrato de pagos de Texas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Rapid Financial Solutions, ARInspect, US eSolutions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Pequeñas compras integradas en ES y PT; sin deterioros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MyGov, Emergency Networking, CloudGavel y Edulink</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SaaS para urbanismo, bomberos, órdenes judiciales electrónicas y escuelas; integradas en ES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 The Record (grabación y transcripción con IA en tribunales)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 tercera mayor compra; fondo de comercio de 162,6 M e intangibles de 114,6 M; ~30 M de ventas en 2026 [4, 5].</w:t>
            </w:r>
          </w:p>
        </w:tc>
      </w:tr>
    </w:tbl>
    <w:p>
      <w:pPr>
        <w:spacing w:after="160" w:before="0"/>
      </w:pPr>
    </w:p>
    <w:p>
      <w:pPr>
        <w:spacing w:after="100"/>
      </w:pPr>
      <w:r>
        <w:t xml:space="preserve">Tyler ha sido un buen operador y un comprador prudente salvo una vez. En 2018-2025 generó 2.933 M de caja libre (conversión del 188 % del beneficio, por los cobros anticipados y los pagos en acciones), dedicó 2.800 M a compras (2.090 M en NIC) y solo 368 M a recompras, sin dividendo [1]. NIC le dio la plataforma de pagos digitales, pero su margen baja (Platform Technologies del 20,9 % al 16,9 % en 2023-2025) y perdió Texas. En 2026 la caja va a recompras: 761 M en el 1S26 (5,6 % del capital) a ~320 USD de media, con 1.745 M aún autorizados y un plan 10b5-1 de 260 M hasta el 29-oct [3, 10]. Es la mejor decisión de capital reciente si el precio sigue por debajo del valor; a nuestro DCF, recomprar a 320-350 USD no crea valor. Los pagos en acciones son altos (151 M en 2025, el 6,5 % de las ventas)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 Lynn Moore, Jr.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del consejo, 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Tyler desde 1998 (director jurídico, director de operaciones); consejero delegado desde 2019 y presidente del consejo desde mayo de 2026. Ha dirigido la compra de NIC y el paso a la nube: SaaS de 528 M en 2023 a 778 M en 2025 y caja libre de 327 M en 2023 a 621 M en 2025 [2,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K. Miller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(EVP,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2008; financió NIC y devolvió su deuda en tres años; dirige ahora la recompra y emitió los convertibles de 2031 al 0,5 % [3,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Jeffrey D. Puckett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Tyler desde 2007; dirige la implantación y el paso a la nube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Abigail M. Diaz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de administración y secretaria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jurídica y de gobierno; patrocina el comité de riesgos de IA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Glenn A. Carter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Fundador de DataProse (facturación para el sector público); preside Nombramientos y Gobierno [20].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1.830-1.870 M; BPA no GAAP 7,41-7,58 USD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1.850 M; BPA no GAAP 7,50 USD [23]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1.935-1.970 M; BPA no GAAP 7,50-7,65 USD [23]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1.952 M; BPA no GAAP 7,80 USD [24]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2.095-2.135 M; BPA no GAAP 8,90-9,10 USD; caja libre 17-19 % [24]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2.138 M; BPA no GAAP 9,55 USD; caja libre 26,9 %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2.300-2.340 M; BPA no GAAP 10,90-11,15 USD; caja libre 24-26 %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2.332 M; BPA no GAAP 11,31 USD; caja libre 26,6 %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2.500-2.550 M; BPA no GAAP 12,40-12,65 USD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ingresos 2.535-2.575 M (con For The Record) y BPA 12,95-13,20 USD en julio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cumple la guía con regularidad: ingresos dentro del rango y BPA no GAAP en el máximo o por encima los cuatro últimos años, y la caja libre muy por encima en 2024 [2, 7, 9, 23, 24]. El equipo es estable y de la casa: Moore lleva 28 años en Tyler y Miller 18 como director financiero [20]. La sucesión de John Marr, que deja el consejo en mayo de 2026, concentra en Moore la presidencia y la dirección; el consejo lo compensa con un consejero independiente coordinador [20]. Los directivos vendieron 10,7 M USD de acciones en 12 meses, la mayor parte en agosto de 2026 a 356-373 USD; dos compraron en febrero tras la caída [22].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 Lynn Moore, Jr.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Glenn A. Carter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(presidente);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Margot L. Carter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Brenda A. Cline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Ronnie D. Hawkins, Jr.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Cecil W. Jones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de asignar</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M. Pope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Andrew D. Teed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88 %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control interno eficaz a 31-dic-2025)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0,70 / ventas 9,89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de julio de 2025 [20]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de febrero de 2025 [20]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Consejo y directivos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451.051 acciones incluidas opciones [20]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48,15 M emitidas frente a 40,95 M en circulación a jul-2026 [4]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Brian K. Miller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Brian K. Miller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Abigail M. Diaz (directora de administración)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Andrew D. Teed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Jeffrey D. Puckett (director de operaciones)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Glenn A. Carter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Jeffrey D. Puckett (director de operaciones)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 Lynn Moore, Jr.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0,68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8,86 M USD en 2025: 0,68 M de sueldo y 8,17 M en acciones; el variable anual también se paga en acciones con objetivos [20]. Las acciones a largo plazo dependen a partes iguales del crecimiento de los ingresos recurrentes a tres años y del margen operativo no GAAP ajustado (que excluye la remuneración en acciones y la amortización de lo comprado) [20]. No hay métrica de rentabilidad sobre el capital ni de rendimiento para el accionista. La relación con el empleado medio es de 86 veces [20]. El voto consultivo de 2026 obtuvo un 97,0 % a favor y un 2,7 % en contra (99 % en 2025) [20, 21].</w:t>
      </w:r>
    </w:p>
    <w:p>
      <w:pPr>
        <w:pStyle w:val="Heading2"/>
      </w:pPr>
      <w:r>
        <w:t xml:space="preserve">Operaciones vinculadas, estructura de control y defensas</w:t>
      </w:r>
    </w:p>
    <w:p>
      <w:pPr>
        <w:spacing w:after="100"/>
      </w:pPr>
      <w:r>
        <w:t xml:space="preserve">No hay accionista de control: los mayores son gestoras (Vanguard 13,1 %, BlackRock 9,6 %) [20]. Una acción, una voto; consejeros elegidos cada año por mayoría; en 2025 la junta aprobó la mayoría simple para fusiones [20]. Desde mayo de 2026 Moore es a la vez presidente y consejero delegado; lo equilibra un consejero coordinador independiente. En la junta de 2026 Glenn Carter (17 % en contra) y Moore (12,5 % en contra) tuvieron los votos más bajos [21]. La empresa empleó en 2025 a una hija de John Marr (algo más de 120.000 USD), operación vinculada menor [20].</w:t>
      </w:r>
    </w:p>
    <w:p>
      <w:pPr>
        <w:pStyle w:val="Heading2"/>
      </w:pPr>
      <w:r>
        <w:t xml:space="preserve">Señales de alerta</w:t>
      </w:r>
    </w:p>
    <w:p>
      <w:pPr>
        <w:pStyle w:val="ListParagraph"/>
        <w:numPr>
          <w:ilvl w:val="0"/>
          <w:numId w:val="2"/>
        </w:numPr>
        <w:spacing w:after="60"/>
      </w:pPr>
      <w:r>
        <w:t xml:space="preserve">Presidencia y dirección en la misma persona desde mayo de 2026, tras la salida de John Marr [20].</w:t>
      </w:r>
    </w:p>
    <w:p>
      <w:pPr>
        <w:pStyle w:val="ListParagraph"/>
        <w:numPr>
          <w:ilvl w:val="0"/>
          <w:numId w:val="2"/>
        </w:numPr>
        <w:spacing w:after="60"/>
      </w:pPr>
      <w:r>
        <w:t xml:space="preserve">Ventas de directivos de 10,7 M USD en 12 meses, ninguna con plan 10b5-1; las mayores en agosto de 2026, mientras la empresa recompraba [22].</w:t>
      </w:r>
    </w:p>
    <w:p>
      <w:pPr>
        <w:pStyle w:val="ListParagraph"/>
        <w:numPr>
          <w:ilvl w:val="0"/>
          <w:numId w:val="2"/>
        </w:numPr>
        <w:spacing w:after="60"/>
      </w:pPr>
      <w:r>
        <w:t xml:space="preserve">Incentivo a largo plazo ligado a ingresos y a un margen que excluye la remuneración en acciones y la amortización de lo comprado [20].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(29-jul-2026): ingresos de 2.535-2.575 M USD (2.500-2.550 en febrero, antes de For The Record), BPA no GAAP de 12,95-13,20 USD (12,40-12,65 en febrero y 12,50-12,75 en abril), margen de caja libre del 26-28 %, I+D de 245-250 M y capex de 18-20 M [3]. Objetivos 2030 (día del inversor de junio de 2026): ingresos recurrentes de 3.300-3.400 M, crecimiento orgánico de los recurrentes del 10-12 % anual, más del 90 % de ingresos recurrentes, margen operativo no GAAP de mediados del 30 % y margen de caja libre de algo más del 30 %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23 analistas (EBITDA y EBIT ajustados sin pagos en acciones; BPA GAAP) [26]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425,45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Revisiones de estimaciones</w:t>
      </w:r>
    </w:p>
    <w:p>
      <w:pPr>
        <w:spacing w:after="100"/>
      </w:pPr>
      <w:r>
        <w:t xml:space="preserve">Solo MarketScreener da estimaciones completas (23 analistas, objetivo medio 425,45 USD) [26]. Su EBITDA y su EBIT son los ajustados de la empresa (650,4 y 606,7 M en 2025, sin la remuneración en acciones ni la amortización de lo comprado) y su BPA es GAAP (7,20 en 2025). En los últimos tres meses los objetivos se movieron en las dos direcciones: Goldman Sachs bajó de 435 a 395 USD el 1-ago y Wells Fargo subió a sobreponderar con objetivo de 400 (desde 335) el 12-oct [29]. El BPA no GAAP de 2026 subió con la guía de julio (de 12,50-12,75 a 12,95-13,20 USD), por encima del consenso de entonces (12,89) [3, 29].</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Tyler ha perdido un 31,5 % en un año frente al +17,5 % del S&amp;P 500 y el −2,3 % del ETF de software IGV, y un 7,0 % anual en cinco años [25]. La caída se concentró entre finales de enero y mediados de febrero de 2026: −9,3 % el 29-ene, −8,5 % el 3-feb (venta masiva del software por los complementos de IA de Anthropic) y −15,4 % el 12-feb, día de la conferencia del 4T25, con una guía de transacciones frenada por la pérdida de Texas [25]. El mínimo fue de 270,71 USD el 22-jun-2026; la recompra y la guía de julio la llevaron a ~373 USD en agosto y hoy cotiza a 346,90. La beta mensual de cinco años es 0,79 (semanal 1,01; semanal de dos años 0,50) [25].</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Tyler cotiza a 29,1 veces el EBITDA de los últimos 12 meses y 48,0 veces el beneficio, frente a una media de 44,3x y 82,8x en sus cierres de 2018-2025 sin 2020-2021: un descuento del 34-42 % y el mínimo de la serie. Es un cambio de régimen: la tasa libre está en el 5,2 % y, desde febrero de 2026, el mercado aplica al software el descuento por la IA. Aun así, Tyler sigue siendo de lo más caro del software: el múltiplo histórico era el de una empresa de crecimiento del 14 % con tipos al cero. Excluimos 2020 y 2021 por la compra de NIC y la burbuja del software en la pandemia.</w:t>
      </w:r>
    </w:p>
    <w:p>
      <w:pPr>
        <w:pStyle w:val="Heading1"/>
      </w:pPr>
      <w:r>
        <w:t xml:space="preserve">18. Comparables cotizados</w:t>
      </w:r>
    </w:p>
    <w:p>
      <w:pPr>
        <w:pStyle w:val="Confianza"/>
        <w:spacing w:after="100"/>
      </w:pPr>
      <w:r>
        <w:t xml:space="preserve">Confianza: Media</w:t>
      </w:r>
    </w:p>
    <w:p>
      <w:pPr>
        <w:spacing w:after="100"/>
      </w:pPr>
      <w:r>
        <w:t xml:space="preserve">Nueve compañías: los comparables directos que pide el análisis (Roper, Constellation Software y Oracle, que compiten con Tyler en ayuntamientos, escuelas y ERP de estados; CentralSquare no cotiza) y software vertical o de aplicaciones en la nube cotizado en EE. UU. y Canadá (Veeva, Bentley, Descartes, Intuit, Salesforce y ServiceNow) [17, 32, 33, 34]. Las cifras de Roper, Veeva y ServiceNow son de los informes del repo del 14-oct; las de Constellation, Bentley, Descartes e Intuit, de los del 10-oct; la de Salesforce, del 12-oct (los precios se han movido poco); las de Oracle, de MarketScreener a 14-oct, ponderando por meses su ejercicio a mayo (estimación propia). Oracle crece un 47 % por la nube de IA y distorsiona el crecimiento; la dejamos por ser competidor directo. El PER mezcla bases (GAAP y ajustado).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Tyler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Roper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Constellation Software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44.603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409.600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Veeva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Bentley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Descartes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81.561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Salesforce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ServiceNow</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144.847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 / 13,0x / 15,9x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232,65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 / 17,2x / 22,9x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270,78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 / 26,6x / 30,4x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304,05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 / 7,0x / 8,6x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265,16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400,80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495,74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(7 comparables): múltiplo = 15,9 + -0,15 × crecimiento; R² = 0,30. Para el crecimiento esperado de la empresa (10,2 %), el múltiplo ajustado es 14,4x y el valor por acción, 210,43.</w:t>
      </w:r>
    </w:p>
    <w:p>
      <w:pPr>
        <w:spacing w:after="100"/>
      </w:pPr>
      <w:r>
        <w:t xml:space="preserve">Tyler es de las más caras del grupo: 23,3 veces el EBITDA de los próximos 12 meses y 34,7 veces el beneficio, frente a medianas de ~14,6x y ~28x, con un margen EBITDA contable (20,8 %) de los más bajos y un crecimiento (10,2 %) en la media. Solo Veeva (38,8x LTM) y Constellation (34,8x de PER) se le acercan, con más margen o más ROIC. La prima se explica por la visibilidad (contratos públicos largos, 87 % recurrente) y porque el mercado la ve como el software «más seguro» frente a la IA; Roper, su comparable más directo, cotiza a 13 veces el EBITDA. El PER de los comparables mezcla bases (GAAP y ajustado) y lo usamos como control con un 20 % del peso.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Weave Communications (software vertical para clínicas)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Francisco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 del 34 %; EV/ventas de 12 meses [31].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MeridianLink (software vertical de préstamos)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Centerbridge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ajustado de 12 meses [30].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NCR Digital Banking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Veritas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Centerview [30].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Computer Services, Inc. (software para bancos)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Centerbridge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Centerview [30].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 Knight (software hipotecario)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inicial; Centerview [30].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Bottomline Technologies (software de pagos)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Centerview [30].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 Inc. (portales y pagos para administraciones)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Tyler Technologies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 neto de caja; sin múltiplo publicado en las fuentes leídas [9].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15,8x (15,1x – 21,4x)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183,65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175,06 – 252,37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compras de software vertical por capital riesgo se han pagado a 15-21 veces el EBITDA ajustado (mediana de 15,8x) [30, 31]; Tyler vale hoy 29,1 veces su EBITDA contable, muy por encima. NIC costó 2.090 M en 2021, unas 25 veces su EBITDA. Con 14.292 M de capitalización y sin accionista de control, una opa es improbable y no da soporte al precio.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Crecimiento orgánico sin compras nuevas: 9,6 % en 2026 (punto medio de la guía de 2.535-2.575 M, con ~30 M de For The Record [3]), 9 % en 2027-2028 (SaaS +18-20 % por el paso a la nube y transacciones +8-10 % pese a perder Texas; el mantenimiento cae ~4 % al año [2]) y bajada gradual al 5 % en 2033. El objetivo de la empresa para 2030 (recurrentes +10-12 % anual [13]) es más alto: no lo damos por hecho porque el paso a la nube es un salto de precio que se agota. El mercado del software para administraciones públicas crece un 6 % previsto [11].</w:t>
      </w:r>
    </w:p>
    <w:p>
      <w:pPr>
        <w:keepNext/>
        <w:spacing w:after="100"/>
      </w:pPr>
      <w:r>
        <w:rPr>
          <w:b/>
          <w:bCs/>
        </w:rPr>
        <w:t xml:space="preserve">Márgenes.</w:t>
      </w:r>
    </w:p>
    <w:p>
      <w:pPr>
        <w:spacing w:after="100"/>
      </w:pPr>
      <w:r>
        <w:t xml:space="preserve">Margen EBITDA contable (con los pagos en acciones, 6,5 % de las ventas, como gasto) del 22,2 % en 2026 (21,3 % en 2025 y 20,9 % en el 1S26 [3, 5]) que sube hasta el 30 % en 2033. Es en línea con el consenso a 2028 (EBITDA ajustado de 952 M, el 31,1 %, que equivale a ~24,6 % contable [26]) y por debajo del objetivo de la empresa para 2030 (margen operativo no GAAP «de mediados del 30 %», ~30 % contable de EBITDA ya en 2030 [13]). La mejora sale de que la nube madura: el margen bruto de SaaS sube a medida que los centros de datos propios se apagan y los clientes migrados dejan de pagar el doble coste.</w:t>
      </w:r>
    </w:p>
    <w:p>
      <w:pPr>
        <w:keepNext/>
        <w:spacing w:after="100"/>
      </w:pPr>
      <w:r>
        <w:rPr>
          <w:b/>
          <w:bCs/>
        </w:rPr>
        <w:t xml:space="preserve">Inversión y circulante.</w:t>
      </w:r>
    </w:p>
    <w:p>
      <w:pPr>
        <w:spacing w:after="100"/>
      </w:pPr>
      <w:r>
        <w:t xml:space="preserve">Capex más software activado del 1,0 % de las ventas en 2026 (guía de 18-20 M de capex [26]) que sube al 2 %, porque Tyler pasa los centros de datos a AWS y apenas activa desarrollo. La amortización (5,8 % de las ventas) es sobre todo de los intangibles de NIC y se agota hacia 2033. El circulante es negativo (−13 % de las ventas: los clientes pagan por adelantado, 802 M de ingresos diferidos en 2025 [1]) y libera caja al crecer.</w:t>
      </w:r>
    </w:p>
    <w:p>
      <w:pPr>
        <w:keepNext/>
        <w:spacing w:after="100"/>
      </w:pPr>
      <w:r>
        <w:rPr>
          <w:b/>
          <w:bCs/>
        </w:rPr>
        <w:t xml:space="preserve">Coste del capital.</w:t>
      </w:r>
    </w:p>
    <w:p>
      <w:pPr>
        <w:spacing w:after="100"/>
      </w:pPr>
      <w:r>
        <w:t xml:space="preserve">Tasa libre del 5,21 % (bono del Tesoro a 10 años, 13-oct-2026 [27]), beta de 0,90 (ajustada de 0,86 con las betas de 0,79 mensual y 1,01 semanal a cinco años [25]; subimos algo por el riesgo de la IA, que ya ha dado tres caídas de más del 8 % en un día en 2026), prima de mercado del 5,5 %. Coste de la deuda del 5,5 % antes de impuestos (lo que pagaría hoy; el cupón de los convertibles es del 0,5 % [4]) y peso del 9 % a valor de mercado. WACC del 9,63 %.</w:t>
      </w:r>
    </w:p>
    <w:p>
      <w:pPr>
        <w:keepNext/>
        <w:spacing w:after="100"/>
      </w:pPr>
      <w:r>
        <w:rPr>
          <w:b/>
          <w:bCs/>
        </w:rPr>
        <w:t xml:space="preserve">Valor terminal.</w:t>
      </w:r>
    </w:p>
    <w:p>
      <w:pPr>
        <w:spacing w:after="100"/>
      </w:pPr>
      <w:r>
        <w:t xml:space="preserve">Crecimiento a perpetuidad del 3,0 %: inflación de ~2,5 % y algo de crecimiento real del gasto público en tecnología, por debajo de la tasa libre menos medio punto. El valor terminal pesa un 67 % del valor empresa.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262,82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249,98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319,39</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 M (-15 %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2033e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 (hoy: 8,2 %)</w:t>
            </w:r>
          </w:p>
        </w:tc>
      </w:tr>
    </w:tbl>
    <w:p>
      <w:pPr>
        <w:spacing w:after="160" w:before="0"/>
      </w:pPr>
    </w:p>
    <w:p>
      <w:pPr>
        <w:spacing w:after="100"/>
      </w:pPr>
      <w:r>
        <w:t xml:space="preserve">La proyección apenas necesita inversión neta de la amortización (reinversión acumulada de -756 M, con un capex bruto medio del 1,7 % de las ventas). En un negocio de activos ligeros, el crecimiento medio del 7,8 % tiene que salir de subir precios y de ganar volumen sin capital nuevo, y la prueba es el poder de precios y la cuota (9,4 % del mercado en 2033e, frente al 8,2 %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(clientes nuevos y módulos) 4,5 puntos, precio 3,5 (subidas de contrato ligadas a la inflación y salto de precio al pasar a SaaS) y 1,6 de For The Record y las compras de 2025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SaaS +18-20 % (paso a la nube de la base instalada) y transacciones +8 % pese a perder el contrato de pagos de Texas; el mantenimiento cae un 5-7 % (guía de 2026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 el ARR creció un 8,2 % en el 2T26 y la cartera de contratos a 12 meses lo respalda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Desaceleración: cada año queda menos base instalada por pasar a la nube (446 M de mantenimiento en 2025 [2]) y el salto de precio de la migración se agota.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del 8 %, por debajo del 10-12 % que la empresa espera de los ingresos recurrentes [13].</w:t>
            </w:r>
          </w:p>
        </w:tc>
      </w:tr>
    </w:tbl>
    <w:p>
      <w:pPr>
        <w:spacing w:after="160" w:before="0"/>
      </w:pPr>
    </w:p>
    <w:p>
      <w:pPr>
        <w:spacing w:after="100"/>
      </w:pPr>
      <w:r>
        <w:t xml:space="preserve">Tyler apenas necesita capital para crecer: capex del 1-2 % de las ventas y circulante negativo, así que la reinversión es negativa (−756 M acumulados) y la prueba es el poder de precios y la cuota. La cuota implícita en 2033e es del 9,4 % frente al 8,2 % de hoy [11], un aumento coherente con quince años ganando concursos frente a soluciones locales y ERP genéricos. Los costes de cambio son muy altos (implantaciones de 1-3 años, contratos de 5-10 años, retención bruta del 98 %) [1]. El «en parte» viene de dos cosas: buena parte del crecimiento de 2026-2029 es el salto de precio de pasar a la nube, que se agota, y la IA puede bajar el coste de las alternativas en las funciones de atención al ciudadano. Ninguna prueba falla, así que no rebajamos el base.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12,0 % (base: 7,5 %)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38,8 % (base: 30,0 %)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 (WACC: 9,6 %)</w:t>
            </w:r>
          </w:p>
        </w:tc>
      </w:tr>
    </w:tbl>
    <w:p>
      <w:pPr>
        <w:spacing w:after="160" w:before="0"/>
      </w:pPr>
    </w:p>
    <w:p>
      <w:pPr>
        <w:spacing w:after="100"/>
      </w:pPr>
      <w:r>
        <w:t xml:space="preserve">El DCF da 262,82 USD por acción (−24,2 % sobre 346,90), con un 67 % del valor en el terminal. El DCF inverso dice que el precio descuenta un crecimiento de las ventas del 12,0 % anual en 2027-2033 (nuestro base: 7,5 %) o, con nuestro crecimiento, un margen EBITDA final del 38,8 % en vez del 30 %; la rentabilidad implícita es del 8,1 % frente a un WACC del 9,63 %. Es una expectativa exigente: el 12 % es el crecimiento de 2018-2025 con la compra de NIC dentro (el orgánico fue del 7-9 %) y por encima del objetivo de la empresa para los recurrentes (10-12 %). Con la prima implícita del mercado (4,2 %, WACC del 8,6 %) el DCF sube a 316,96, todavía un 9 % por debajo del precio. La caída de un 34 % en un año ha llevado a Tyler de «carísima» a «cara»: para que el precio sea justo hay que creer el plan de 2030 completo (margen y crecimiento) y una rentabilidad exigida por debajo del 8,5 %.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abarata las alternativas en atención al ciudadano, permisos y pagos; los grandes estados y condados negocian a la baja al renovar y el paso a la nube se frena por presupuestos públicos más ajustados. El crecimiento baja al 4-6 % y el margen se queda 3 puntos por debajo del base. El mercado lo valora como software «amenazado» (Roper cotiza a 18 veces beneficios).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262,82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nube sigue: sigue el paso a SaaS de la base instalada, las transacciones crecen por encima del 8 % y el margen sube con la escala y el apagado de los centros de datos propios. La IA se vende como módulos (transcripción en tribunales, asistentes) y no quita clientes.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309,66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amplía el mercado: Tyler la cobra como módulo sobre sus datos de registro, el paso a la nube se acelera y el margen alcanza el objetivo de 2030 un año antes.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346,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244,32 USD (-29,6 %).</w:t>
      </w:r>
    </w:p>
    <w:p>
      <w:pPr>
        <w:spacing w:after="100"/>
      </w:pPr>
      <w:r>
        <w:t xml:space="preserve">Los tres escenarios del DCF quedan por debajo del precio: el alcista (309,66) pierde un 10,7 % y el bajista (169,91) un 51,0 %, con un 30 % de probabilidad para el bajista por el riesgo de la IA y de los presupuestos públicos. Con nuestro WACC el precio descuenta algo mejor que el alcista; con la prima del mercado, entre el base y el alcista. La asimetría a 12 meses es otra cosa (4,43 veces con la regla v2): a un año manda el BPA, no el DCF.</w:t>
      </w:r>
    </w:p>
    <w:p>
      <w:pPr>
        <w:pStyle w:val="Heading1"/>
      </w:pPr>
      <w:r>
        <w:t xml:space="preserve">22. Suma de partes</w:t>
      </w:r>
    </w:p>
    <w:p>
      <w:pPr>
        <w:pStyle w:val="Confianza"/>
        <w:spacing w:after="100"/>
      </w:pPr>
      <w:r>
        <w:t xml:space="preserve">Confianza: Media</w:t>
      </w:r>
    </w:p>
    <w:p>
      <w:pPr>
        <w:spacing w:after="100"/>
      </w:pPr>
      <w:r>
        <w:t xml:space="preserve">No la usamos: los dos segmentos (Enterprise Software y Platform Technologies) comparten clientes, contratos y plataforma de pagos, y el mercado no da múltiplos separados para el software de registro y para las comisiones de pagos digitales.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346,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524,43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266,32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304,05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305,11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309,66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316,96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348,63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248,39 USD (-28,4 % sobre 346,90).</w:t>
      </w:r>
    </w:p>
    <w:p>
      <w:pPr>
        <w:spacing w:after="100"/>
      </w:pPr>
      <w:r>
        <w:t xml:space="preserve">Pesamos el DCF y los escenarios (40 % cada uno) porque Tyler es un negocio de ingresos recurrentes (87 % de las ventas [3]) y caja previsible, y lo que decide es cuánto dura el crecimiento de dos dígitos de la nube. Los comparables (20 %) son un grupo de software de calidad con bases de BPA mezcladas; no usamos transacciones (capital riesgo, EBITDA ajustado y prima de control). Todos los métodos quedan por debajo del precio: DCF 262,82, comparables 227,65, escenarios 244,32 y transacciones 183,65; solo el DCF con la prima implícita del mercado (4,2 %) se acerca (316,96). La conclusión es robusta al método: con el WACC del 9,63 % Tyler está cara aunque haya caído un 34 % en un año; lo que la sostiene es que el mercado pide hoy menos rentabilidad que nuestro coste de capital y que el BPA crece un 15-20 % anual por el margen.</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286,94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418,05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612,48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+76,6 %</w:t>
            </w:r>
          </w:p>
        </w:tc>
      </w:tr>
    </w:tbl>
    <w:p>
      <w:pPr>
        <w:spacing w:after="160" w:before="0"/>
      </w:pPr>
    </w:p>
    <w:p>
      <w:pPr>
        <w:spacing w:after="100"/>
      </w:pPr>
      <w:r>
        <w:rPr>
          <w:b/>
          <w:bCs/>
        </w:rPr>
        <w:t xml:space="preserve">Objetivo a 12 meses (ponderado):</w:t>
      </w:r>
      <w:r>
        <w:t xml:space="preserve"> 417,60 USD · rentabilidad +20,4 % (base +20,5 %) · señal Mantener.</w:t>
      </w:r>
    </w:p>
    <w:p>
      <w:pPr>
        <w:spacing w:after="100"/>
      </w:pPr>
      <w:r>
        <w:t xml:space="preserve">Para comparar, con la regla v2 (historia al cierre, mismo precio): 30,3x / 35,7x / 46,4x, 20,4 % Mantener; con el tope anterior del base (×1,3, 14-oct mediodía): 56,4 % Mantener; con la v3 sin el selector (tope ×1,1): 32,4 % Mantener. Decide la v2, elegida por el selector de método (desrateada: la mediana adelantada (80,4x) es 2,3 veces el PER de hoy (35,7x); la historia es de otro régimen y decide la v2; METODO-VIGENTE.md).</w:t>
      </w:r>
    </w:p>
    <w:p>
      <w:pPr>
        <w:keepNext/>
        <w:spacing w:after="100"/>
      </w:pPr>
      <w:r>
        <w:rPr>
          <w:b/>
          <w:bCs/>
        </w:rPr>
        <w:t xml:space="preserve">Frente al consenso (solo contraste).</w:t>
      </w:r>
    </w:p>
    <w:p>
      <w:pPr>
        <w:spacing w:after="100"/>
      </w:pPr>
      <w:r>
        <w:t xml:space="preserve">Nuestras ventas y nuestro EBITDA contable de 2026-2028 coinciden con el consenso (diferencias de −0,8 % a +1,2 %) [26]. El BPA no: nuestro 2027e (9,71 USD) queda un 6 % por debajo del consenso GAAP (10,35) y el de 2028e (11,71) igual que el suyo (11,66), porque normalizamos el impuesto al 23 % (el consenso usa el tipo efectivo, más bajo por las deducciones de los pagos en acciones) y no damos recompras más allá de 41,0 M de acciones. Nuestro precio base a 12 meses (418,05) queda un 1,7 % por debajo del objetivo medio de 23 analistas (425,45) [26]; Wells Fargo (400) y Goldman Sachs (395) están algo por debajo [29].</w:t>
      </w:r>
    </w:p>
    <w:p>
      <w:pPr>
        <w:keepNext/>
        <w:spacing w:after="100"/>
      </w:pPr>
      <w:r>
        <w:rPr>
          <w:b/>
          <w:bCs/>
        </w:rPr>
        <w:t xml:space="preserve">Del valor intrínseco al objetivo a 12 meses.</w:t>
      </w:r>
    </w:p>
    <w:p>
      <w:pPr>
        <w:spacing w:after="100"/>
      </w:pPr>
      <w:r>
        <w:t xml:space="preserve">Decide la v2: la mediana del PER adelantado (80,4x) es 2,3 veces el de hoy (35,7x), así que la historia es de otro régimen (tipos al cero y software sin la amenaza de la IA) y el selector no deja que la v3 suponga una vuelta a ella. La v2 da un objetivo de 417,60 USD (+20,4 % ponderado, +20,5 % en el base) solo por el crecimiento del BPA, con el PER de hoy; la v3 daría 459,23 (+32,4 %). Ni una ni otra llegan a Comprar porque el valor intrínseco (248,39) está por debajo del precio: el objetivo a 12 meses supone que el mercado sigue pagando 35,7 veces un BPA que crece un 20 % anual, mientras que el DCF, con un WACC del 9,63 %, dice que ese múltiplo es alto para un crecimiento de las ventas del 7-9 %. El catalizador con fecha son los resultados del 3T26 el 28-oct.</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(tras el cierre) y guía 2026 actualizada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SaaS, ARR, margen y acciones recompradas con el plan de 260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tras perder Texas; un crecimiento guiado ≥ 9 % y margen al alza sostendrían el múltiplo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Uso de los 1.745 M de recompra restantes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un 12 % del capital a estos precios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Presupuestos estatales y locales del año fiscal 2027-2028 (fin de los fondos federales de la pandemia)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Ritmo de los contratos nuevos y de las migraciones a la nube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Lanzamientos de agentes de IA de los grandes modelos para administraciones públicas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 caída del múltiplo como la de febrero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abarata las alternativas (desarrollo propio de los grandes gobiernos, competidores nativos en IA) y presiona precios en atención al ciudadano, permisos y pagos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 / 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Sistemas de registro con requisitos legales y de certificación, contratos de 5-10 años, retención bruta del 98 %, datos de tribunales y catastro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SaaS &lt; 15 % o renovaciones por debajo del 97 %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el precio descuenta un crecimiento del 12 % anual hasta 2033</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 (DCF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que crece un 15-20 % anual por el margen; recompras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2027 con crecimiento &lt; 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contratos estatales de pagos (Texas en 2026) y presión en comisiones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3.000 clientes de pagos locales; contratos nuevos de NIC</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Transacciones creciendo &lt;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Presupuestos públicos: fin de los fondos federales de la pandemia y recortes en estados y condados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 obligatorio (tribunales, impuestos, seguridad), ingresos recurrentes del 87 %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la contratación nueva (bookings)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Implantaciones fallidas con publicidad negativa (precedentes en tribunales de varios condados)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 / reputacional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cientos de implantaciones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Demandas o cancelaciones de contratos estatales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 en acciones alta (6,5 % de las ventas) que diluye si la recompra se frena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−1 % anual de BPA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de 761 M en el 1S26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diluidas que suben</w:t>
            </w:r>
          </w:p>
        </w:tc>
      </w:tr>
    </w:tbl>
    <w:p>
      <w:pPr>
        <w:spacing w:after="160" w:before="0"/>
      </w:pPr>
    </w:p>
    <w:p>
      <w:pPr>
        <w:pStyle w:val="Heading2"/>
      </w:pPr>
      <w:r>
        <w:t xml:space="preserve">Pre-mortem</w:t>
      </w:r>
    </w:p>
    <w:p>
      <w:pPr>
        <w:spacing w:after="100"/>
      </w:pPr>
      <w:r>
        <w:t xml:space="preserve">Octubre de 2029: Tyler vale un 50 % menos. En 2027 los grandes modelos de IA lanzaron agentes certificados para la atención al ciudadano, los permisos de obra y la gestión de expedientes, y los estados más grandes empezaron a construir sus propios sistemas con integradores a una fracción del coste. Tyler no perdió los tribunales ni la contabilidad pública, pero las renovaciones de los módulos de atención y pagos se hicieron con descuentos del 20-30 %, el contrato de Texas no fue el único que se perdió y, con los presupuestos locales ajustados tras el fin de los fondos de la pandemia, el ritmo de paso a la nube cayó a la mitad. El crecimiento bajó al 4 %, el margen no pasó del 25 % y el mercado lo valoró a 25 veces beneficios. Las señales tempranas habrían sido el crecimiento de SaaS por debajo del 15 % y una guía de 2027 por debajo del 8 %.</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Tyler es la ciberseguridad y la privacidad: guarda datos judiciales, policiales y fiscales de millones de ciudadanos, y un incidente tendría coste legal, de reputación y de contratos [1]. Tiene un equipo propio de seguridad, pruebas de intrusión y seguros cibernéticos, y la comisión de auditoría supervisa desde 2025 los riesgos de la IA [1]. El segundo asunto es el capital humano: rotación voluntaria del 7 % y antigüedad media de ocho años [1].</w:t>
      </w:r>
    </w:p>
    <w:p>
      <w:pPr>
        <w:pStyle w:val="Heading2"/>
      </w:pPr>
      <w:r>
        <w:t xml:space="preserve">Controversias</w:t>
      </w:r>
    </w:p>
    <w:p>
      <w:pPr>
        <w:spacing w:after="100"/>
      </w:pPr>
      <w:r>
        <w:t xml:space="preserve">En 2020 sufrió un ataque de ransomware en su red interna sin afectar a los sistemas de clientes alojados [1]. Hay un litigio contractual con un cliente estatal desde 2022, provisionado en 2025 (9,7 M) [1]. No hemos encontrado sanciones.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de SaaS y mantenimiento viene de sistemas de registro (tribunales, contabilidad, catastro) y qué parte de atención al ciudadano y permisos?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parte expuesta a la IA; decide entre el base y 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ingresos dan ya los productos de IA (For The Record, asistentes) y con qué precio sobre el producto base?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cifras, la tesis de que la IA amplía el mercado es una afirmación.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Nube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porcentaje de la base instalada falta por pasar a SaaS y con qué salto de precio medio?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cuánto le queda al motor de crecimiento de 2026-2030.</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otros contratos estatales de pagos vencen en 2027-2028 y cuál es su peso en las transacciones?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Texas restó ~5 puntos al crecimiento de las transacciones.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qué precio deja de tener sentido la recompra frente a las compras, y qué harán con los convertibles de 2031 (precio de conversión de 405,94)?</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recompra es la palanca del BPA; los convertibles diluyen por encima de ese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el variable a largo plazo no usa el ROIC, cuando el publicado está por debajo del coste de capital desde 2021?</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compra de NIC aún no ha devuelto su coste.</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($TYL)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Mensajes mayoritariamente alcistas y técnicos («suelo», «hombro-cabeza-hombro invertido», prueba de la media de 200 sesiones); varios recién llegados ven a Tyler como «el software más seguro en la era de la IA» y comentan la subida de Wells Fargo [29].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artículo de julio sostiene que la IA mata el software «pero no este»: costes de cambio, concursos y datos públicos protegen a Tyler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recomendación de un autor tras el 2T26: hay software más barato con más crecimiento; la valoración no compensa el frenazo del ARR [38].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(artículo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la caída del 51 % por el miedo a que los gobiernos creen herramientas propias con IA y lo ve exagerado por la lentitud de las compras públicas [36].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TIKR (blog)</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 la caída como oportunidad: PER adelantado cerca del mínimo de diez años y recompra del 6 % del capital [39].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se come el software para administraciones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cifras no lo muestran: SaaS +21,7 % y reservas récord en el 2T26; el ARR frena al 8,2 %, pero por Texas y el mantenimiento, no por bajas. El riesgo es de múltiplo y a varios años.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 y convertibles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5,6 % del capital recomprado en 2026, en parte con deuda al 0,5 %; la deuda neta sigue por debajo de una vez el EBITDA.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frente a su historia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adelantado (~36x GAAP normalizado) está en la mitad de su mediana de cinco años (~80x), pero esa historia era de tipos bajos y euforia por el SaaS.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Frenazo del crecimiento (ARR al 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Cierto: el ARR crecía al 10,9 % en el 4T25; la guía de transacciones baja por Texas y el mantenimiento cae un 5-7 % al año.</w:t>
            </w:r>
          </w:p>
        </w:tc>
      </w:tr>
    </w:tbl>
    <w:p>
      <w:pPr>
        <w:spacing w:after="160" w:before="0"/>
      </w:pPr>
    </w:p>
    <w:p>
      <w:pPr>
        <w:spacing w:after="100"/>
      </w:pPr>
      <w:r>
        <w:t xml:space="preserve">El sentimiento de los particulares mejora desde el mínimo de junio: los mensajes de octubre son sobre todo alcistas y técnicos, y la tesis dominante es que Tyler es «software a prueba de IA» por sus clientes públicos. Hay una minoría bajista que señala el frenazo del ARR y que hay software más barato. No hay euforia ni capitulación. Coincide con los analistas, que suben objetivos (Wells Fargo) y tienen el medio en 425 USD. El sentimiento no aporta riesgos que el informe no recoja; sí confirma que el debate es la IA, no las cifras.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17 controles correctos. Fuentes: 39 (19 primarias); citas distintas en el texto: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9,4 % en 2033e frente al 8,2 %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-13,0 % frente a -13,6 % real: genera una variación de circulante de -16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39 fuentes (19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geografías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nota de segmentos (solo por segmento y tipo de ingreso); 2) 10-Q 2T26; 3) XBRL (sin desglose geográfico); casi todo es EE. UU.</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años del 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informe del auditor (no da el año de inicio en el texto extraído); 2) proxy 2026; 3) no se buscó en el registro PCAOB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2) 10-Q 2T26 y 8-K de los convertibles (sin rating); 3) 8-K de la línea de crédito de mayo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(no las cita); 2) proxy 2026 (sin calificaciones); 3) no se buscó en las agencias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Apps Run The World (cuotas de pago; solo el 44,6 % de los diez primeros); 2) 10-K de Tyler (sin cuotas); 3) prensa sectorial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Tyler Technologies, Form 10-K 2025 (cuentas, segmentos, ingresos por tipo, adquisiciones)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Tyler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https://www.sec.gov/Archives/edgar/data/860731/000086073126000016/tyl-20251231.htm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Tyler Technologies Reports Earnings for Fourth Quarter 2025 (nota de resultados y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Tyler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https://www.sec.gov/Archives/edgar/data/860731/000086073126000013/a991earningsrelease12312025.htm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Tyler Technologies Reports Earnings for Second Quarter 2026 (cuenta, balance, flujos, guía y recompra de 1.500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Tyler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https://www.sec.gov/Archives/edgar/data/860731/000086073126000048/a991earningsrelease-6302026.htm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Tyler Technologies, Form 10-Q 2T26 (bonos convertibles 2031, For The Record, recompras, acciones a 27-jul-2026)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Tyler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https://www.sec.gov/Archives/edgar/data/860731/000086073126000050/tyl-20260630.htm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Tyler Technologies Reports Earnings for First Quarter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Tyler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https://www.sec.gov/Archives/edgar/data/860731/000086073126000031/a991earningsrelease-3312026.htm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Tyler Technologies: hechos XBRL (companyfacts), series anuales y trimestrales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https://data.sec.gov/api/xbrl/companyfacts/CIK0000860731.json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Tyler Technologies Reports Earnings for Fourth Quarter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Tyler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https://www.sec.gov/Archives/edgar/data/860731/000086073125000003/a991earningsrelease12312024.htm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Tyler Technologies Q2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(transcripción)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https://www.webull.com/news/15364343868957697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Tyler Technologies Reports Earnings for Fourth Quarter 2021 (NIC, crecimiento orgánico)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Tyler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https://www.sec.gov/Archives/edgar/data/860731/000086073122000008/a991earningsrelease12312021.htm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plan de recompra 10b5-1 de hasta 260 M USD (16-sep a 29-oct-2026)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Tyler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https://www.sec.gov/Archives/edgar/data/860731/000086073126000052/tyl-20260915.htm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Top 10 Government Software Vendors and Market Forecast 2024-2029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Apps Run The 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https://www.appsruntheworld.com/top-10-government-software-vendors-and-market-forecast/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Tyler's Modernizing Its Market (estimación de Gartner del mercado de Tyler: ~30.000 M USD, +7 % anual; TAM propio de 18.000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 (resumen de búsqueda; página no accesible)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https://www.morningstar.com/stocks/tylers-modernizing-its-market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Tyler Technologies Investor Day 2026: objetivos 2030 (resumen de la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https://quartr.com/events/tyler-technologies-inc-tyl-investor-presentation_3gH3zz1e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stocks: Anthropic AI tool sparks software selloff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https://edition.cnn.com/2026/02/04/investing/us-stocks-anthropic-software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informe del repo (14-oct-2026), cuentas 2025 y riesgo de 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https://www.sec.gov/Archives/edgar/data/882835/000088283526000009/rop-20251231.htm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Consolidated Financial Statements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https://www.csisoftware.com/wp-content/uploads/2026/04/CSI-Financial-Statement-Q425-Final.pdf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Corporation: estimaciones anuales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https://www.marketscreener.com/quote/stock/ORACLE-CORPORATION-13620698/finances/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resultados del 4T del ejercicio 2026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https://www.sec.gov/Archives/edgar/data/1393052/000139305226000007/veev-20260131q426xex991.htm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Tyler Technologies is down over 50% as investors flee software stocks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https://www.fool.com/investing/2026/07/05/tyler-technologies-is-down-over-50-as-investors-fl/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Tyler Technologies, 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Tyler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https://www.sec.gov/Archives/edgar/data/860731/000086073126000022/tyl-20260323.htm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del 5-may-2026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Tyler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https://www.sec.gov/Archives/edgar/data/860731/000086073126000034/tyl-20260505.htm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Tyler Technologies (CIK 860731), oct-2025 a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https://www.sec.gov/cgi-bin/browse-edgar?action=getcompany&amp;CIK=0000860731&amp;type=4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Tyler Technologies Reports Earnings for Fourth Quarter 2022 (guía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Tyler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https://www.sec.gov/Archives/edgar/data/860731/000086073123000004/a991earningsrelease12312022.htm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Tyler Technologies Reports Earnings for Fourth Quarter 2023 (guía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Tyler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https://www.sec.gov/Archives/edgar/data/860731/000086073124000003/a991earningsrelease12312023.htm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TYL, ^GSPC e IGV (precio, rango, volumen, betas,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https://finance.yahoo.com/quote/TYL/history/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Tyler Technologies: estimaciones anuales y consenso (23 analistas, objetivo medio 425,45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https://www.marketscreener.com/quote/stock/TYLER-TECHNOLOGIES-INC-446337/finances/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5,21 % el 13-oct-2026; recogido en el informe de Roper del repo)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$TYL: cambios de recomendación (Wells Fargo a sobreponderar con objetivo 400 USD, 12-oct; Goldman Sachs a 395 USD, 1-ago) y fecha de resultados del 3T26 (28-oct, Estimize)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(citando TheFly y Estimize)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https://api.stocktwits.com/api/2/streams/symbol/TYL.json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MeridianLink, DEFM14A: Selected Precedent Transactions Analysis (Centerview)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MeridianLink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https://www.sec.gov/Archives/edgar/data/1834494/000114036125035721/ny20054829x2_defm14a.htm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Weave Communications, DEFM14A, fusión con Francisco Partners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Weave Communications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https://www.sec.gov/Archives/edgar/data/1609151/000114036126037628/ny20081403x2_defm14a.htm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Roper, Veeva y ServiceNow (informes del repo del 14-oct-2026, MarketScreener y cuentas)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cuentas de las empresas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https://www.marketscreener.com/quote/stock/ROPER-TECHNOLOGIES-INC-14279/finances/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Constellation Software, Bentley Systems, Descartes e Intuit (informes del repo del 10-oct-2026, MarketScreener)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cuentas de las empresas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https://www.marketscreener.com/quote/stock/CONSTELLATION-SOFTWARE-IN-1409607/finances/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Salesforce (informe del repo del 12-oct-2026, MarketScreener)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https://www.marketscreener.com/quote/stock/SALESFORCE-INC-12180/finances/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feed de artículos y noticias de TYL (may-oct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https://seekingalpha.com/api/sa/combined/TYL.xml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Tyler Technologies is down over 50% as investors flee software stocks (Motley Fool, reproducido en Webull)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https://www.webull.ca/news-detail/15174794020357120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Tyler Technologies: AI Is Killing Software, But Not This One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(autor externo)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https://seekingalpha.com/article/4922660-tyler-technologies-ai-is-killing-software-but-not-this-one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Tyler Technologies: Not The Best Software Buy In Today's Market (Rating Downgrade)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(autor externo)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https://seekingalpha.com/article/4929441-tyler-technologies-stock-not-best-software-buy-now-rating-downgrade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Should You Buy the 46% Dip In Tyler Technologies Stock Right Now?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https://www.tikr.com/blog/down-46-from-all-time-highs-is-tyler-technologies-nyse-stock-a-good-buy-in-2026</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89,7 %</w:t>
      </w:r>
      <w:r>
        <w:t xml:space="preserve"> · Secciones con menos del 60 % de campos cubiertos: </w:t>
      </w:r>
      <w:r>
        <w:rPr>
          <w:b/>
          <w:bCs/>
        </w:rPr>
        <w:t xml:space="preserve">consenso</w:t>
      </w:r>
      <w:r>
        <w:t xml:space="preserve"> · Generado el 14 oct 2026.</w:t>
      </w:r>
    </w:p>
    <w:p>
      <w:pPr>
        <w:pStyle w:val="Nota"/>
        <w:spacing w:after="100"/>
      </w:pPr>
      <w:r>
        <w:t xml:space="preserve">Cuenta de 2018-2025 del XBRL de la SEC; la compra de NIC (abril de 2021) rompe la comparación de 2021 con los años anteriores. Los segmentos solo están con la segmentación vigente en 2023-2025 y no hay desglose geográfico (casi todo es EE. UU.). El BPA de la historia del PER y del objetivo a 12 meses es GAAP normalizado: beneficio antes de impuestos × 0,77 entre las acciones diluidas, porque el tipo efectivo de Tyler oscila entre −11 % y 16 % por las deducciones de los pagos en acciones; excluye la plusvalía de 25 M por revalorizar una participación en 2025. El EBITDA del consenso es el ajustado de la empresa (sin pagos en acciones, 6,6 % de las ventas) y lo convertimos a contable para comparar. El precio es el cierre del 13-oct-2026 (la sesión del 14-oct no había cerrado). Acciones: 40,95 M a 27-jul-2026 más ~0,25 M de dilución por opciones; no sabemos cuántas recompró en el 3T26 con el plan 10b5-1 (se sabrá el 28-oct). Comparables de Roper, Constellation, Veeva, Bentley, Descartes, Intuit, Salesforce y ServiceNow tomados de los informes del repo del 10 al 14-oct (MarketScreener); Oracle, de MarketScreener a 14-oct. Arrendamientos operativos (US GAAP) fuera de la deuda.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Tyler Technologies, Inc. (TYL)</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346,90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(270,71 – 524,43)</c:v>
                </c:pt>
                <c:pt idx="1">
                  <c:v>Comparables: EV/EBITDA NTM (158,32 – 232,65)</c:v>
                </c:pt>
                <c:pt idx="2">
                  <c:v>Comparables: PER NTM (185,13 – 304,05)</c:v>
                </c:pt>
                <c:pt idx="3">
                  <c:v>Transacciones precedentes (EV/EBITDA) (175,06 – 252,37)</c:v>
                </c:pt>
                <c:pt idx="4">
                  <c:v>DCF (WACC y g ± 0,5) (231,51 – 305,11)</c:v>
                </c:pt>
                <c:pt idx="5">
                  <c:v>Escenarios (bajista – alcista) (169,91 – 309,66)</c:v>
                </c:pt>
                <c:pt idx="6">
                  <c:v>DCF con la prima implícita del mercado (4,2 %)</c:v>
                </c:pt>
                <c:pt idx="7">
                  <c:v>Precio actual (346,90)</c:v>
                </c:pt>
              </c:strCache>
            </c:strRef>
          </c:cat>
          <c:val>
            <c:numRef>
              <c:f>Hoja1!$B$2:$B$9</c:f>
              <c:numCache>
                <c:formatCode>#,##0</c:formatCode>
                <c:ptCount val="8"/>
                <c:pt idx="0">
                  <c:v>270.71</c:v>
                </c:pt>
                <c:pt idx="1">
                  <c:v>158.32</c:v>
                </c:pt>
                <c:pt idx="2">
                  <c:v>185.13</c:v>
                </c:pt>
                <c:pt idx="3">
                  <c:v>175.06</c:v>
                </c:pt>
                <c:pt idx="4">
                  <c:v>231.51</c:v>
                </c:pt>
                <c:pt idx="5">
                  <c:v>169.91</c:v>
                </c:pt>
                <c:pt idx="6">
                  <c:v>289.14</c:v>
                </c:pt>
                <c:pt idx="7">
                  <c:v>345.17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(270,71 – 524,43)</c:v>
                </c:pt>
                <c:pt idx="1">
                  <c:v>Comparables: EV/EBITDA NTM (158,32 – 232,65)</c:v>
                </c:pt>
                <c:pt idx="2">
                  <c:v>Comparables: PER NTM (185,13 – 304,05)</c:v>
                </c:pt>
                <c:pt idx="3">
                  <c:v>Transacciones precedentes (EV/EBITDA) (175,06 – 252,37)</c:v>
                </c:pt>
                <c:pt idx="4">
                  <c:v>DCF (WACC y g ± 0,5) (231,51 – 305,11)</c:v>
                </c:pt>
                <c:pt idx="5">
                  <c:v>Escenarios (bajista – alcista) (169,91 – 309,66)</c:v>
                </c:pt>
                <c:pt idx="6">
                  <c:v>DCF con la prima implícita del mercado (4,2 %)</c:v>
                </c:pt>
                <c:pt idx="7">
                  <c:v>Precio actual (346,90)</c:v>
                </c:pt>
              </c:strCache>
            </c:strRef>
          </c:cat>
          <c:val>
            <c:numRef>
              <c:f>Hoja1!$C$2:$C$9</c:f>
              <c:numCache>
                <c:formatCode>#,##0</c:formatCode>
                <c:ptCount val="8"/>
                <c:pt idx="0">
                  <c:v>253.71999999999997</c:v>
                </c:pt>
                <c:pt idx="1">
                  <c:v>74.33000000000001</c:v>
                </c:pt>
                <c:pt idx="2">
                  <c:v>118.92000000000002</c:v>
                </c:pt>
                <c:pt idx="3">
                  <c:v>77.31</c:v>
                </c:pt>
                <c:pt idx="4">
                  <c:v>73.60000000000002</c:v>
                </c:pt>
                <c:pt idx="5">
                  <c:v>139.75000000000003</c:v>
                </c:pt>
                <c:pt idx="6">
                  <c:v>61.19</c:v>
                </c:pt>
                <c:pt idx="7">
                  <c:v>3.4599999999999795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Enterprise Software (ES)</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1349.7</c:v>
                </c:pt>
                <c:pt idx="1">
                  <c:v>1511.6</c:v>
                </c:pt>
                <c:pt idx="2">
                  <c:v>1694.4</c:v>
                </c:pt>
              </c:numCache>
            </c:numRef>
          </c:val>
        </c:ser>
        <c:ser>
          <c:idx val="1"/>
          <c:order val="1"/>
          <c:tx>
            <c:strRef>
              <c:f>Hoja1!$C$1</c:f>
              <c:strCache>
                <c:ptCount val="1"/>
                <c:pt idx="0">
                  <c:v>Platform Technologies (PT)</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594.8</c:v>
                </c:pt>
                <c:pt idx="1">
                  <c:v>619.2</c:v>
                </c:pt>
                <c:pt idx="2">
                  <c:v>628.6</c:v>
                </c:pt>
              </c:numCache>
            </c:numRef>
          </c:val>
        </c:ser>
        <c:ser>
          <c:idx val="2"/>
          <c:order val="2"/>
          <c:tx>
            <c:strRef>
              <c:f>Hoja1!$D$1</c:f>
              <c:strCache>
                <c:ptCount val="1"/>
                <c:pt idx="0">
                  <c:v>Corporativo</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7.3</c:v>
                </c:pt>
                <c:pt idx="1">
                  <c:v>7</c:v>
                </c:pt>
                <c:pt idx="2">
                  <c:v>9.4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Enterprise Software (ES)</c:v>
                </c:pt>
                <c:pt idx="1">
                  <c:v>Platform Technologies (PT)</c:v>
                </c:pt>
                <c:pt idx="2">
                  <c:v>Corporativo</c:v>
                </c:pt>
              </c:strCache>
            </c:strRef>
          </c:cat>
          <c:val>
            <c:numRef>
              <c:f>Hoja1!$B$2:$B$4</c:f>
              <c:numCache>
                <c:formatCode>General</c:formatCode>
                <c:ptCount val="3"/>
                <c:pt idx="0">
                  <c:v>72.6</c:v>
                </c:pt>
                <c:pt idx="1">
                  <c:v>27</c:v>
                </c:pt>
                <c:pt idx="2">
                  <c:v>0.4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(Apps Run The World; 2025-2029 previsión al 6 %))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2022</c:v>
                </c:pt>
                <c:pt idx="1">
                  <c:v>2023</c:v>
                </c:pt>
                <c:pt idx="2">
                  <c:v>2024</c:v>
                </c:pt>
                <c:pt idx="3">
                  <c:v>2025e</c:v>
                </c:pt>
                <c:pt idx="4">
                  <c:v>2029e</c:v>
                </c:pt>
              </c:strCache>
            </c:strRef>
          </c:cat>
          <c:val>
            <c:numRef>
              <c:f>Hoja1!$B$2:$B$6</c:f>
              <c:numCache>
                <c:formatCode>#,##0</c:formatCode>
                <c:ptCount val="5"/>
                <c:pt idx="0">
                  <c:v>21742</c:v>
                </c:pt>
                <c:pt idx="1">
                  <c:v>23853</c:v>
                </c:pt>
                <c:pt idx="2">
                  <c:v>26676</c:v>
                </c:pt>
                <c:pt idx="3">
                  <c:v>28277</c:v>
                </c:pt>
                <c:pt idx="4">
                  <c:v>35600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2</c:v>
                </c:pt>
                <c:pt idx="2">
                  <c:v>2</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Tyler</c:v>
                </c:pt>
                <c:pt idx="1">
                  <c:v>Oracle</c:v>
                </c:pt>
                <c:pt idx="2">
                  <c:v>Constellation Software (Harris Computer)</c:v>
                </c:pt>
                <c:pt idx="3">
                  <c:v>Roper Technologies</c:v>
                </c:pt>
                <c:pt idx="4">
                  <c:v>CentralSquare Technologies</c:v>
                </c:pt>
                <c:pt idx="5">
                  <c:v>Veeva Systems</c:v>
                </c:pt>
              </c:strCache>
            </c:strRef>
          </c:cat>
          <c:val>
            <c:numRef>
              <c:f>Hoja1!$B$2:$B$7</c:f>
              <c:numCache>
                <c:formatCode>0.0"%"</c:formatCode>
                <c:ptCount val="6"/>
                <c:pt idx="0">
                  <c:v>15.3</c:v>
                </c:pt>
                <c:pt idx="1">
                  <c:v>43.6</c:v>
                </c:pt>
                <c:pt idx="2">
                  <c:v>16.3</c:v>
                </c:pt>
                <c:pt idx="3">
                  <c:v>28</c:v>
                </c:pt>
                <c:pt idx="5">
                  <c:v>28.7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5</c:v>
                </c:pt>
                <c:pt idx="2">
                  <c:v>3</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strCache>
            </c:strRef>
          </c:cat>
          <c:val>
            <c:numRef>
              <c:f>Hoja1!$B$2:$B$17</c:f>
              <c:numCache>
                <c:formatCode>#,##0</c:formatCode>
                <c:ptCount val="16"/>
                <c:pt idx="0">
                  <c:v>935.3</c:v>
                </c:pt>
                <c:pt idx="1">
                  <c:v>1086.4</c:v>
                </c:pt>
                <c:pt idx="2">
                  <c:v>1116.7</c:v>
                </c:pt>
                <c:pt idx="3">
                  <c:v>1592.3</c:v>
                </c:pt>
                <c:pt idx="4">
                  <c:v>1850.2</c:v>
                </c:pt>
                <c:pt idx="5">
                  <c:v>1951.8</c:v>
                </c:pt>
                <c:pt idx="6">
                  <c:v>2137.8</c:v>
                </c:pt>
                <c:pt idx="7">
                  <c:v>2332.3</c:v>
                </c:pt>
                <c:pt idx="8">
                  <c:v>2556</c:v>
                </c:pt>
                <c:pt idx="9">
                  <c:v>2786</c:v>
                </c:pt>
                <c:pt idx="10">
                  <c:v>3037</c:v>
                </c:pt>
                <c:pt idx="11">
                  <c:v>3295</c:v>
                </c:pt>
                <c:pt idx="12">
                  <c:v>3559</c:v>
                </c:pt>
                <c:pt idx="13">
                  <c:v>3808</c:v>
                </c:pt>
                <c:pt idx="14">
                  <c:v>4036</c:v>
                </c:pt>
                <c:pt idx="15">
                  <c:v>4238</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strCache>
            </c:strRef>
          </c:cat>
          <c:val>
            <c:numRef>
              <c:f>Hoja1!$C$2:$C$17</c:f>
              <c:numCache>
                <c:formatCode>#,##0</c:formatCode>
                <c:ptCount val="16"/>
                <c:pt idx="0">
                  <c:v>214.3</c:v>
                </c:pt>
                <c:pt idx="1">
                  <c:v>233.1</c:v>
                </c:pt>
                <c:pt idx="2">
                  <c:v>254.6</c:v>
                </c:pt>
                <c:pt idx="3">
                  <c:v>316.3</c:v>
                </c:pt>
                <c:pt idx="4">
                  <c:v>373.3</c:v>
                </c:pt>
                <c:pt idx="5">
                  <c:v>372.6</c:v>
                </c:pt>
                <c:pt idx="6">
                  <c:v>442.9</c:v>
                </c:pt>
                <c:pt idx="7">
                  <c:v>496.1</c:v>
                </c:pt>
                <c:pt idx="8">
                  <c:v>567</c:v>
                </c:pt>
                <c:pt idx="9">
                  <c:v>655</c:v>
                </c:pt>
                <c:pt idx="10">
                  <c:v>759</c:v>
                </c:pt>
                <c:pt idx="11">
                  <c:v>867</c:v>
                </c:pt>
                <c:pt idx="12">
                  <c:v>979</c:v>
                </c:pt>
                <c:pt idx="13">
                  <c:v>1085</c:v>
                </c:pt>
                <c:pt idx="14">
                  <c:v>1183</c:v>
                </c:pt>
                <c:pt idx="15">
                  <c:v>1271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47</c:v>
                </c:pt>
                <c:pt idx="1">
                  <c:v>47.6</c:v>
                </c:pt>
                <c:pt idx="2">
                  <c:v>48.6</c:v>
                </c:pt>
                <c:pt idx="3">
                  <c:v>44.6</c:v>
                </c:pt>
                <c:pt idx="4">
                  <c:v>42.4</c:v>
                </c:pt>
                <c:pt idx="5">
                  <c:v>44.1</c:v>
                </c:pt>
                <c:pt idx="6">
                  <c:v>43.8</c:v>
                </c:pt>
                <c:pt idx="7">
                  <c:v>46.5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22.9</c:v>
                </c:pt>
                <c:pt idx="1">
                  <c:v>21.5</c:v>
                </c:pt>
                <c:pt idx="2">
                  <c:v>22.8</c:v>
                </c:pt>
                <c:pt idx="3">
                  <c:v>19.9</c:v>
                </c:pt>
                <c:pt idx="4">
                  <c:v>20.2</c:v>
                </c:pt>
                <c:pt idx="5">
                  <c:v>19.1</c:v>
                </c:pt>
                <c:pt idx="6">
                  <c:v>20.7</c:v>
                </c:pt>
                <c:pt idx="7">
                  <c:v>21.3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16.3</c:v>
                </c:pt>
                <c:pt idx="1">
                  <c:v>14.4</c:v>
                </c:pt>
                <c:pt idx="2">
                  <c:v>15.5</c:v>
                </c:pt>
                <c:pt idx="3">
                  <c:v>11.3</c:v>
                </c:pt>
                <c:pt idx="4">
                  <c:v>11.6</c:v>
                </c:pt>
                <c:pt idx="5">
                  <c:v>11.2</c:v>
                </c:pt>
                <c:pt idx="6">
                  <c:v>14</c:v>
                </c:pt>
                <c:pt idx="7">
                  <c:v>15.3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Hoja1!$E$2:$E$9</c:f>
              <c:numCache>
                <c:formatCode>0"%"</c:formatCode>
                <c:ptCount val="8"/>
                <c:pt idx="0">
                  <c:v>15.8</c:v>
                </c:pt>
                <c:pt idx="1">
                  <c:v>13.5</c:v>
                </c:pt>
                <c:pt idx="2">
                  <c:v>17.4</c:v>
                </c:pt>
                <c:pt idx="3">
                  <c:v>10.1</c:v>
                </c:pt>
                <c:pt idx="4">
                  <c:v>8.9</c:v>
                </c:pt>
                <c:pt idx="5">
                  <c:v>8.5</c:v>
                </c:pt>
                <c:pt idx="6">
                  <c:v>12.3</c:v>
                </c:pt>
                <c:pt idx="7">
                  <c:v>13.5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9.8</c:v>
                </c:pt>
                <c:pt idx="1">
                  <c:v>12.5</c:v>
                </c:pt>
                <c:pt idx="2">
                  <c:v>10.3</c:v>
                </c:pt>
                <c:pt idx="3">
                  <c:v>10.2</c:v>
                </c:pt>
                <c:pt idx="4">
                  <c:v>9.7</c:v>
                </c:pt>
                <c:pt idx="5">
                  <c:v>6.3</c:v>
                </c:pt>
                <c:pt idx="6">
                  <c:v>8.6</c:v>
                </c:pt>
                <c:pt idx="7">
                  <c:v>8.2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7">
                  <c:v>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117</c:v>
                </c:pt>
                <c:pt idx="1">
                  <c:v>126</c:v>
                </c:pt>
                <c:pt idx="2">
                  <c:v>125</c:v>
                </c:pt>
                <c:pt idx="3">
                  <c:v>119</c:v>
                </c:pt>
                <c:pt idx="4">
                  <c:v>114</c:v>
                </c:pt>
                <c:pt idx="5">
                  <c:v>116</c:v>
                </c:pt>
                <c:pt idx="6">
                  <c:v>100</c:v>
                </c:pt>
                <c:pt idx="7">
                  <c:v>100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0</c:v>
                </c:pt>
                <c:pt idx="1">
                  <c:v>0</c:v>
                </c:pt>
                <c:pt idx="2">
                  <c:v>0</c:v>
                </c:pt>
                <c:pt idx="3">
                  <c:v>0</c:v>
                </c:pt>
                <c:pt idx="4">
                  <c:v>0</c:v>
                </c:pt>
                <c:pt idx="5">
                  <c:v>0</c:v>
                </c:pt>
                <c:pt idx="6">
                  <c:v>0</c:v>
                </c:pt>
                <c:pt idx="7">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5</c:v>
                </c:pt>
                <c:pt idx="1">
                  <c:v>10</c:v>
                </c:pt>
                <c:pt idx="2">
                  <c:v>9</c:v>
                </c:pt>
                <c:pt idx="3">
                  <c:v>50</c:v>
                </c:pt>
                <c:pt idx="4">
                  <c:v>36</c:v>
                </c:pt>
                <c:pt idx="5">
                  <c:v>49</c:v>
                </c:pt>
                <c:pt idx="6">
                  <c:v>48</c:v>
                </c:pt>
                <c:pt idx="7">
                  <c:v>51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222.79999999999998</c:v>
                </c:pt>
                <c:pt idx="1">
                  <c:v>212.7</c:v>
                </c:pt>
                <c:pt idx="2">
                  <c:v>326.6</c:v>
                </c:pt>
                <c:pt idx="3">
                  <c:v>316.2</c:v>
                </c:pt>
                <c:pt idx="4">
                  <c:v>331.4</c:v>
                </c:pt>
                <c:pt idx="5">
                  <c:v>327.4</c:v>
                </c:pt>
                <c:pt idx="6">
                  <c:v>574.7</c:v>
                </c:pt>
                <c:pt idx="7">
                  <c:v>620.7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147.5</c:v>
                </c:pt>
                <c:pt idx="1">
                  <c:v>146.5</c:v>
                </c:pt>
                <c:pt idx="2">
                  <c:v>194.8</c:v>
                </c:pt>
                <c:pt idx="3">
                  <c:v>161.5</c:v>
                </c:pt>
                <c:pt idx="4">
                  <c:v>164.2</c:v>
                </c:pt>
                <c:pt idx="5">
                  <c:v>165.9</c:v>
                </c:pt>
                <c:pt idx="6">
                  <c:v>263</c:v>
                </c:pt>
                <c:pt idx="7">
                  <c:v>315.6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12.1</c:v>
                </c:pt>
                <c:pt idx="1">
                  <c:v>11.1</c:v>
                </c:pt>
                <c:pt idx="2">
                  <c:v>12.5</c:v>
                </c:pt>
                <c:pt idx="3">
                  <c:v>7.6</c:v>
                </c:pt>
                <c:pt idx="4">
                  <c:v>5.5</c:v>
                </c:pt>
                <c:pt idx="5">
                  <c:v>5.3</c:v>
                </c:pt>
                <c:pt idx="6">
                  <c:v>7.7</c:v>
                </c:pt>
                <c:pt idx="7">
                  <c:v>8.9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9.6</c:v>
                </c:pt>
                <c:pt idx="1">
                  <c:v>9.6</c:v>
                </c:pt>
                <c:pt idx="2">
                  <c:v>9.6</c:v>
                </c:pt>
                <c:pt idx="3">
                  <c:v>9.6</c:v>
                </c:pt>
                <c:pt idx="4">
                  <c:v>9.6</c:v>
                </c:pt>
                <c:pt idx="5">
                  <c:v>9.6</c:v>
                </c:pt>
                <c:pt idx="6">
                  <c:v>9.6</c:v>
                </c:pt>
                <c:pt idx="7">
                  <c:v>9.6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11.1</c:v>
                </c:pt>
                <c:pt idx="1">
                  <c:v>10</c:v>
                </c:pt>
                <c:pt idx="2">
                  <c:v>10.8</c:v>
                </c:pt>
                <c:pt idx="3">
                  <c:v>7.5</c:v>
                </c:pt>
                <c:pt idx="4">
                  <c:v>6.6</c:v>
                </c:pt>
                <c:pt idx="5">
                  <c:v>6</c:v>
                </c:pt>
                <c:pt idx="6">
                  <c:v>8.3</c:v>
                </c:pt>
                <c:pt idx="7">
                  <c:v>8.9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-0.63</c:v>
                </c:pt>
                <c:pt idx="1">
                  <c:v>-1</c:v>
                </c:pt>
                <c:pt idx="2">
                  <c:v>-2.37</c:v>
                </c:pt>
                <c:pt idx="3">
                  <c:v>3.26</c:v>
                </c:pt>
                <c:pt idx="4">
                  <c:v>2.18</c:v>
                </c:pt>
                <c:pt idx="5">
                  <c:v>1.29</c:v>
                </c:pt>
                <c:pt idx="6">
                  <c:v>-0.33</c:v>
                </c:pt>
                <c:pt idx="7">
                  <c:v>-0.84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2031</c:v>
                </c:pt>
              </c:strCache>
            </c:strRef>
          </c:cat>
          <c:val>
            <c:numRef>
              <c:f>Hoja1!$B$2</c:f>
              <c:numCache>
                <c:formatCode>#,##0</c:formatCode>
                <c:ptCount val="1"/>
                <c:pt idx="0">
                  <c:v>1437.5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178.1</c:v>
                </c:pt>
                <c:pt idx="1">
                  <c:v>218.7</c:v>
                </c:pt>
                <c:pt idx="2">
                  <c:v>1.3</c:v>
                </c:pt>
                <c:pt idx="3">
                  <c:v>2089.7</c:v>
                </c:pt>
                <c:pt idx="4">
                  <c:v>163.9</c:v>
                </c:pt>
                <c:pt idx="5">
                  <c:v>62.8</c:v>
                </c:pt>
                <c:pt idx="6">
                  <c:v>1.4</c:v>
                </c:pt>
                <c:pt idx="7">
                  <c:v>83.7</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0</c:v>
                </c:pt>
                <c:pt idx="1">
                  <c:v>0</c:v>
                </c:pt>
                <c:pt idx="2">
                  <c:v>0</c:v>
                </c:pt>
                <c:pt idx="3">
                  <c:v>0</c:v>
                </c:pt>
                <c:pt idx="4">
                  <c:v>0</c:v>
                </c:pt>
                <c:pt idx="5">
                  <c:v>0</c:v>
                </c:pt>
                <c:pt idx="6">
                  <c:v>0</c:v>
                </c:pt>
                <c:pt idx="7">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146.6</c:v>
                </c:pt>
                <c:pt idx="1">
                  <c:v>17.8</c:v>
                </c:pt>
                <c:pt idx="2">
                  <c:v>15.5</c:v>
                </c:pt>
                <c:pt idx="3">
                  <c:v>13</c:v>
                </c:pt>
                <c:pt idx="4">
                  <c:v>0</c:v>
                </c:pt>
                <c:pt idx="5">
                  <c:v>0</c:v>
                </c:pt>
                <c:pt idx="6">
                  <c:v>0</c:v>
                </c:pt>
                <c:pt idx="7">
                  <c:v>174.7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The Vanguard Group</c:v>
                </c:pt>
                <c:pt idx="1">
                  <c:v>BlackRock</c:v>
                </c:pt>
                <c:pt idx="2">
                  <c:v>Consejo y directivos</c:v>
                </c:pt>
                <c:pt idx="3">
                  <c:v>Autocartera</c:v>
                </c:pt>
              </c:strCache>
            </c:strRef>
          </c:cat>
          <c:val>
            <c:numRef>
              <c:f>Hoja1!$B$2:$B$5</c:f>
              <c:numCache>
                <c:formatCode>0.0"%"</c:formatCode>
                <c:ptCount val="4"/>
                <c:pt idx="0">
                  <c:v>13.1</c:v>
                </c:pt>
                <c:pt idx="1">
                  <c:v>9.6</c:v>
                </c:pt>
                <c:pt idx="2">
                  <c:v>1.1</c:v>
                </c:pt>
                <c:pt idx="3">
                  <c:v>14.9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-18.1</c:v>
                </c:pt>
                <c:pt idx="1">
                  <c:v>24</c:v>
                </c:pt>
                <c:pt idx="2">
                  <c:v>5</c:v>
                </c:pt>
                <c:pt idx="3">
                  <c:v>61.5</c:v>
                </c:pt>
                <c:pt idx="4">
                  <c:v>45.5</c:v>
                </c:pt>
                <c:pt idx="5">
                  <c:v>23.2</c:v>
                </c:pt>
                <c:pt idx="6">
                  <c:v>-40.1</c:v>
                </c:pt>
                <c:pt idx="7">
                  <c:v>29.7</c:v>
                </c:pt>
                <c:pt idx="8">
                  <c:v>37.9</c:v>
                </c:pt>
                <c:pt idx="9">
                  <c:v>-21.3</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9.5</c:v>
                </c:pt>
                <c:pt idx="1">
                  <c:v>19.4</c:v>
                </c:pt>
                <c:pt idx="2">
                  <c:v>-6.2</c:v>
                </c:pt>
                <c:pt idx="3">
                  <c:v>28.9</c:v>
                </c:pt>
                <c:pt idx="4">
                  <c:v>16.3</c:v>
                </c:pt>
                <c:pt idx="5">
                  <c:v>26.9</c:v>
                </c:pt>
                <c:pt idx="6">
                  <c:v>-19.4</c:v>
                </c:pt>
                <c:pt idx="7">
                  <c:v>24.2</c:v>
                </c:pt>
                <c:pt idx="8">
                  <c:v>23.3</c:v>
                </c:pt>
                <c:pt idx="9">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34.1</c:v>
                </c:pt>
                <c:pt idx="1">
                  <c:v>50.6</c:v>
                </c:pt>
                <c:pt idx="2">
                  <c:v>68.8</c:v>
                </c:pt>
                <c:pt idx="3">
                  <c:v>75</c:v>
                </c:pt>
                <c:pt idx="4">
                  <c:v>38.8</c:v>
                </c:pt>
                <c:pt idx="5">
                  <c:v>49.3</c:v>
                </c:pt>
                <c:pt idx="6">
                  <c:v>56.3</c:v>
                </c:pt>
                <c:pt idx="7">
                  <c:v>39.2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0.0"x"</c:formatCode>
                <c:ptCount val="8"/>
                <c:pt idx="0">
                  <c:v>44.3</c:v>
                </c:pt>
                <c:pt idx="1">
                  <c:v>44.3</c:v>
                </c:pt>
                <c:pt idx="2">
                  <c:v>44.3</c:v>
                </c:pt>
                <c:pt idx="3">
                  <c:v>44.3</c:v>
                </c:pt>
                <c:pt idx="4">
                  <c:v>44.3</c:v>
                </c:pt>
                <c:pt idx="5">
                  <c:v>44.3</c:v>
                </c:pt>
                <c:pt idx="6">
                  <c:v>44.3</c:v>
                </c:pt>
                <c:pt idx="7">
                  <c:v>44.3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Tyler</c:v>
                </c:pt>
                <c:pt idx="1">
                  <c:v>Roper Technologies</c:v>
                </c:pt>
                <c:pt idx="2">
                  <c:v>Constellation Software</c:v>
                </c:pt>
                <c:pt idx="3">
                  <c:v>Oracle</c:v>
                </c:pt>
                <c:pt idx="4">
                  <c:v>Veeva Systems</c:v>
                </c:pt>
                <c:pt idx="5">
                  <c:v>Bentley Systems</c:v>
                </c:pt>
                <c:pt idx="6">
                  <c:v>Descartes Systems</c:v>
                </c:pt>
                <c:pt idx="7">
                  <c:v>Intuit</c:v>
                </c:pt>
                <c:pt idx="8">
                  <c:v>Salesforce</c:v>
                </c:pt>
                <c:pt idx="9">
                  <c:v>ServiceNow</c:v>
                </c:pt>
              </c:strCache>
            </c:strRef>
          </c:cat>
          <c:val>
            <c:numRef>
              <c:f>Hoja1!$B$2:$B$11</c:f>
              <c:numCache>
                <c:formatCode>0.0"x"</c:formatCode>
                <c:ptCount val="10"/>
                <c:pt idx="0">
                  <c:v>23.3</c:v>
                </c:pt>
                <c:pt idx="1">
                  <c:v>13</c:v>
                </c:pt>
                <c:pt idx="2">
                  <c:v>12.5</c:v>
                </c:pt>
                <c:pt idx="3">
                  <c:v>8.3</c:v>
                </c:pt>
                <c:pt idx="5">
                  <c:v>19.1</c:v>
                </c:pt>
                <c:pt idx="6">
                  <c:v>17.1</c:v>
                </c:pt>
                <c:pt idx="7">
                  <c:v>9.5</c:v>
                </c:pt>
                <c:pt idx="8">
                  <c:v>14.6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Tyler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10.2</c:v>
                </c:pt>
              </c:numCache>
            </c:numRef>
          </c:xVal>
          <c:yVal>
            <c:numRef>
              <c:f>Hoja1!$C$2</c:f>
              <c:numCache>
                <c:formatCode>0.0"x"</c:formatCode>
                <c:ptCount val="1"/>
                <c:pt idx="0">
                  <c:v>23.3</c:v>
                </c:pt>
              </c:numCache>
            </c:numRef>
          </c:yVal>
          <c:smooth val="0"/>
        </c:ser>
        <c:ser>
          <c:idx val="1"/>
          <c:order val="1"/>
          <c:tx>
            <c:strRef>
              <c:f>Hoja1!$A$3</c:f>
              <c:strCache>
                <c:ptCount val="1"/>
                <c:pt idx="0">
                  <c:v>Roper Technologies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6.5</c:v>
                </c:pt>
              </c:numCache>
            </c:numRef>
          </c:xVal>
          <c:yVal>
            <c:numRef>
              <c:f>Hoja1!$C$3</c:f>
              <c:numCache>
                <c:formatCode>0.0"x"</c:formatCode>
                <c:ptCount val="1"/>
                <c:pt idx="0">
                  <c:v>13</c:v>
                </c:pt>
              </c:numCache>
            </c:numRef>
          </c:yVal>
          <c:smooth val="0"/>
        </c:ser>
        <c:ser>
          <c:idx val="2"/>
          <c:order val="2"/>
          <c:tx>
            <c:strRef>
              <c:f>Hoja1!$A$4</c:f>
              <c:strCache>
                <c:ptCount val="1"/>
                <c:pt idx="0">
                  <c:v>Constellation Software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17.9</c:v>
                </c:pt>
              </c:numCache>
            </c:numRef>
          </c:xVal>
          <c:yVal>
            <c:numRef>
              <c:f>Hoja1!$C$4</c:f>
              <c:numCache>
                <c:formatCode>0.0"x"</c:formatCode>
                <c:ptCount val="1"/>
                <c:pt idx="0">
                  <c:v>12.5</c:v>
                </c:pt>
              </c:numCache>
            </c:numRef>
          </c:yVal>
          <c:smooth val="0"/>
        </c:ser>
        <c:ser>
          <c:idx val="3"/>
          <c:order val="3"/>
          <c:tx>
            <c:strRef>
              <c:f>Hoja1!$A$5</c:f>
              <c:strCache>
                <c:ptCount val="1"/>
                <c:pt idx="0">
                  <c:v>Oracle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47</c:v>
                </c:pt>
              </c:numCache>
            </c:numRef>
          </c:xVal>
          <c:yVal>
            <c:numRef>
              <c:f>Hoja1!$C$5</c:f>
              <c:numCache>
                <c:formatCode>0.0"x"</c:formatCode>
                <c:ptCount val="1"/>
                <c:pt idx="0">
                  <c:v>8.3</c:v>
                </c:pt>
              </c:numCache>
            </c:numRef>
          </c:yVal>
          <c:smooth val="0"/>
        </c:ser>
        <c:ser>
          <c:idx val="4"/>
          <c:order val="4"/>
          <c:tx>
            <c:strRef>
              <c:f>Hoja1!$A$6</c:f>
              <c:strCache>
                <c:ptCount val="1"/>
                <c:pt idx="0">
                  <c:v>Bentley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11.4</c:v>
                </c:pt>
              </c:numCache>
            </c:numRef>
          </c:xVal>
          <c:yVal>
            <c:numRef>
              <c:f>Hoja1!$C$6</c:f>
              <c:numCache>
                <c:formatCode>0.0"x"</c:formatCode>
                <c:ptCount val="1"/>
                <c:pt idx="0">
                  <c:v>19.1</c:v>
                </c:pt>
              </c:numCache>
            </c:numRef>
          </c:yVal>
          <c:smooth val="0"/>
        </c:ser>
        <c:ser>
          <c:idx val="5"/>
          <c:order val="5"/>
          <c:tx>
            <c:strRef>
              <c:f>Hoja1!$A$7</c:f>
              <c:strCache>
                <c:ptCount val="1"/>
                <c:pt idx="0">
                  <c:v>Descartes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12.3</c:v>
                </c:pt>
              </c:numCache>
            </c:numRef>
          </c:xVal>
          <c:yVal>
            <c:numRef>
              <c:f>Hoja1!$C$7</c:f>
              <c:numCache>
                <c:formatCode>0.0"x"</c:formatCode>
                <c:ptCount val="1"/>
                <c:pt idx="0">
                  <c:v>17.1</c:v>
                </c:pt>
              </c:numCache>
            </c:numRef>
          </c:yVal>
          <c:smooth val="0"/>
        </c:ser>
        <c:ser>
          <c:idx val="6"/>
          <c:order val="6"/>
          <c:tx>
            <c:strRef>
              <c:f>Hoja1!$A$8</c:f>
              <c:strCache>
                <c:ptCount val="1"/>
                <c:pt idx="0">
                  <c:v>Intuit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9.2</c:v>
                </c:pt>
              </c:numCache>
            </c:numRef>
          </c:xVal>
          <c:yVal>
            <c:numRef>
              <c:f>Hoja1!$C$8</c:f>
              <c:numCache>
                <c:formatCode>0.0"x"</c:formatCode>
                <c:ptCount val="1"/>
                <c:pt idx="0">
                  <c:v>9.5</c:v>
                </c:pt>
              </c:numCache>
            </c:numRef>
          </c:yVal>
          <c:smooth val="0"/>
        </c:ser>
        <c:ser>
          <c:idx val="7"/>
          <c:order val="7"/>
          <c:tx>
            <c:strRef>
              <c:f>Hoja1!$A$9</c:f>
              <c:strCache>
                <c:ptCount val="1"/>
                <c:pt idx="0">
                  <c:v>Salesforce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10.3</c:v>
                </c:pt>
              </c:numCache>
            </c:numRef>
          </c:xVal>
          <c:yVal>
            <c:numRef>
              <c:f>Hoja1!$C$9</c:f>
              <c:numCache>
                <c:formatCode>0.0"x"</c:formatCode>
                <c:ptCount val="1"/>
                <c:pt idx="0">
                  <c:v>14.6</c:v>
                </c:pt>
              </c:numCache>
            </c:numRef>
          </c:yVal>
          <c:smooth val="0"/>
        </c:ser>
        <c:axId val="10"/>
        <c:axId val="20"/>
      </c:scatterChart>
      <c:valAx>
        <c:axId val="10"/>
        <c:scaling>
          <c:orientation val="minMax"/>
          <c:max val="6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5"/>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Weave Communications (software vertical para clínicas)</c:v>
                </c:pt>
                <c:pt idx="1">
                  <c:v>MeridianLink (software vertical de préstamos)</c:v>
                </c:pt>
                <c:pt idx="2">
                  <c:v>NCR Digital Banking</c:v>
                </c:pt>
                <c:pt idx="3">
                  <c:v>Computer Services, Inc. (software para bancos)</c:v>
                </c:pt>
                <c:pt idx="4">
                  <c:v>Black Knight (software hipotecario)</c:v>
                </c:pt>
                <c:pt idx="5">
                  <c:v>Bottomline Technologies (software de pagos)</c:v>
                </c:pt>
                <c:pt idx="6">
                  <c:v>NIC Inc. (portales y pagos para administraciones)</c:v>
                </c:pt>
              </c:strCache>
            </c:strRef>
          </c:cat>
          <c:val>
            <c:numRef>
              <c:f>Hoja1!$B$2:$B$8</c:f>
              <c:numCache>
                <c:formatCode>0.0"x"</c:formatCode>
                <c:ptCount val="7"/>
                <c:pt idx="1">
                  <c:v>14</c:v>
                </c:pt>
                <c:pt idx="2">
                  <c:v>15.8</c:v>
                </c:pt>
                <c:pt idx="3">
                  <c:v>15.1</c:v>
                </c:pt>
                <c:pt idx="4">
                  <c:v>21.4</c:v>
                </c:pt>
                <c:pt idx="5">
                  <c:v>26.6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461</c:v>
                </c:pt>
                <c:pt idx="1">
                  <c:v>529</c:v>
                </c:pt>
                <c:pt idx="2">
                  <c:v>602</c:v>
                </c:pt>
                <c:pt idx="3">
                  <c:v>673</c:v>
                </c:pt>
                <c:pt idx="4">
                  <c:v>750</c:v>
                </c:pt>
                <c:pt idx="5">
                  <c:v>818</c:v>
                </c:pt>
                <c:pt idx="6">
                  <c:v>882</c:v>
                </c:pt>
                <c:pt idx="7">
                  <c:v>940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3722</c:v>
                </c:pt>
                <c:pt idx="1">
                  <c:v>7528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346,90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169.91</c:v>
                </c:pt>
                <c:pt idx="1">
                  <c:v>262.82</c:v>
                </c:pt>
                <c:pt idx="2">
                  <c:v>309.66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346,90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(270,71 – 524,43)</c:v>
                </c:pt>
                <c:pt idx="1">
                  <c:v>Comparables: EV/EBITDA NTM (158,32 – 232,65)</c:v>
                </c:pt>
                <c:pt idx="2">
                  <c:v>Comparables: PER NTM (185,13 – 304,05)</c:v>
                </c:pt>
                <c:pt idx="3">
                  <c:v>Transacciones precedentes (EV/EBITDA) (175,06 – 252,37)</c:v>
                </c:pt>
                <c:pt idx="4">
                  <c:v>DCF (WACC y g ± 0,5) (231,51 – 305,11)</c:v>
                </c:pt>
                <c:pt idx="5">
                  <c:v>Escenarios (bajista – alcista) (169,91 – 309,66)</c:v>
                </c:pt>
                <c:pt idx="6">
                  <c:v>DCF con la prima implícita del mercado (4,2 %)</c:v>
                </c:pt>
                <c:pt idx="7">
                  <c:v>Precio actual (346,90)</c:v>
                </c:pt>
              </c:strCache>
            </c:strRef>
          </c:cat>
          <c:val>
            <c:numRef>
              <c:f>Hoja1!$B$2:$B$9</c:f>
              <c:numCache>
                <c:formatCode>#,##0</c:formatCode>
                <c:ptCount val="8"/>
                <c:pt idx="0">
                  <c:v>270.71</c:v>
                </c:pt>
                <c:pt idx="1">
                  <c:v>158.32</c:v>
                </c:pt>
                <c:pt idx="2">
                  <c:v>185.13</c:v>
                </c:pt>
                <c:pt idx="3">
                  <c:v>175.06</c:v>
                </c:pt>
                <c:pt idx="4">
                  <c:v>231.51</c:v>
                </c:pt>
                <c:pt idx="5">
                  <c:v>169.91</c:v>
                </c:pt>
                <c:pt idx="6">
                  <c:v>289.14</c:v>
                </c:pt>
                <c:pt idx="7">
                  <c:v>345.17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(270,71 – 524,43)</c:v>
                </c:pt>
                <c:pt idx="1">
                  <c:v>Comparables: EV/EBITDA NTM (158,32 – 232,65)</c:v>
                </c:pt>
                <c:pt idx="2">
                  <c:v>Comparables: PER NTM (185,13 – 304,05)</c:v>
                </c:pt>
                <c:pt idx="3">
                  <c:v>Transacciones precedentes (EV/EBITDA) (175,06 – 252,37)</c:v>
                </c:pt>
                <c:pt idx="4">
                  <c:v>DCF (WACC y g ± 0,5) (231,51 – 305,11)</c:v>
                </c:pt>
                <c:pt idx="5">
                  <c:v>Escenarios (bajista – alcista) (169,91 – 309,66)</c:v>
                </c:pt>
                <c:pt idx="6">
                  <c:v>DCF con la prima implícita del mercado (4,2 %)</c:v>
                </c:pt>
                <c:pt idx="7">
                  <c:v>Precio actual (346,90)</c:v>
                </c:pt>
              </c:strCache>
            </c:strRef>
          </c:cat>
          <c:val>
            <c:numRef>
              <c:f>Hoja1!$C$2:$C$9</c:f>
              <c:numCache>
                <c:formatCode>#,##0</c:formatCode>
                <c:ptCount val="8"/>
                <c:pt idx="0">
                  <c:v>253.71999999999997</c:v>
                </c:pt>
                <c:pt idx="1">
                  <c:v>74.33000000000001</c:v>
                </c:pt>
                <c:pt idx="2">
                  <c:v>118.92000000000002</c:v>
                </c:pt>
                <c:pt idx="3">
                  <c:v>77.31</c:v>
                </c:pt>
                <c:pt idx="4">
                  <c:v>73.60000000000002</c:v>
                </c:pt>
                <c:pt idx="5">
                  <c:v>139.75000000000003</c:v>
                </c:pt>
                <c:pt idx="6">
                  <c:v>61.19</c:v>
                </c:pt>
                <c:pt idx="7">
                  <c:v>3.4599999999999795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