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Daikin Industries, Ltd.</w:t>
      </w:r>
    </w:p>
    <w:p>
      <w:pPr>
        <w:spacing w:after="60"/>
        <w:rPr>
          <w:color w:val="52514E"/>
          <w:sz w:val="22"/>
          <w:szCs w:val="22"/>
        </w:rPr>
      </w:pPr>
      <w:r>
        <w:rPr>
          <w:color w:val="52514E"/>
          <w:sz w:val="22"/>
          <w:szCs w:val="22"/>
        </w:rPr>
        <w:t xml:space="preserve">6367 · Bolsa de Tokio (Prime) · ISIN JP3481800005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21.575,00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23.135,81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+8,8 % (base +13,4 %)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16.735,69 JPY · mercado 20.175,78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6.005.185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Daikin Industries,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6367 / JP3481800005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Nikkei 225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 (climatización)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Osaka · 1924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104.095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https://www.daikin.com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21.575,00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17.380,00 – 26.440,00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6.005.185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6.386.068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27,9 miles de M JPY/día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23.135,81 JPY</w:t>
      </w:r>
      <w:r>
        <w:t xml:space="preserve"> frente a 21.575,00 · Rentabilidad a 12 meses </w:t>
      </w:r>
      <w:r>
        <w:rPr>
          <w:b/>
          <w:bCs/>
        </w:rPr>
        <w:t xml:space="preserve">+8,8 % (base +13,4 %)</w:t>
      </w:r>
      <w:r>
        <w:t xml:space="preserve"> · Valor intrínseco 16.735,69 JPY · con la prima implícita del mercado: 20.175,78 (-6,5 %) · Alcista / bajista -13,2 % / -40,4 %</w:t>
      </w:r>
    </w:p>
    <w:p>
      <w:pPr>
        <w:spacing w:after="100"/>
      </w:pPr>
      <w:r>
        <w:rPr>
          <w:b/>
        </w:rPr>
        <w:t xml:space="preserve">La recomendación y por qué.</w:t>
      </w:r>
      <w:r>
        <w:t xml:space="preserve"> Mantener, con convicción media. Nuestro objetivo a 12 meses es de 23.135,81 JPY (+8,8 % con dividendo; +13,4 % en el caso base), frente a un precio de 21.575 JPY (cierre del 14-oct-2026) y un objetivo medio de los analistas de 24.638 JPY [27]. No llega al 15 % que pide una compra, y el valor intrínseco es menor que el precio: 16.735,69 JPY, un 22,4 % por debajo. La convicción es media porque el objetivo a 12 meses y el valor intrínseco apuntan en sentidos opuestos y la decisión depende de una sola variable, el margen; la subiría un 2T con margen operativo por encima del 10 % y la bajaría un margen por debajo del 9 %. Una acción cuesta unos 121,6 EUR (177,39 JPY por euro [28]), menos del 7 % de una cartera de 30.000 EUR; pero en Tokio se compra en lotes de 100 acciones (≈ 12.160 EUR, el 40 % de esa cartera).</w:t>
      </w:r>
    </w:p>
    <w:p>
      <w:pPr>
        <w:spacing w:after="100"/>
      </w:pPr>
      <w:r>
        <w:rPr>
          <w:b/>
        </w:rPr>
        <w:t xml:space="preserve">El negocio.</w:t>
      </w:r>
      <w:r>
        <w:t xml:space="preserve"> Daikin es el primer o segundo fabricante mundial de climatización (10,6 % del mercado [16]), líder en Japón y Europa y con el 24 % del residencial con conductos de EE. UU. [7]. Su foso es estrecho y estable. </w:t>
      </w:r>
      <w:r>
        <w:rPr>
          <w:b/>
        </w:rPr>
        <w:t xml:space="preserve">Calidad: No.</w:t>
      </w:r>
      <w:r>
        <w:t xml:space="preserve"> El ROIC fue del 9,0 % en FY2026 frente a un WACC del 6,7 %: 2,3 puntos, lejos de los 5 que pedimos; sin el fondo de comercio de Goodman y las demás compras sería del 11,6 % (4,9 puntos), y tampoco llega. La sostenibilidad del crecimiento es </w:t>
      </w:r>
      <w:r>
        <w:rPr>
          <w:b/>
        </w:rPr>
        <w:t xml:space="preserve">sí</w:t>
      </w:r>
      <w:r>
        <w:t xml:space="preserve">, pero tras rebajar el caso base: con ese ROIC y la reinversión de FUSION 30, Daikin financia un 4,0 % anual de crecimiento y proyectamos un 3,9 %.</w:t>
      </w:r>
    </w:p>
    <w:p>
      <w:pPr>
        <w:spacing w:after="100"/>
      </w:pPr>
      <w:r>
        <w:rPr>
          <w:b/>
        </w:rPr>
        <w:t xml:space="preserve">Finanzas.</w:t>
      </w:r>
      <w:r>
        <w:t xml:space="preserve"> En FY2026 las ventas fueron de 5,02 billones de JPY (+5,5 %) y el beneficio operativo de 414.991 M (8,3 % de margen) [1]. En el 1T de FY2027 las ventas crecieron un 17,5 % (un 8 % sin divisa), pero el margen bajó de 10,0 % a 9,2 % por aranceles, materias primas y Oriente Medio [2, 6]. Por regiones: EE. UU. (36 % de las ventas) recuperó cuota tras el cambio de refrigerante, pero su margen bajó; China (9 %) cae un 12-14 % en divisa local frente a Midea y Gree; Europa (17 %) mejora con las bombas de calor y el gas caro; los centros de datos en Norteamérica (≈ 100.000 M JPY, el 2 % del grupo) crecen hacia 300.000 M en 2030 [18]. Deuda neta baja (0,7 veces el EBITDA).</w:t>
      </w:r>
    </w:p>
    <w:p>
      <w:pPr>
        <w:spacing w:after="100"/>
      </w:pPr>
      <w:r>
        <w:rPr>
          <w:b/>
        </w:rPr>
        <w:t xml:space="preserve">Equipo y gobierno.</w:t>
      </w:r>
      <w:r>
        <w:t xml:space="preserve"> Sin accionista de control y con Elliott (3,0 %) presionando. Tras un FUSION 25 que no cumplió margen ni ROE, la dirección recompró 349.997 M (≈ 5 % del capital) en el 1T y ligó la retribución al ROE [2, 7].</w:t>
      </w:r>
    </w:p>
    <w:p>
      <w:pPr>
        <w:spacing w:after="100"/>
      </w:pPr>
      <w:r>
        <w:rPr>
          <w:b/>
        </w:rPr>
        <w:t xml:space="preserve">Valoración.</w:t>
      </w:r>
      <w:r>
        <w:t xml:space="preserve"> El DCF da 16.322,38 JPY con el bono japonés al 3,0 % [29]. El precio descuenta un margen EBITDA del 15,5 %, es decir, el margen operativo del 10 % de FUSION 30 cumplido; nosotros suponemos el 13,9 %, el de hoy. A 12 meses no discrepamos del mercado: nuestro BPA de FY2028e (1.107,13 JPY) está un 3,8 % por debajo del consenso, y con un PER de 21,8x (a mitad de camino hacia su mediana de 22,8x) la acción subiría con el beneficio.</w:t>
      </w:r>
    </w:p>
    <w:p>
      <w:pPr>
        <w:spacing w:after="100"/>
      </w:pPr>
      <w:r>
        <w:rPr>
          <w:b/>
        </w:rPr>
        <w:t xml:space="preserve">Riesgos y catalizadores.</w:t>
      </w:r>
      <w:r>
        <w:t xml:space="preserve"> El riesgo principal es que FUSION 30 repita a FUSION 25: sin mejora de margen, el bajista a 12 meses (PER de 17,2x) pierde un 27,7 %. Le siguen la competencia china, el yen y los tipos japoneses. </w:t>
      </w:r>
      <w:r>
        <w:rPr>
          <w:b/>
        </w:rPr>
        <w:t xml:space="preserve">Riesgo de IA: bajo</w:t>
      </w:r>
      <w:r>
        <w:t xml:space="preserve">; Daikin vende equipos y servicio físicos y la IA es fuente de demanda (centros de datos), no un sustituto. Catalizadores: resultados del 2T a principios de noviembre, los del año en mayo de 2027 y el uso del cupo de recompras. Los foros están divididos: entusiasmo por los centros de datos y quejas por la poca retribución, sin riesgos que el informe no recoja.</w:t>
      </w:r>
    </w:p>
    <w:p>
      <w:pPr>
        <w:spacing w:after="100"/>
      </w:pPr>
      <w:r>
        <w:rPr>
          <w:b/>
        </w:rPr>
        <w:t xml:space="preserve">Qué cambiaría la decisión.</w:t>
      </w:r>
      <w:r>
        <w:t xml:space="preserve"> Compraríamos por debajo de 16.735,69 JPY, si además la calidad mejorase; venderíamos por encima de 26.084,23 JPY. Un margen operativo trimestral por encima del 10 % con el beneficio creciendo nos haría revisar el base al alza; dos trimestres por debajo del 9 %, a la baja.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23.135,81 JPY</w:t>
      </w:r>
      <w:r>
        <w:t xml:space="preserve"> (rentabilidad +8,8 % (base +13,4 %)) · Valor intrínseco: 16.735,69 JPY (-22,4 % sobre 21.575,00) · con la prima implícita del mercado: 20.175,78 (-6,5 %)</w:t>
      </w:r>
    </w:p>
    <w:p>
      <w:pPr>
        <w:spacing w:after="100"/>
      </w:pPr>
      <w:r>
        <w:t xml:space="preserve">Daikin es uno de los dos mayores fabricantes de climatización del mundo, con 5 billones de JPY de ventas, el 84 % fuera de Japón, y una posición fuerte en EE. UU. (Goodman), Europa y Japón [1, 16]. Su problema es la rentabilidad: un ROIC del 9 % que baja desde 2023 y un margen operativo del 8,3 % que no sube desde hace cinco años.</w:t>
      </w:r>
    </w:p>
    <w:p>
      <w:pPr>
        <w:spacing w:after="100"/>
      </w:pPr>
      <w:r>
        <w:t xml:space="preserve">El precio de 21.575 JPY descuenta que FUSION 30 lo arregla: un margen EBITDA del 15,5 % (operativo del 10 %) frente al 13,9 % de hoy. Cotiza a 20,9 veces nuestro beneficio de FY2027e, cerca de su mediana de cinco años (22,8x) y por encima de los comparables (17,4x).</w:t>
      </w:r>
    </w:p>
    <w:p>
      <w:pPr>
        <w:spacing w:after="100"/>
      </w:pPr>
      <w:r>
        <w:t xml:space="preserve">A 12 meses el beneficio crece un 7 % y el múltiplo puede volver hacia su historia (+8,8 % ponderado), pero el valor a largo plazo, con el bono japonés al 3 %, está un 22 % por debajo del precio. Para comprar hay que creer en el margen del 10 %; para vender, que el mercado dejará de pagar la promesa. Ninguna de las dos cosas es probable en 12 meses.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23.135,81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 × 906,50 = 15.591,80 · 21,8x × 1.107,13 = 24.135,43 · 22,8x × 1.257,92 = 28.680,58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 13,4 %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24.638,00 (nuestro base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16.735,69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 / -40,4 %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frente a 6,7 % y 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20.175,78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(3,9 % anual proyectado; financiable al ROIC actual: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16.735,69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16.735,69 y 26.084,23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26.084,23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16.735,69 JPY con el ROIC al alza: pasaríamos a Comprar.</w:t>
      </w:r>
    </w:p>
    <w:p>
      <w:pPr>
        <w:pStyle w:val="ListParagraph"/>
        <w:numPr>
          <w:ilvl w:val="0"/>
          <w:numId w:val="2"/>
        </w:numPr>
        <w:spacing w:after="60"/>
      </w:pPr>
      <w:r>
        <w:t xml:space="preserve">Precio por encima de 26.084,23 JPY: pasaríamos a Vender.</w:t>
      </w:r>
    </w:p>
    <w:p>
      <w:pPr>
        <w:pStyle w:val="ListParagraph"/>
        <w:numPr>
          <w:ilvl w:val="0"/>
          <w:numId w:val="2"/>
        </w:numPr>
        <w:spacing w:after="60"/>
      </w:pPr>
      <w:r>
        <w:t xml:space="preserve">Margen operativo por encima del 10 % dos trimestres seguidos: subiríamos el margen del caso base.</w:t>
      </w:r>
    </w:p>
    <w:p>
      <w:pPr>
        <w:pStyle w:val="ListParagraph"/>
        <w:numPr>
          <w:ilvl w:val="0"/>
          <w:numId w:val="2"/>
        </w:numPr>
        <w:spacing w:after="60"/>
      </w:pPr>
      <w:r>
        <w:t xml:space="preserve">ROIC por debajo del 8 % en FY2027: la calidad empeora y el múltiplo no se sostiene.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FUSION 30 sube el margen operativo al 10 % en marzo de 2029 y que los centros de datos cambian el perfil de crecimiento.</w:t>
      </w:r>
    </w:p>
    <w:p>
      <w:pPr>
        <w:keepNext/>
        <w:spacing w:after="100"/>
      </w:pPr>
      <w:r>
        <w:rPr>
          <w:b/>
          <w:bCs/>
        </w:rPr>
        <w:t xml:space="preserve">Lo que creemos nosotros.</w:t>
      </w:r>
    </w:p>
    <w:p>
      <w:pPr>
        <w:spacing w:after="100"/>
      </w:pPr>
      <w:r>
        <w:t xml:space="preserve">Los centros de datos pesan un 2 % de las ventas y FUSION 25 no cumplió el margen: suponemos un margen estable (13,9 % de EBITDA) y un crecimiento del 4 %, con un ROIC del 9 %.</w:t>
      </w:r>
    </w:p>
    <w:p>
      <w:pPr>
        <w:keepNext/>
        <w:spacing w:after="100"/>
      </w:pPr>
      <w:r>
        <w:rPr>
          <w:b/>
          <w:bCs/>
        </w:rPr>
        <w:t xml:space="preserve">Por qué podemos tener razón.</w:t>
      </w:r>
    </w:p>
    <w:p>
      <w:pPr>
        <w:spacing w:after="100"/>
      </w:pPr>
      <w:r>
        <w:t xml:space="preserve">Daikin lleva cinco años creciendo en ventas sin mejorar el margen, y la competencia china y los aranceles presionan el precio. Sin el margen prometido, el valor está en 16.000-17.000 JPY.</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21.57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Líder mundial</w:t>
      </w:r>
      <w:r>
        <w:t xml:space="preserve"> en climatización, con marca, compresores y refrigerantes propios y el 24 % del residencial de EE. UU. [7].</w:t>
      </w:r>
    </w:p>
    <w:p>
      <w:pPr>
        <w:pStyle w:val="ListParagraph"/>
        <w:numPr>
          <w:ilvl w:val="0"/>
          <w:numId w:val="2"/>
        </w:numPr>
        <w:spacing w:after="60"/>
      </w:pPr>
      <w:r>
        <w:rPr>
          <w:b/>
        </w:rPr>
        <w:t xml:space="preserve">Más retorno al accionista</w:t>
      </w:r>
      <w:r>
        <w:t xml:space="preserve">: recompra de 349.997 M en el 1T y cupo de más de 700.000 M [2, 7].</w:t>
      </w:r>
    </w:p>
    <w:p>
      <w:pPr>
        <w:pStyle w:val="ListParagraph"/>
        <w:numPr>
          <w:ilvl w:val="0"/>
          <w:numId w:val="2"/>
        </w:numPr>
        <w:spacing w:after="60"/>
      </w:pPr>
      <w:r>
        <w:rPr>
          <w:b/>
        </w:rPr>
        <w:t xml:space="preserve">Centros de datos</w:t>
      </w:r>
      <w:r>
        <w:t xml:space="preserve">: ventas cuadruplicadas desde 2023 y objetivo de 300.000 M en 2030 [18].</w:t>
      </w:r>
    </w:p>
    <w:p>
      <w:pPr>
        <w:pStyle w:val="ListParagraph"/>
        <w:numPr>
          <w:ilvl w:val="0"/>
          <w:numId w:val="2"/>
        </w:numPr>
        <w:spacing w:after="60"/>
      </w:pPr>
      <w:r>
        <w:rPr>
          <w:b/>
        </w:rPr>
        <w:t xml:space="preserve">Balance sólido</w:t>
      </w:r>
      <w:r>
        <w:t xml:space="preserve">: deuda neta de 0,7 veces el EBITDA y Altman Z de 3,41.</w:t>
      </w:r>
    </w:p>
    <w:p>
      <w:pPr>
        <w:pStyle w:val="Heading2"/>
      </w:pPr>
      <w:r>
        <w:t xml:space="preserve">En contra</w:t>
      </w:r>
    </w:p>
    <w:p>
      <w:pPr>
        <w:pStyle w:val="ListParagraph"/>
        <w:numPr>
          <w:ilvl w:val="0"/>
          <w:numId w:val="2"/>
        </w:numPr>
        <w:spacing w:after="60"/>
      </w:pPr>
      <w:r>
        <w:rPr>
          <w:b/>
        </w:rPr>
        <w:t xml:space="preserve">Calidad insuficiente</w:t>
      </w:r>
      <w:r>
        <w:t xml:space="preserve">: ROIC del 9,0 % frente a un WACC del 6,7 %, bajando desde 2023.</w:t>
      </w:r>
    </w:p>
    <w:p>
      <w:pPr>
        <w:pStyle w:val="ListParagraph"/>
        <w:numPr>
          <w:ilvl w:val="0"/>
          <w:numId w:val="2"/>
        </w:numPr>
        <w:spacing w:after="60"/>
      </w:pPr>
      <w:r>
        <w:rPr>
          <w:b/>
        </w:rPr>
        <w:t xml:space="preserve">Valor intrínseco por debajo del precio</w:t>
      </w:r>
      <w:r>
        <w:t xml:space="preserve">: 16.735,69 JPY, un 22,4 % menos.</w:t>
      </w:r>
    </w:p>
    <w:p>
      <w:pPr>
        <w:pStyle w:val="ListParagraph"/>
        <w:numPr>
          <w:ilvl w:val="0"/>
          <w:numId w:val="2"/>
        </w:numPr>
        <w:spacing w:after="60"/>
      </w:pPr>
      <w:r>
        <w:rPr>
          <w:b/>
        </w:rPr>
        <w:t xml:space="preserve">Margen que no sube</w:t>
      </w:r>
      <w:r>
        <w:t xml:space="preserve">: 8,3 % de margen operativo en FY2026 y 9,2 % en el 1T frente al 10,0 % un año antes [2].</w:t>
      </w:r>
    </w:p>
    <w:p>
      <w:pPr>
        <w:pStyle w:val="ListParagraph"/>
        <w:numPr>
          <w:ilvl w:val="0"/>
          <w:numId w:val="2"/>
        </w:numPr>
        <w:spacing w:after="60"/>
      </w:pPr>
      <w:r>
        <w:rPr>
          <w:b/>
        </w:rPr>
        <w:t xml:space="preserve">Competencia china</w:t>
      </w:r>
      <w:r>
        <w:t xml:space="preserve"> (Midea, Gree) y caída en China [6].</w:t>
      </w:r>
    </w:p>
    <w:p>
      <w:pPr>
        <w:pStyle w:val="Heading2"/>
      </w:pPr>
      <w:r>
        <w:t xml:space="preserve">Qué tiene que pasar para que la tesis funcione</w:t>
      </w:r>
    </w:p>
    <w:p>
      <w:pPr>
        <w:spacing w:after="100"/>
      </w:pPr>
      <w:r>
        <w:t xml:space="preserve">La tesis depende del margen. La señal de que FUSION 30 funciona: margen operativo trimestral por encima del 10 % en el 2T (noviembre) con subidas de precio; la de que falla: dos trimestres por debajo del 9 %.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FUSION 30 promete el 10 %.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del residencial con conductos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23 %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el 36 %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centros de datos en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100.000 M JPY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150.000 M en FY2028</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tesis que ha rerrateado la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ROIC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calidad decide si se puede comprar.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22,9x / 20,0x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Daikin nació en Osaka en 1924 como fabricante de tubos para radiadores de aviones (Osaka Kinzoku Kogyo) y fabricó su primer aire acondicionado en 1951; tomó el nombre actual en 1963 [15]. En los ochenta y noventa creó el sistema VRV (1982), que hoy define el aire acondicionado comercial, y salió de Japón con fábricas en Europa (Bélgica) y Asia. El salto de escala llegó con dos compras: OYL (Malasia, con McQuay) en 2006 y Goodman en EE. UU. en 2012 por 3.700 M USD [21]. Desde entonces es, por ventas, el mayor fabricante de climatización del mundo, con el 84 % de las ventas fuera de Japón. Desde 2023 compra en EE. UU. para la refrigeración de centros de datos, y en 2026 presentó FUSION 30, con objetivos de rentabilidad y recompras tras la entrada de un fondo activista [7,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Osaka (Osaka Kinzoku Kogyo).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aire acondicionado de Japón para uso comercial.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el sistema multisplit VRV.</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OYL Industries (Malasia; McQuay en EE. UU.).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Goodman Global por 3.700 M USD: entra en el residencial con conductos de EE. UU.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AHT Cooling (refrigeración comercial, Austria) por 881 M EUR.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para centros de datos en EE. UU. (Alliance Air, DDC Solutions, Chilldyne)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FUSION 30: margen del 10 % y ROE del 12 % en 2028, recompra de 350.000 M JPY y director financiero [7].</w:t>
            </w:r>
          </w:p>
        </w:tc>
      </w:tr>
    </w:tbl>
    <w:p>
      <w:pPr>
        <w:spacing w:after="160" w:before="0"/>
      </w:pPr>
    </w:p>
    <w:p>
      <w:pPr>
        <w:pStyle w:val="Heading1"/>
      </w:pPr>
      <w:r>
        <w:t xml:space="preserve">2. Modelo de negocio</w:t>
      </w:r>
    </w:p>
    <w:p>
      <w:pPr>
        <w:spacing w:after="100"/>
      </w:pPr>
      <w:r>
        <w:t xml:space="preserve">Daikin fabrica y vende climatización en más de 170 países: equipos residenciales (split, multisplit y, en EE. UU., sistemas con conductos de Goodman y Amana), comerciales (VRV, SKY), «applied» para edificios grandes, fábricas y centros de datos (enfriadoras, unidades de tratamiento de aire), bombas de calor para calefacción y agua caliente en Europa, refrigeración comercial y de contenedores, filtros de aire, y un negocio químico de fluoropolímeros y gases refrigerantes [1, 15]. Vende a través de distribuidores e instaladores (en EE. UU., unos 190 mayoristas propios), y en applied directamente a ingenierías e hiperescaladores. Fabrica cerca de cada mercado (EE. UU., México, Europa, China, India, Tailandia) [6].</w:t>
      </w:r>
    </w:p>
    <w:p>
      <w:pPr>
        <w:pStyle w:val="Heading2"/>
      </w:pPr>
      <w:r>
        <w:t xml:space="preserve">Cómo gana dinero</w:t>
      </w:r>
    </w:p>
    <w:p>
      <w:pPr>
        <w:spacing w:after="100"/>
      </w:pPr>
      <w:r>
        <w:t xml:space="preserve">El margen sale del equipo (margen bruto del 34,5 % en FY2026) y, cada vez más, del servicio y las soluciones (en applied de EE. UU., el 57 % de las ventas del 1T FY2027) [1, 6]. Depende del precio (subidas de 120.500 M JPY en FY2026), de la mezcla (inversores y bombas de calor frente a equipos básicos), del coste del cobre y el aluminio y del yen: el 84 % de las ventas está fuera de Japón y un yen más débil sube ventas y beneficio en JPY [6, 7]. Es estacional: el 1S (abril-septiembre, verano del hemisferio norte) concentra casi el 60 % del beneficio operativo [7]. Los costes fijos son altos (fábricas y redes de venta en cada región), así que el volumen mueve mucho el margen.</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Aire acondicionado y refrigeración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4.624.148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Química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Aire acondicionado y refrigeración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2.815.099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3.631.923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4.030.828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4.387.234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4.624.148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Química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307.464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113.610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cliente que supere el 10 % de las ventas [1]. En residencial y comercial vende a distribuidores e instaladores con rotación anual; en applied, a constructoras, ingenierías e hiperescaladores por proyectos. El poder de precios existe pero es limitado: en FY2026 repercutió 120.500 M JPY frente a 88.000 M de materias primas y aranceles y 57.000 M de costes fijos, y aun así el margen operativo bajó 0,2 puntos [7]. En el 1T FY2027 las subidas (25.000 M) no compensaron las materias primas (38.000 M) [6]. En China y Asia la competencia de Midea, Gree y otros fabricantes chinos limita el precio de los equipos básicos [7].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Daikin en equipos residenciales con conductos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20 %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23 % (1T FY2027); 24 % en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la cuota perdida en FY2024 por el cambio de refrigerante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centros de datos en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23.000 M JPY (2023)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100.000 M JPY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300.000 M JPY o más en 2030 con un 15 % de margen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(FY2026); 9,2 % en el 1T FY2027 (10,0 % un año antes)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FUSION 30: 10 % en el ejercicio que cierra en marzo de 2029 y más del 12 % en el de 2031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negocio applied en EE. UU. (DAA), divisa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 del 1T anterior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y servicio; el margen bajó por aranceles, peso mexicano y desarrollo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(divisa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residencial 86 %, comercial 88 %, applied 87 % del 1T anterior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a −14 %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inmobiliaria; Daikin mantiene un margen alto concentrándose en multisplit residencial premium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Química: ventas del 1T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59.900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77.200 M JPY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del 10,9 % al 14,8 % por semiconductores y cables de centros de datos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climatización (calefacción, ventilación y aire acondicionado: equipos residenciales, comerciales y applied, con su servicio). Se usa la cifra de MarketsandMarkets (299.280 M USD en 2025, ≈ 47,4 billones JPY al cambio de hoy) porque incluye sistemas y es coherente con el tamaño de los cinco grandes; Maximize Market Research da 169.000 M USD con una definición más estrecha de equipos [16, 17]. Daikin estimaba el mercado mundial de climatización y refrigeración en 18 billones JPY en 2010 [21]. La parte que más crece es la refrigeración de centros de datos: 1,4 billones JPY en FY2025 y 2,7 billones en FY2030 según Daikin (14 % anual)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299.280 M USD en 2025 (≈ 47,4 billones JPY) [16]; 169.000 M USD con una definición de equipos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JPY (USD a 158,45 JPY))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Calor extremo y penetración del aire acondicionado (India, Sudeste Asiático,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+28 % y Tailandia +28 % en divisa local en el 1T FY2027; en Europa solo el 20 % de las viviendas tienen aire acondicionado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refrigeración de centros de datos de 1,4 a 2,7 billones JPY en 2025-2030 [15]; ventas de Daikin en Norteamérica de 23.000 M a 100.000 M JPY en dos años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refrigerantes y eficiencia (AIM Act en EE. UU., F-gas en la UE, normas japonesas de 2027)</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el adelanto de compras antes del cambio a R-454B/R32 dejó existencias altas y un FY2026 débil en residencial [1]; en Japón, compras anticipadas en el 1T FY2027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Vivienda e inmobiliario (tipos hipotecarios en EE. UU., crisis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−12/−14 % en divisa local en el 1T FY2027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de la calefacción (bombas de calor)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Europa la demanda se recupera con el gas caro tras la crisis de Oriente Medio, pero las ayudas son inestables y FUSION 25 no recuperó las inversiones en bombas de calor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 y costes de materias primas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−41.000 M JPY de efecto directo de aranceles en FY2026 y −38.000 M de materias primas en el 1T FY2027 [6,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grandes globales (Carrier, Daikin, Trane, Midea, Gree) más LG, Samsung, Mitsubishi Electric y Johnson Controls; en equipos básicos compiten los chinos con precio (Gree con margen operativo del 16,5 %, Midea del 10 %)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Distribuidores e instaladores fragmentados, pero en applied los hiperescaladores negocian proyectos grandes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aluminio, acero y compresores; Daikin fabrica sus propios compresores y refrigerantes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redes de instaladores y servicio en cada país; los nuevos entran por compra (Bosch-JCI/Hitachi, Carrier-Viessmann)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refrigeración líquida directa al chip sustituye parte de la refrigeración por aire en centros de datos; Daikin compró Chilldyne y DDC para cubrirla [18].</w:t>
            </w:r>
          </w:p>
        </w:tc>
      </w:tr>
    </w:tbl>
    <w:p>
      <w:pPr>
        <w:spacing w:after="160" w:before="0"/>
      </w:pPr>
    </w:p>
    <w:p>
      <w:pPr>
        <w:pStyle w:val="Heading2"/>
      </w:pPr>
      <w:r>
        <w:t xml:space="preserve">Ciclo</w:t>
      </w:r>
    </w:p>
    <w:p>
      <w:pPr>
        <w:spacing w:after="100"/>
      </w:pPr>
      <w:r>
        <w:t xml:space="preserve">Indicadores: envíos de AHRI en EE. UU. (el residencial salió del bache del cambio de refrigerante en 2026), inicio de obra en Japón, inmobiliario chino y pedidos de centros de datos [1, 6]. En 2008-09 las ventas de Daikin cayeron un 15 %; en 2020 (FY2021), un 2,2 %, y el beneficio operativo un 10 % [20]. 2022 fue un año de precios y existencias altas, y 2024-2025 de digestión de existencias en EE. UU. y de caída en China. Hoy EE. UU. residencial se recupera despacio, China sigue a la baja, Europa mejora con el gas caro y los centros de datos crecen a doble dígito.</w:t>
      </w:r>
    </w:p>
    <w:p>
      <w:pPr>
        <w:pStyle w:val="Heading2"/>
      </w:pPr>
      <w:r>
        <w:t xml:space="preserve">Regulación</w:t>
      </w:r>
    </w:p>
    <w:p>
      <w:pPr>
        <w:spacing w:after="100"/>
      </w:pPr>
      <w:r>
        <w:t xml:space="preserve">EE. UU.: la AIM Act obligó a dejar el R-410A en equipos nuevos desde el 1-ene-2025; Daikin apostó por el R32, que la competencia no usa (eligió R-454B), lo que le hizo perder cuota en 2024 y recuperarla en 2025-2026 [7]. UE: el reglamento F-gas reforzado (2024) reduce los HFC y prohíbe ciertos equipos con refrigerantes de alto potencial; la directiva de eficiencia de edificios y la ley alemana de energía de edificios favorecen las bombas de calor, aunque las ayudas han cambiado varias veces [1]. Japón: nuevas normas de eficiencia de 2027 que adelantan la renovación [6]. Aranceles de EE. UU. de 2025-2026 (en parte devueltos: +10.500 M JPY en el 1T FY2027) [6].</w:t>
      </w:r>
    </w:p>
    <w:p>
      <w:pPr>
        <w:pStyle w:val="Heading2"/>
      </w:pPr>
      <w:r>
        <w:t xml:space="preserve">Tendencias y disrupción</w:t>
      </w:r>
    </w:p>
    <w:p>
      <w:pPr>
        <w:spacing w:after="100"/>
      </w:pPr>
      <w:r>
        <w:t xml:space="preserve">Tres tendencias favorecen a Daikin: la penetración del aire acondicionado en India y Europa por el calor, la refrigeración de centros de datos (aunque allí Trane, Vertiv y Carrier tienen más cuota en EE. UU.) y el paso de equipo a servicio y soluciones, donde Daikin aún va por detrás de Trane y Johnson Controls [7, 18]. Dos le perjudican: los fabricantes chinos (Midea, Gree, Haier) ganan cuota fuera de China con precio, y la refrigeración líquida directa al chip desplaza parte de la refrigeración por aire en los centros de datos [7, 18]. El riesgo de que la IA sustituya el negocio es bajo: vende equipos físicos y servicio in situ; la IA es sobre todo una fuente de demanda.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o 2.º mundial en climatización por ventas (con Midea y Carrier); 1.º en Japón y Europa; ≈ 24 % del residencial con conductos de EE. UU. [7, 15]; cuota calculada como ventas del grupo entre el mercado de MarketsandMarkets.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Midea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000333.SZ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11.018.000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China, crece fuera (Arbonia, Teka, Clivet); precio y escala en equipos básicos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Gree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000651.SZ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de split residencial; muy rentable en China, poco presente en applied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Residencial y comercial en EE. UU. y bombas de calor en Europa (Viessmann)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applied comercial y centros de datos en EE. UU., con gran negocio de servicio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Applied (York), control de edificios y servicio; vendió el residencial a Bosch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840.100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Residencial y comercial ligero en Norteamérica, venta directa a instaladores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Mitsubishi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6503.T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6.079.000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Conglomerado; su climatización compite en split y VRV en Japón y Europa (cifras del grupo)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instaladores y distribuidores formados en sus equipos crea algo de inercia, pero no hay efecto de red propiamente dicho.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VRV y los contratos de servicio de applied fijan al cliente durante la vida del edificio; en residencial, el instalador cambia de marca con facilidad (Daikin perdió cuota en EE. UU. en FY2024)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líder en Japón y Europa, patentes de inversores, compresores y refrigerantes (R32)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mundial, compresores propios y fabricación local; pero los chinos son más baratos en equipos básicos y el margen de Daikin (8,3 %) está por debajo de Trane o Lennox (19-23 %)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Redes de venta y servicio en más de 170 países, difíciles de replicar [3].</w:t>
            </w:r>
          </w:p>
        </w:tc>
      </w:tr>
    </w:tbl>
    <w:p>
      <w:pPr>
        <w:spacing w:after="160" w:before="0"/>
      </w:pPr>
    </w:p>
    <w:p>
      <w:pPr>
        <w:pStyle w:val="Heading2"/>
      </w:pPr>
      <w:r>
        <w:t xml:space="preserve">Amenazas</w:t>
      </w:r>
    </w:p>
    <w:p>
      <w:pPr>
        <w:spacing w:after="100"/>
      </w:pPr>
      <w:r>
        <w:t xml:space="preserve">Primero, los fabricantes chinos: con márgenes del 10-17 % y escala, Midea y Gree pueden llevar a Asia, Oriente Medio y Europa la guerra de precios que ya hay en China; probabilidad media-alta [7, 19]. Segundo, en EE. UU. residencial (el mayor mercado de Daikin), Carrier, Trane y Lennox tienen marcas y canales fuertes, y el producto premium «Fit» avanza más despacio de lo previsto (4 % de las ventas residenciales) [6]. Tercero, en centros de datos compite con Vertiv, Trane, Carrier y Schneider, que integran la refrigeración líquida; Daikin compró dos especialistas pero llega tarde [18]. El foso es real pero se refleja en volumen y cuota, no en margen.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2.493.386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3.109.106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464.412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3.981.578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559.256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4.395.317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607.701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392.137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4.752.335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647.684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401.669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5.015.036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691.197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414.991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Crecimiento anual compuesto FY2021-FY2026: ingresos </w:t>
      </w:r>
      <w:r>
        <w:rPr>
          <w:b/>
          <w:bCs/>
        </w:rPr>
        <w:t xml:space="preserve">15,0 %</w:t>
      </w:r>
      <w:r>
        <w:t xml:space="preserve">, EBITDA </w:t>
      </w:r>
      <w:r>
        <w:rPr>
          <w:b/>
          <w:bCs/>
        </w:rPr>
        <w:t xml:space="preserve">13,2 %</w:t>
      </w:r>
      <w:r>
        <w:t xml:space="preserve">, BPA </w:t>
      </w:r>
      <w:r>
        <w:rPr>
          <w:b/>
          <w:bCs/>
        </w:rPr>
        <w:t xml:space="preserve">12,0 %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2,49 a 5,02 billones de JPY entre FY2021 y FY2026 (+15 % anual), con tres motores: la debilidad del yen (el dólar de 106 a 151 JPY), las compras en EE. UU. (Goodman en 2012, y desde 2023 fabricantes de unidades de tratamiento de aire y representantes de ventas para centros de datos) y el precio [1, 3, 4]. El margen operativo subió del 9,6 % de FY2021 al 10,2 % de FY2022 y desde entonces cae: 9,5 % en FY2023, 8,9 % en FY2024, 8,5 % en FY2025 y 8,3 % en FY2026 [1, 3]. Las causas, según la propia empresa: el cambio de refrigerante y el exceso de existencias en EE. UU., la competencia china en Asia, la crisis inmobiliaria china, el retraso de las bombas de calor en Europa y unos costes fijos que crecieron más que las ventas; en FY2026 los aranceles de EE. UU. costaron unos 41.000 M JPY directos, compensados con 120.500 M de precio y 81.000 M de ahorro de costes [5, 7]. En el 1T FY2027 las ventas crecieron un 17,5 % (8 % sin divisa) y el beneficio operativo un 7,6 %, con el margen del 10,0 % al 9,2 % [2, 6].</w:t>
      </w:r>
    </w:p>
    <w:p>
      <w:pPr>
        <w:pStyle w:val="Heading2"/>
      </w:pPr>
      <w:r>
        <w:t xml:space="preserve">Ajustes y partidas no recurrentes</w:t>
      </w:r>
    </w:p>
    <w:p>
      <w:pPr>
        <w:spacing w:after="100"/>
      </w:pPr>
      <w:r>
        <w:t xml:space="preserve">Daikin presenta en J-GAAP: el fondo de comercio se amortiza (51.371 M JPY en FY2026, ≈ 175 JPY por acción) y va dentro del beneficio operativo; los comparables en NIIF o US GAAP no lo amortizan [1]. El EBITDA del informe es el beneficio operativo más la depreciación y la amortización del fondo de comercio. Entre el beneficio operativo y el antes de impuestos hay partidas no operativas (intereses, divisa, ajuste por hiperinflación en Turquía: +14.519 M en FY2026 y −9.023 M en FY2025) y extraordinarias (plusvalías por venta de participaciones cruzadas: 13.831 M en FY2026, 12.162 M en FY2025 y 46.259 M en FY2024; deterioros de 11.849 M en FY2026); el campo «resultado financiero» las recoge todas (beneficio antes de impuestos − beneficio operativo). Las plusvalías por venta de participaciones cruzadas se repiten cada año pero se agotarán: no se proyectan [1, 3].</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1.100.160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1.213.821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1.264.977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1.187.531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1.426.810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mayo de 2026 la dirección presentó FUSION 30 reconociendo que FUSION 25 no cumplió sus objetivos de margen ni de rentabilidad sobre fondos propios pese a superar el de ventas (5,0 billones frente a 4,5): fija un margen operativo del 10 % y un ROE del 12 % para el ejercicio que cierra en marzo de 2029, y del 12 % y el 15 % para el de 2031; nombra director financiero, añade un consejero externo, liga la retribución al ROE y al D-ROIC y anuncia una recompra de 350.000 M JPY [7]. Los analistas (UBS, Nomura) preguntaron sobre todo cómo se pasa del 8 % al 13 % de margen en EE. UU. en tres años; la respuesta fue el producto «Fit» con inversor y los centros de datos, sin cifras intermedias [7]. En agosto, el 1T mostró récord de ventas y beneficio operativo, pero el margen cayó 0,8 puntos: los costes de Oriente Medio, materias primas y aranceles superaron lo previsto y la rentabilidad bajó en América (más producto barato, «Fit» por debajo de lo previsto) y Asia; la empresa mantuvo la previsión anual y prometió mejora desde el 2T con subidas de precio [6, 8]. La dirección evitó dar el margen del negocio residencial de EE. UU. y la cifra de servicios y soluciones, que dijo publicará más adelante [6].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3.239.662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707.980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736.098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665.835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1.665.689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3.823.998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963.916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817.619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722.430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1.969.687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4.303.682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658.454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1.347.051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617.663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760.589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2.235.032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4.880.230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683.726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1.537.013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2.637.537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5.133.416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637.867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1.547.250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802.663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2.801.281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5.809.240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669.541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1.729.020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933.484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211.423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3.249.840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financiera era casi nula a mar-26 (883.162 M de deuda frente a 933.484 M de caja y depósitos) y pasó a 281.064 M a jun-26 por la recompra [1, 2]. El circulante comercial (existencias + clientes − proveedores) fue del 34,5 % de las ventas en FY2026, frente al 28 % de FY2021: las existencias pasaron de 469.396 M a 1.137.901 M por la estrategia de fabricar cerca del mercado y las compras previas al cambio de refrigerante [1, 4]. Esa inmovilización es la principal palanca del nuevo indicador D-ROIC [15].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514.450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465.848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209.081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192.077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FY2021-FY2026: FCF </w:t>
      </w:r>
      <w:r>
        <w:rPr>
          <w:b/>
          <w:bCs/>
        </w:rPr>
        <w:t xml:space="preserve">802.174</w:t>
      </w:r>
      <w:r>
        <w:t xml:space="preserve">, conversión </w:t>
      </w:r>
      <w:r>
        <w:rPr>
          <w:b/>
          <w:bCs/>
        </w:rPr>
        <w:t xml:space="preserve">56 %</w:t>
      </w:r>
      <w:r>
        <w:t xml:space="preserve"> del beneficio neto; adquisiciones 285.396, dividendos 416.959, recompras 0.</w:t>
      </w:r>
    </w:p>
    <w:p>
      <w:pPr>
        <w:spacing w:after="100"/>
      </w:pPr>
      <w:r>
        <w:t xml:space="preserve">El flujo operativo fue irregular: 158.896 M en FY2023 por la acumulación de existencias y 514.450 M en FY2025 al liberarlas [1, 3]. El capex de la tabla es solo inmovilizado material (209.081 M en FY2026); la inversión en intangibles va dentro de «otros» de inversión (unos 21.000-32.000 M al año). Daikin no separa mantenimiento y crecimiento; FUSION 30 prevé 1,3 billones de capex en cinco años (≈ 260.000 M al año, el 5 % de las ventas) y 500.000 M de compras [7]. Adquisiciones: suma de compras de filiales, aportaciones a filiales y compras de negocios. Desinversiones: ventas de valores (participaciones cruzadas) y de inmovilizado. En el 1T FY2027 compró acciones propias por 349.999 M [2].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Touche Tohmatsu LLC</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fiables y conservadoras. Deloitte firma sin salvedades [13]. En J-GAAP el fondo de comercio se amortiza (51.371 M en FY2026), lo que reduce el beneficio publicado frente a unas NIIF; no hay capitalización relevante de I+D ni pagos en acciones significativos. Los trimestrales [9, 10, 11, 12] muestran la estacionalidad típica (el 3T es el más flojo: BPA de 117,61 JPY frente a 270-280 en los demás) y no hay cambios de criterio. La conversión de caja fue mala en FY2022-FY2023 por la acumulación de existencias (flujo operativo de 158.896 M en FY2023 frente a 257.754 M de beneficio) y buena en FY2025 al liberarlas [3, 14]: el 56 % del beneficio acumulado de FY2021-FY2026 se convirtió en caja libre. Indicadores del motor: Altman Z de 3,41 (zona segura), Piotroski F de 7 (bueno; fallan ROA y rotación) y Beneish M de −2,49 (sin señal de manipulación). La tasa fiscal efectiva (29 %) es normal para Japón.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DIO por encima de 100 días y circulante del 34,5 % de las ventas: en FY2023 la acumulación hundió el flujo operativo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del fondo de comercio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51.371 M en FY2026 dentro del beneficio operativo (J-GAAP); al compararla con empresas NIIF o US GAAP hay que sumarla.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Partidas extraordinarias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participaciones cruzadas y pérdidas por reestructuración van fuera del beneficio operativo; el resultado antes de impuestos fue 11.363 M inferior al operativo en FY2026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1.711.588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1.862.173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2.279.351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2.729.850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2.980.211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3.259.746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8,5 % · </w:t>
      </w:r>
      <w:r>
        <w:rPr>
          <w:b/>
          <w:bCs/>
        </w:rPr>
        <w:t xml:space="preserve">WACC</w:t>
      </w:r>
      <w:r>
        <w:t xml:space="preserve">: 6,7 %.</w:t>
      </w:r>
    </w:p>
    <w:p>
      <w:pPr>
        <w:spacing w:after="100"/>
      </w:pPr>
      <w:r>
        <w:t xml:space="preserve">Daikin crea valor, pero poco: el ROIC fue del 9,0 % en FY2026 frente a un WACC del 6,7 % (2,3 puntos), y ha bajado desde el 11,8 % de FY2023. La caída viene de la rotación (de 0,98 a 0,92 veces el capital) y del margen: el capital invertido creció un 43 % en tres años (fábricas en EE. UU., México e India, existencias) mientras el beneficio operativo solo un 10 %. El ROIC incremental de FY2021-FY2026 es del 8,5 %: el crecimiento reciente apenas cubre el coste de capital. Sin fondo de comercio ni su amortización, el ROIC sería del 11,6 % (4,9 puntos sobre el WACC): las compras (Goodman, AHT, Flanders) restan unos 2,6 puntos, pero ni así llega a los 5 puntos de calidad. Los estadounidenses rinden más: Trane un 24 %, Lennox un 34 % y JCI un 11 % [19]. FUSION 30 lo reconoce y liga la retribución al D-ROIC [7, 15].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492.487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-148.700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343.787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depósitos de 925.534 M JPY a 30-jun-2026 frente a una deuda con intereses de 1.206.598 M (préstamos a corto 500.297 M y pagarés 143.382 M, que subieron 330.000 M en el trimestre para pagar la recompra de 350.000 M) [2]. En julio emitió bonos domésticos (serie 36)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en los documentos leídos (la dirección habla de mantener el rating actual) [7]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Provisión de garantías de producto de 132.908 M JPY (2,7 % de las ventas), que crece con la base instalada en EE. UU. [1]. Pensiones con superávit neto (activo de 36.878 M frente a pasivo de 23.418 M) [1]. Arrendamientos de 211.423 M (las filiales extranjeras aplican NIIF 16 y ASC 842) [1]. Inversiones en valores de 199.020 M a mar-26 y 212.415 M a jun-26, sobre todo participaciones cruzadas que la empresa va vendiendo [1, 2]. Sin pasivos por compras aplazadas relevantes en el balance resumido.</w:t>
      </w:r>
    </w:p>
    <w:p>
      <w:pPr>
        <w:pStyle w:val="Heading1"/>
      </w:pPr>
      <w:r>
        <w:t xml:space="preserve">12. Asignación de capital</w:t>
      </w:r>
    </w:p>
    <w:p>
      <w:pPr>
        <w:pStyle w:val="Confianza"/>
        <w:spacing w:after="100"/>
      </w:pPr>
      <w:r>
        <w:t xml:space="preserve">Confianza: Media</w:t>
      </w:r>
    </w:p>
    <w:p>
      <w:pPr>
        <w:spacing w:after="100"/>
      </w:pPr>
      <w:r>
        <w:t xml:space="preserve">Hasta FY2026, dividendo con un objetivo de rentabilidad sobre fondos propios del 3 % (DOE) y prioridad a reducir deuda [7]. Con FUSION 30 (mayo 2026): prioridad a la inversión en crecimiento, dividendo estable y creciente (360 JPY previstos en FY2027, desde 340) y recompras «flexibles y continuas»: 350.000 M JPY ejecutados de una vez en el 1T FY2027 (14,5 M de acciones, ≈ 5 % del capital) dentro de un cupo de más de 700.000 M para «recompras o compras adicionales» en cinco años, además de 500.000 M para compras ya identificadas [2,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192.077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Goodman Global (EE. UU., equipos residenciales con conductos)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negocio de EE. UU. (35,6 % de las ventas del grupo hoy); el fondo de comercio se amortiza en J-GAAP; el residencial de EE. UU. perdió cuota en FY2024 con el cambio de refrigerante y la recuperó en FY2026 (24 %)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Flanders (EE. UU., filtros)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de filtros está entre los de «baja rentabilidad» que FUSION 30 quiere reestructurar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AHT Cooling Systems (Austria, vitrinas frigoríficas)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refrigeración europea también figura entre los negocios «preocupantes» que se están reestructurando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FY2023-FY2026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Fabricantes de unidades de tratamiento de aire a medida (Alliance Air), representantes de ventas, empresas de instrumentación y DDC Solutions y Chilldyne (refrigeración de centros de datos)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211.373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a centros de datos en Norteamérica pasaron de ≈ 23.000 M (2023) a ≈ 100.000 M JPY (FY2026) [7].</w:t>
            </w:r>
          </w:p>
        </w:tc>
      </w:tr>
    </w:tbl>
    <w:p>
      <w:pPr>
        <w:spacing w:after="160" w:before="0"/>
      </w:pPr>
    </w:p>
    <w:p>
      <w:pPr>
        <w:spacing w:after="100"/>
      </w:pPr>
      <w:r>
        <w:t xml:space="preserve">Asignación mejorable que empieza a corregirse. En FY2021-FY2026 generó 802.174 M de caja libre (el 56 % del beneficio), gastó 285.396 M en compras y 416.959 M en dividendos, y no recompró nada: la caja se fue a fábricas y existencias con un ROIC incremental del 8,5 %. Las compras grandes tuvieron resultados mixtos: Goodman es hoy el negocio de EE. UU. (36 % de las ventas), pero AHT y Flanders están entre los negocios «preocupantes» que FUSION 30 reestructura [6]. Con la presión de Elliott (3,0 %) y votos de la junta más ajustados [22, 23, 24], la dirección ha cambiado: recompra de 349.997 M (≈ 5 % del capital) en el 1T FY2027, cupo de más de 700.000 M para recompras o compras y retribución ligada al ROE [2, 7]. El juicio depende de que esos 500.000 M de compras rindan más que las anteriores.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Masanori Togawa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CEO (consejero delegado representante)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desde 2014 y presidente del consejo y CEO desde 2024; dirigió FUSION 25, que superó el objetivo de ventas pero no los de margen y ROE [7]. Su reelección tuvo el 89,9 % a favor en 2025 y el 95,0 % en 2026 [22,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Naofumi Takenaka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COO (consejero delegado representante)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desde 2024; responsable de ejecutar FUSION 30 (margen del 10 % en 2028)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Koichi Takahashi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financiero de hecho (contabilidad, finanzas, presupuesto)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Finanzas y Contabilidad; FUSION 30 crea el puesto de director financiero para la política de capital y las recompras [7, 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Kanwal Jeet Jawa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director regional de India y África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de Daikin India, el mercado que más crece del grupo (+28 % en el 1T FY2027) [13].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inicial de beneficio operativo de 280.000 M JPY (aprox.)</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316.350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de 360.000 M JPY (aprox.)</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377.032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de 410.000 M JPY (aprox.)</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392.137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de 430.000 M JPY (aprox.)</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401.669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de 415.000 M JPY</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414.991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FUSION 25 (FY2021-FY2026)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4,5 billones, margen y ROE más altos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5,0 billones; margen del 8,3 % y ROE del 9,1 %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Togawa lleva doce años al frente, con un relevo ordenado en 2024 (Takenaka como COO) [13]. La credibilidad en márgenes es la debilidad: dos ejercicios seguidos (FY2024 y FY2025) por debajo de la guía de beneficio y FUSION 25 sin cumplir el margen ni el ROE, lo que la propia dirección reconoce [1, 7]. FUSION 30 llega con un cambio de discurso (de crecer en ventas a rentabilidad y capital) tras la entrada de Elliott (3,0 % del capital) [13, 25]. Las cifras de guía anteriores a FY2026 son aproximadas (de los Kessan Tanshin de cada año) y se marcan como tales.</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Masanori Togawa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asesor de nombramientos (HRM) y de retribución (miembro)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Naofumi Takenaka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control interno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Tatsuo Kawada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los comités asesores de nombramientos y de retribución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Akiji Makino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Shingo Torii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Yuko Arai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Gerhard Korbinian Wiesheu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Koichi Takahashi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responsable de finanzas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Keiko Mori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 (recursos humanos)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Kanwal Jeet Jawa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ejecutivo (India y África)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los documentos leídos)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(fondos y planes de pensiones)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505001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Elliott International,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2025-2026; no estaba entre los diez primeros antes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Sumitomo Mitsui Banking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(participación cruzada)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MUFG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(participación cruzada)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14,78 M de acciones a jun-26 tras la recompra de 350.000 M (0,27 M a mar-26)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retribución de los 13 consejeros de FY2026 sumó 1.201 M JPY: 446 M fijos, 520 M variables ligados a resultados y 234 M en opciones sobre acciones [13]. La junta de 2026 aprobó (98-99,7 % a favor) un sistema nuevo: fijo de hasta 800 M al año, bonus de hasta 1.200 M y acciones diferidas (RSU por permanencia y PSU ligadas a objetivos), con el ROE y el D-ROIC de FUSION 30 entre los indicadores [7, 22]. Daikin no publica la retribución individual del primer ejecutivo en la convocatoria. El comité de retribución lo preside un independiente y lo asesora WTW [13]. Japón no vota la retribución cada año: el voto de referencia es el de reelección del primer ejecutivo (89,9 % a favor en 2025, el más bajo de las tres últimas juntas) [23].</w:t>
      </w:r>
    </w:p>
    <w:p>
      <w:pPr>
        <w:pStyle w:val="Heading2"/>
      </w:pPr>
      <w:r>
        <w:t xml:space="preserve">Operaciones vinculadas, estructura de control y defensas</w:t>
      </w:r>
    </w:p>
    <w:p>
      <w:pPr>
        <w:spacing w:after="100"/>
      </w:pPr>
      <w:r>
        <w:t xml:space="preserve">Sin accionista de control: los mayores son custodios fiduciarios y el primer inversor con nombre es Elliott, con el 3,0 % [13]. Una acción, un voto; sin blindajes conocidos. Quedan participaciones cruzadas pequeñas de bancos (SMBC 2,4 %, MUFG 1,3 %) y Daikin vende las suyas (plusvalías de 12.000-46.000 M al año) [13]. El presidente del consejo es a la vez CEO: el contrapeso son cinco consejeros externos independientes de diez (desde 2026) y los comités asesores presididos por un independiente [13, 22]. Japón no tiene registro público de operaciones de directivos.</w:t>
      </w:r>
    </w:p>
    <w:p>
      <w:pPr>
        <w:pStyle w:val="Heading2"/>
      </w:pPr>
      <w:r>
        <w:t xml:space="preserve">Señales de alerta</w:t>
      </w:r>
    </w:p>
    <w:p>
      <w:pPr>
        <w:pStyle w:val="ListParagraph"/>
        <w:numPr>
          <w:ilvl w:val="0"/>
          <w:numId w:val="2"/>
        </w:numPr>
        <w:spacing w:after="60"/>
      </w:pPr>
      <w:r>
        <w:t xml:space="preserve">Voto del 89,9 % a favor de la reelección del presidente y CEO en 2025 (el 10 % en contra es alto para Japón), que subió al 95,0 % en 2026 tras FUSION 30 [22, 23].</w:t>
      </w:r>
    </w:p>
    <w:p>
      <w:pPr>
        <w:pStyle w:val="ListParagraph"/>
        <w:numPr>
          <w:ilvl w:val="0"/>
          <w:numId w:val="2"/>
        </w:numPr>
        <w:spacing w:after="60"/>
      </w:pPr>
      <w:r>
        <w:t xml:space="preserve">Fondo activista (Elliott) con el 3,0 %: presiona por rentabilidad y recompras [13,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Previsión de FY2027 (12-may-2026, mantenida el 4-ago-2026): ventas de 5,15 billones JPY (+2,7 %), beneficio operativo de 436.000 M (+5,1 %; margen del 8,5 %), beneficio neto de 278.000 M (+1,0 %) y BPA de 949,32 JPY (calculado antes de la recompra), con el dólar a 145 JPY y el euro a 170; 1S: ventas de 2,61 billones y beneficio operativo de 258.000 M [1]. Plan FUSION 30: margen operativo del 10 % y ROE del 12 % en el ejercicio que cierra en marzo de 2029, y del 12 % y el 15 % en el de 2031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5.358.278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15 analistas [27]; DPA: previsión de la empresa [1]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5.604.450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15 analistas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5.315.938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5.358.278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722.968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5.555.155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5.604.450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766.611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9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24.638,15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20.700,00 – 28.800,00</w:t>
            </w:r>
          </w:p>
        </w:tc>
      </w:tr>
    </w:tbl>
    <w:p>
      <w:pPr>
        <w:spacing w:after="160" w:before="0"/>
      </w:pPr>
    </w:p>
    <w:p>
      <w:pPr>
        <w:pStyle w:val="Heading2"/>
      </w:pPr>
      <w:r>
        <w:t xml:space="preserve">Revisiones de estimaciones</w:t>
      </w:r>
    </w:p>
    <w:p>
      <w:pPr>
        <w:spacing w:after="100"/>
      </w:pPr>
      <w:r>
        <w:t xml:space="preserve">Hace 90 días el consenso de BPA era de 1.003,61 JPY para FY2027 y 1.153,05 para FY2028: recortes leves del 0,8 % y el 0,2 % tras el 1T, que batió en ventas pero no en margen [27]. Una sola fuente gratuita con estimaciones completas (Yahoo Finance); MarketScreener no abrió. El precio objetivo medio (24.638 JPY, 13 analistas) supone un 14,2 % sobre el precio. Sin consenso de EBITDA comparable.</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Daikin ha ido muy por detrás del mercado japonés: −2,7 % anual en cinco años frente al +18,9 % del Nikkei y el +15,9 % del TOPIX (ETF 1306), todo de precio [26]. Cotizó a 30 veces beneficios en 2021 y se desrateó con tres años de márgenes a la baja (cambio de refrigerante en EE. UU., China) [26]. En 2026 sube un 7,4 % (el Nikkei, un 34,6 %, tirado por tecnología e IA) [26]. La caída máxima en cinco años fue del 50 % y la beta mensual frente al Nikkei es baja (0,62) [26]. El 1T FY2027 (agosto) y la recompra no cambiaron la tendencia: máximo de 26.440 JPY en julio y 21.575 hoy [26].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Daikin cotiza a 22,9 veces el beneficio de los últimos 12 meses y a 9,0 veces el EBITDA, en el percentil 40 de sus cinco años (mediana de 23,2x y 10,4x). El múltiplo cayó de 30x en FY2022 a 17,9x en FY2025 con tres años de márgenes a la baja (cambio de refrigerante y exceso de existencias en EE. UU., China) y con el bono japonés pasando de cero al 3 %; ha rebotado a 20,9x el beneficio adelantado por las recompras, el activista y la tesis de centros de datos. Se excluye FY2021 (41,8x), cierre de la burbuja de la pandemia. Con tipos al 3 % la mediana de cinco años es generosa: buena parte se formó con tipos cero.</w:t>
      </w:r>
    </w:p>
    <w:p>
      <w:pPr>
        <w:pStyle w:val="Heading1"/>
      </w:pPr>
      <w:r>
        <w:t xml:space="preserve">18. Comparables cotizados</w:t>
      </w:r>
    </w:p>
    <w:p>
      <w:pPr>
        <w:pStyle w:val="Confianza"/>
        <w:spacing w:after="100"/>
      </w:pPr>
      <w:r>
        <w:t xml:space="preserve">Confianza: Media</w:t>
      </w:r>
    </w:p>
    <w:p>
      <w:pPr>
        <w:spacing w:after="100"/>
      </w:pPr>
      <w:r>
        <w:t xml:space="preserve">Fabricantes de climatización cotizados: los cinco rivales globales con datos completos (Carrier, Trane, Johnson Controls, Midea, Gree), Lennox (residencial de EE. UU., el mayor mercado de Daikin), Mitsubishi Electric (rival japonés, aunque conglomerado) y Belimo (componentes, solo como referencia de lo que paga el mercado por la exposición a centros de datos). Fuera LG y Samsung (conglomerados de electrónica) y Haier (electrodomésticos). Todas en JPY al cambio del BCE del 14-oct; PER de los próximos 12 meses de Yahoo (para Mitsubishi Electric, ponderado de FY2027 y FY2028).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Daikin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6.005.185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7.084.729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16.430.914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14.631.581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1.910.353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Midea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15.120.258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Gree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5.267.550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10.608.723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Belimo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1.870.861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712.323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17,6x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27.934,24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43.801,17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60.819,74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17,4x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14.410,48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18.782,20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27.363,73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5.228.025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2,6x / 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27.369,39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47.654,89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80.008,39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+120,9 %</w:t>
            </w:r>
          </w:p>
        </w:tc>
      </w:tr>
    </w:tbl>
    <w:p>
      <w:pPr>
        <w:spacing w:after="160" w:before="0"/>
      </w:pPr>
    </w:p>
    <w:p>
      <w:pPr>
        <w:spacing w:after="100"/>
      </w:pPr>
      <w:r>
        <w:t xml:space="preserve">Daikin cotiza a 20,0 veces el beneficio de los próximos 12 meses, frente a una mediana de 17,4x, y a 9,0 veces el EBITDA, frente a 17,7x. La prima en PER y el descuento en EV/EBITDA se explican por la estructura: Daikin tiene más amortización (5,5 % de las ventas, con fondo de comercio), impuestos más altos y margen EBITDA del 13,6 % frente al 18,4 % de la mediana; los estadounidenses (Trane 26,7x, JCI 24,9x) cobran por su crecimiento en centros de datos y su ROIC, y los chinos (Midea 12,9x, Gree 7,9x) cotizan con descuento de país. Frente a Mitsubishi Electric (18,4x) Daikin cotiza parecido. El múltiplo que usamos es el PER: 17,4x para los comparables y la historia propia para el objetivo a 12 meses.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1.505.319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9.500 M USD; múltiplo sobre el EBITDA estimado de 2026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Motivair (refrigeración líquida; 75 %)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179.529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850 M USD por el 75 % (≈ 1.133 M el 100 %); «un dígito medio» de las ventas de 2025 (5x, estimación)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Viessmann Climate Solutions (bombas de calor, calderas)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2.128.680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12.000 M EUR; 13x con sinergias según Carrier, ≈ 17x sin ellas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Manitowoc Ice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Pentair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253.527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Refrigeración comercial (hielo); 1.600 M USD sobre ventas de 308 M; EBITDA estimado del ≈ 30 %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AHT Cooling Systems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Daikin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881 M EUR (114.500 M JPY a 130); ventas de 62.500 M JPY en 2017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Flanders (filtros)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Daikin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430 M USD (50.700 M JPY); ventas de 32.000 M JPY en 2014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Goodman Global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3.700 M USD (296.000 M JPY a 80); ventas de 2.050 M USD en 2011 [21].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 (17,3x – 20,0x)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43.161,38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42.777,50 – 49.687,29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operaciones recientes del sector se pagaron caras pero no son comparables con Daikin entera: refrigeración de centros de datos (Boyd Thermal a 22,5 veces el EBITDA [34], Motivair) y bombas de calor (Viessmann a ≈ 13 veces [35]). Las de Daikin (Goodman, AHT, Flanders) se hicieron a múltiplos no publicados [21, 32, 33]. Con 6 billones de capitalización y sin accionista de control, Daikin no es objetivo de una compra; el activista (Elliott) presiona por recompras y desinversiones, no por una venta.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26 % anual entre FY2021 y FY2023 (compras, precio y yen) y un 8,1 % y un 5,5 % en FY2025 y FY2026 [1, 14]; en el 1T de FY2027 crecieron un 17,5 %, un 8 % sin divisa [2, 6]. Proyectamos un 6,0 % en FY2027e (el yen a 158 por dólar frente a los 145 de la guía de 5,15 billones [1]) y lo bajamos al 4,5-4,0 % y al 2,5 % al final: el mercado mundial crece un 6,4 % anual en dólares [16], pero Daikin pierde cuota fuera de EE. UU. frente a los fabricantes chinos y FUSION 25 ya mostró que crecer en ventas no garantiza margen [7]. Es un caso base rebajado para pasar la prueba de sostenibilidad: con un ROIC del 9 % y la reinversión de FUSION 30, la empresa financia un 4,0 % anual, no el 4,5 % que habíamos supuesto primero.</w:t>
      </w:r>
    </w:p>
    <w:p>
      <w:pPr>
        <w:keepNext/>
        <w:spacing w:after="100"/>
      </w:pPr>
      <w:r>
        <w:rPr>
          <w:b/>
          <w:bCs/>
        </w:rPr>
        <w:t xml:space="preserve">Márgenes.</w:t>
      </w:r>
    </w:p>
    <w:p>
      <w:pPr>
        <w:spacing w:after="100"/>
      </w:pPr>
      <w:r>
        <w:t xml:space="preserve">El margen EBITDA (con la amortización del fondo de comercio sumada) bajó del 14,9 % de FY2021 al 13,8 % de FY2026 [1, 4], y en el 1T de FY2027 fue del 14,4 % frente al 15,2 % un año antes: costes de Oriente Medio, materias primas y aranceles [6]. FUSION 30 promete un margen operativo del 10 % (≈ 15,5 % de EBITDA) para marzo de 2029 [7, 15]; no lo damos por hecho: suponemos un 13,6 % en FY2027e (la guía: 436.000 M de beneficio operativo, 8,2 %) y un 13,8-13,9 % después. Es justo el margen que el precio descuenta (15,5 %, DCF inverso) frente al nuestro.</w:t>
      </w:r>
    </w:p>
    <w:p>
      <w:pPr>
        <w:keepNext/>
        <w:spacing w:after="100"/>
      </w:pPr>
      <w:r>
        <w:rPr>
          <w:b/>
          <w:bCs/>
        </w:rPr>
        <w:t xml:space="preserve">Inversión y circulante.</w:t>
      </w:r>
    </w:p>
    <w:p>
      <w:pPr>
        <w:spacing w:after="100"/>
      </w:pPr>
      <w:r>
        <w:t xml:space="preserve">Capex del 7,2 % de las ventas en FY2027e-FY2028e, bajando al 6,5 %: es el plan de FUSION 30 (1,3 billones de capex en cinco años, ≈ 5 % de las ventas, más 500.000 M de compras de empresas ya identificadas, ≈ 2 %) [7, 15], frente al 4,2 % de inmovilizado material de FY2026 más los intangibles y las compras (≈ 6 % de media en FY2021-FY2026) [1]. Amortización del 5,4 % de las ventas (4,4 % de inmovilizado y 1,0 % de fondo de comercio). Circulante del 34 % de las ventas, como el 34,5 % de FY2026: Daikin tiene existencias altas (DIO &gt; 100 días).</w:t>
      </w:r>
    </w:p>
    <w:p>
      <w:pPr>
        <w:keepNext/>
        <w:spacing w:after="100"/>
      </w:pPr>
      <w:r>
        <w:rPr>
          <w:b/>
          <w:bCs/>
        </w:rPr>
        <w:t xml:space="preserve">Coste del capital.</w:t>
      </w:r>
    </w:p>
    <w:p>
      <w:pPr>
        <w:spacing w:after="100"/>
      </w:pPr>
      <w:r>
        <w:t xml:space="preserve">Tasa libre: bono japonés a 10 años del 3,019 % (13-oct-2026 [29]). Beta de 0,85: la ajustada de cinco años con datos semanales (0,77 sin ajustar) [26], coherente con un fabricante de equipos con un tercio de las ventas en reposición. Prima de mercado del 5,5 %, coste de la deuda del 3,5 % (intereses de 38.976 M sobre 1,2 billones de deuda, con bonos en yenes y en dólares [1]) y un peso de la deuda del 19 % (deuda bruta con arrendamientos sobre deuda más capitalización). WACC del 6,70 %.</w:t>
      </w:r>
    </w:p>
    <w:p>
      <w:pPr>
        <w:keepNext/>
        <w:spacing w:after="100"/>
      </w:pPr>
      <w:r>
        <w:rPr>
          <w:b/>
          <w:bCs/>
        </w:rPr>
        <w:t xml:space="preserve">Valor terminal.</w:t>
      </w:r>
    </w:p>
    <w:p>
      <w:pPr>
        <w:spacing w:after="100"/>
      </w:pPr>
      <w:r>
        <w:t xml:space="preserve">Crecimiento a perpetuidad del 2,0 %: inflación de largo plazo en Japón y en los mercados de Daikin cercana al 2 % y crecimiento real casi nulo de un mercado maduro; por debajo de la tasa libre. El múltiplo de salida implícito (≈ 7x EBITDA) está por debajo de la historia de Daikin (7,7-14,2x) porque la reinversión de la proyección es alta.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5.315.938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382.748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5.555.155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5.777.362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410.193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6.008.456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6.218.752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864.407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335.813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6.436.408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6.629.501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921.501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6.795.238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177.470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6.049.247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9.445.381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1.196.308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4.924.055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4.543.172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16.322,38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24.287,97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28.329,54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20.710,52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23.572,45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17.988,59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20.104,61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15.849,20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17.465,84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11.456,50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14.124,28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15.391,61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9.127,19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8.267,90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12.586,45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16.045,71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15.667,69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19.504,97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19.367,58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22.254,08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22.549,61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22.788,87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22.964,23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23.067,47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1.296.427 M (44 %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(ROIC 9,0 %)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(histórico: 8,5 %)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FY2031e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 (hoy: 10,6 %)</w:t>
            </w:r>
          </w:p>
        </w:tc>
      </w:tr>
    </w:tbl>
    <w:p>
      <w:pPr>
        <w:spacing w:after="160" w:before="0"/>
      </w:pPr>
    </w:p>
    <w:p>
      <w:pPr>
        <w:spacing w:after="100"/>
      </w:pPr>
      <w:r>
        <w:t xml:space="preserve">La proyección reinvierte el 44 % del NOPAT. Con el ROIC del último ejercicio (9,0 %), eso financia un crecimiento del 4,0 % anual, frente al 3,9 % de ingresos proyectado. Supone que el capital nuevo rinde un 8,9 %, frente a un ROIC incremental histórico del 8,5 %; la cuota de mercado pasaría al 9,5 % desde el 10,6 %.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(centros de datos en Norteamérica, applied de EE. UU. +17 % en el 1T [6]), precio del 2,0 % (subidas para compensar aranceles y materias primas desde el 2T [8]) y 1,5 puntos de divisa (yen a 158 frente a 145 en la guía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el residencial de EE. UU. se normaliza tras recuperar el 24 % de cuota [7] y Europa mejora con el gas caro; precio del 2,0 %.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(centros de datos hacia 300.000 M JPY en 2030 [18]) y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y precio del 1,5 %; China sigue sin crecer.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2,0 % y precio del 1,5 %: la cuota implícita baja al 9,5 % desde el 10,6 % por la competencia china.</w:t>
            </w:r>
          </w:p>
        </w:tc>
      </w:tr>
    </w:tbl>
    <w:p>
      <w:pPr>
        <w:spacing w:after="160" w:before="0"/>
      </w:pPr>
    </w:p>
    <w:p>
      <w:pPr>
        <w:spacing w:after="100"/>
      </w:pPr>
      <w:r>
        <w:t xml:space="preserve">Sí, tras rebajar el caso base. Daikin tiene un foso estrecho y estable (marca en Japón y Europa, compresores y refrigerantes propios, red de instaladores) y demostró poder de precios en FY2022-FY2023, pero su ROIC del 9,0 % es modesto y el ROIC incremental de FY2021-FY2026, del 8,5 %. Con nuestra primera proyección (margen al 15 %) el capital nuevo habría rendido un 24 %: la rebajamos. El base final reinvierte el 44 % del NOPAT, que al ROIC actual financia un 4,0 % anual frente al 3,9 % proyectado; el capital nuevo rinde un 8,9 % (histórico 8,5 %) y la cuota baja del 10,6 % al 9,5 %. Las tres pruebas pasan.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(base: 13,9 %)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(WACC: 6,7 %)</w:t>
            </w:r>
          </w:p>
        </w:tc>
      </w:tr>
    </w:tbl>
    <w:p>
      <w:pPr>
        <w:spacing w:after="160" w:before="0"/>
      </w:pPr>
    </w:p>
    <w:p>
      <w:pPr>
        <w:spacing w:after="100"/>
      </w:pPr>
      <w:r>
        <w:t xml:space="preserve">El DCF da 16.322,38 JPY por acción, un 24,3 % por debajo del precio, con el valor terminal en el 76 % del valor. El precio de 21.575 JPY descuenta un margen EBITDA del 15,5 % durante toda la proyección (frente a nuestro 13,9 %): es el objetivo de FUSION 30 (margen operativo del 10 %) cumplido y mantenido. Con el WACC medio punto más alto (bono japonés al alza) el valor baja a 14.543,20 JPY; con un punto más de margen sube a 19.555,63 JPY. La rentabilidad anual implícita en el precio es del 5,7 %, por debajo del WACC (6,7 %) y de lo que pide el mercado (5,8 %).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12.863,81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residencial de EE. UU. se estanca tras el cambio de refrigerante, China sigue cayendo, Midea y Gree llevan la guerra de precios a Asia y Europa y el yen vuelve a 140: crecimiento 3 puntos menor cada año y margen un punto más bajo, como en FY2024-FY2026.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16.322,38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al 4 % anual con centros de datos y precio, margen EBITDA estable en el 13,9 % (FUSION 30 solo compensa costes) y reinversión alta en capacidad y 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18.732,17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FUSION 30 funciona: centros de datos a 300.000 M en 2030, bombas de calor en Europa y reestructuración de los negocios de baja rentabilidad; 1,5 puntos más de crecimiento y 0,8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JPY) · precio actual 21.57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16.060,19 JPY (-25,6 %).</w:t>
      </w:r>
    </w:p>
    <w:p>
      <w:pPr>
        <w:spacing w:after="100"/>
      </w:pPr>
      <w:r>
        <w:t xml:space="preserve">Los tres escenarios del DCF quedan por debajo del precio: el alcista (18.732,17 JPY) pierde un 13,2 % y el bajista (12.863,81 JPY) un 40,4 %. A 12 meses, con el PER propio, la asimetría es mejor: +32,9 % en el alcista (22,8x × 1.257,92) frente a −27,7 % en el bajista (17,2x × 906,50). Lo que separa los dos horizontes es el múltiplo: el mercado lleva cinco años pagando 22-26 veces el beneficio adelantado, y el DCF con el bono japonés al 3 % no lo justifica.</w:t>
      </w:r>
    </w:p>
    <w:p>
      <w:pPr>
        <w:pStyle w:val="Heading1"/>
      </w:pPr>
      <w:r>
        <w:t xml:space="preserve">22. Suma de partes</w:t>
      </w:r>
    </w:p>
    <w:p>
      <w:pPr>
        <w:pStyle w:val="Confianza"/>
        <w:spacing w:after="100"/>
      </w:pPr>
      <w:r>
        <w:t xml:space="preserve">Confianza: Media</w:t>
      </w:r>
    </w:p>
    <w:p>
      <w:pPr>
        <w:spacing w:after="100"/>
      </w:pPr>
      <w:r>
        <w:t xml:space="preserve">No la hacemos: química (6 % de las ventas) es demasiado pequeña para cambiar el valor, y la empresa no publica el beneficio de los centros de datos ni del servicio.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JPY) · precio actual 21.57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24.638,15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18.782,20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27.363,73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16.322,38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20.710,52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16.060,19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18.732,17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20.686,44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24.160,73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21.467,13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21.575,00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21.682,87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16.735,69 JPY (-22,4 % sobre 21.575,00).</w:t>
      </w:r>
    </w:p>
    <w:p>
      <w:pPr>
        <w:spacing w:after="100"/>
      </w:pPr>
      <w:r>
        <w:t xml:space="preserve">Pesamos el DCF un 50 %, los escenarios un 30 % y los comparables un 20 % (PER de los próximos 12 meses). El DCF manda porque Daikin es un negocio maduro con flujos previsibles; su punto débil es que todo depende del margen: cada punto de margen EBITDA mueve el valor unos 3.200 JPY por acción. Los comparables por EV/EBITDA (43.801,17 JPY en la mediana) no se usan: los estadounidenses (Trane, Carrier, JCI) cotizan a 18-25 veces el EBITDA con márgenes del 14-19 % y ROIC más altos, y en Daikin el EBITDA lleva la amortización de un fondo de comercio y un inmovilizado grandes; por PER la mediana es de 17,4x y da 18.782,20 JPY. Las transacciones (centros de datos a 20 veces el EBITDA) son de activos pequeños y de crecimiento, no del grupo. La dispersión va de 12.863,81 JPY (bajista del DCF) a 20.175,78 JPY con la prima implícita del mercado: todo por debajo del precio de 21.575 JPY.</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15.591,80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(20.9x) a mitad de camino hacia la mediana de 5 años (22.8x)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24.135,43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1.257,92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28.680,58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r>
    </w:tbl>
    <w:p>
      <w:pPr>
        <w:spacing w:after="160" w:before="0"/>
      </w:pPr>
    </w:p>
    <w:p>
      <w:pPr>
        <w:spacing w:after="100"/>
      </w:pPr>
      <w:r>
        <w:rPr>
          <w:b/>
          <w:bCs/>
        </w:rPr>
        <w:t xml:space="preserve">Objetivo a 12 meses (ponderado):</w:t>
      </w:r>
      <w:r>
        <w:t xml:space="preserve"> 23.135,81 JPY · rentabilidad +8,8 % (base +13,4 %) · señal Mantener.</w:t>
      </w:r>
    </w:p>
    <w:p>
      <w:pPr>
        <w:spacing w:after="100"/>
      </w:pPr>
      <w:r>
        <w:t xml:space="preserve">Para comparar, con la regla v2 (historia al cierre, mismo precio): 17,9x / 20,9x / 22,9x, 7,4 %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FY2027e (1.030,55 JPY) está un 3,5 % por encima del consenso (996,06 JPY, 15 analistas [27]) porque partimos del beneficio operativo de la guía (436.000 M [1]) con divisa a 158 JPY por dólar y no a 145; el de FY2028e (1.107,13 JPY) queda un 3,8 % por debajo del consenso (1.150,45 JPY), porque no damos por hecha la mejora de margen de FUSION 30. Nuestro precio base (24.135,43 JPY) queda un 2,0 % por debajo del objetivo medio de los analistas (24.638 JPY, 13 analistas [27]): coincidimos con el mercado a 12 meses; discrepamos en el valor a largo plazo.</w:t>
      </w:r>
    </w:p>
    <w:p>
      <w:pPr>
        <w:keepNext/>
        <w:spacing w:after="100"/>
      </w:pPr>
      <w:r>
        <w:rPr>
          <w:b/>
          <w:bCs/>
        </w:rPr>
        <w:t xml:space="preserve">Del valor intrínseco al objetivo a 12 meses.</w:t>
      </w:r>
    </w:p>
    <w:p>
      <w:pPr>
        <w:spacing w:after="100"/>
      </w:pPr>
      <w:r>
        <w:t xml:space="preserve">El objetivo a 12 meses (23.135,81 JPY, +8,8 % con dividendo; +13,4 % en el caso base) está un 38 % por encima del valor intrínseco (16.735,69 JPY): el precio de hoy paga un PER de 20,9x que se sostiene si la historia de cinco años (mediana de 22,8x) vale, pero que el DCF solo justifica si el margen operativo llega al 10 % de FUSION 30. A 12 meses la acción puede subir con el beneficio (BPA +7 % en FY2028e) y con un múltiplo que vuelve hacia su mediana tras tres años de desrateo; a largo plazo, con el bono japonés al 3,0 % [29] y un ROIC del 9 %, el valor está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(principios, estimado)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de FY2027 y del primer semestre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Comprobar la mejora de margen prometida desde el 2T con subidas de precio, y el ritmo del residencial de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 (principios)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 los pedidos de centros de datos del invierno y de la guía anual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 (mediados)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FUSION 30 en marcha: margen operativo frente al 10 % de marzo de 2029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FY2027-FY2031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Uso del cupo de más de 700.000 M para recompras o 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recompras subirían el BPA un 2-3 % al año; compras caras repetirían el error de FUSION 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124: votación del CEO y de las propuestas de Elliott, si las hay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por desinversiones (filtros, refrigeración europea) y más retorno al accionista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Decisiones del Banco de Japón sobre tipos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medio punto de bono a 10 años resta ≈ 11 % al valor del DCF</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FUSION 30 no sube el margen (como FUSION 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−27,7 % a 12 meses (bajista, PER 17,2x × 906,50)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de negocios de baja rentabilidad y retribución ligada al ROE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trimestral por debajo del 9 % en el 2T y 4T de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Fabricantes chinos (Midea, Gree) ganan cuota fuera de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−20 % (un punto menos de margen: 13.089,14 JPY en la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VRV y applied, red de instaladores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precios en Asia y Europa; cuota en Europa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Residencial de EE. UU. flojo (refrigerante, aranceles, vivienda)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del BPA de FY2028e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Recuperó el 24 % de cuota en FY2026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residencial con conductos por debajo del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Apreciación del yen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del BPA por cada 10 JPY por dólar (estimación propia: 84 % de las ventas fuera de Japón)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EE. UU., Europa y China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USD/JPY por debajo de 145 (el de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tipos en Japón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−10,9 % por medio punto más de WACC (14.543,20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baja (0,7x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ciclo de inversión en IA y refrigeración líquida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 (las ventas a centros de datos son ≈ 2 % del grupo)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Daikin entra en refrigeración líquida y es proveedor de los hiperescaladores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centros de datos en Norteamérica por debajo del objetivo de 300.000 M en 2030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IA (sustitución):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Nulo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Daikin vende equipos físicos, instalación y servicio; la IA no sustituye la climatización, la necesita (centros de datos). Lo único expuesto es el control de edificios, donde la IA ayuda a los rivales de software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contratos de mantenimiento frente a plataformas de control con 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caras con el cupo de 500.000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(estimación propia: 500.000 M a un ROIC del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Retribución ligada al D-ROIC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a más de 15 veces el EBITDA</w:t>
            </w:r>
          </w:p>
        </w:tc>
      </w:tr>
    </w:tbl>
    <w:p>
      <w:pPr>
        <w:spacing w:after="160" w:before="0"/>
      </w:pPr>
    </w:p>
    <w:p>
      <w:pPr>
        <w:pStyle w:val="Heading2"/>
      </w:pPr>
      <w:r>
        <w:t xml:space="preserve">Pre-mortem</w:t>
      </w:r>
    </w:p>
    <w:p>
      <w:pPr>
        <w:spacing w:after="100"/>
      </w:pPr>
      <w:r>
        <w:t xml:space="preserve">Octubre de 2029: la acción ha perdido un 40 %. El 2T de FY2027 no trajo la mejora de margen: las subidas de precio no compensaron aranceles, cobre y la guerra de precios que Midea y Gree llevaron a Oriente Medio, India y Europa del Este. En EE. UU. el residencial siguió flojo con la vivienda parada y los centros de datos, aunque crecieron, eran el 3 % de las ventas. El yen volvió a 140 por dólar cuando el Banco de Japón llevó el tipo oficial al 1,5 %, el bono a 10 años subió al 3,7 % y la bolsa japonesa dejó de pagar 20 veces el beneficio a las industriales sin crecimiento. Daikin gastó el cupo de compras en un fabricante europeo de bombas de calor a 18 veces el EBITDA que no rindió. El margen operativo de marzo de 2029 fue del 8 %, no del 10 %; el BPA bajó a 900 JPY y el PER volvió a 15x, su mínimo. Las señales: margen operativo trimestral por debajo del 9 % dos veces seguidas y cuota en EE. UU. por debajo del 20 %.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Daikin son los refrigerantes y la eficiencia: los HFC tienen un potencial de calentamiento alto, y la regulación (AIM Act, F-gas) obliga a cambiar de refrigerante; Daikin fabrica refrigerantes y defiende el R32, de menor potencial, lo que le dio ventaja de coste y en 2026 cuota en EE. UU. [7]. Las bombas de calor y los inversores son parte de su oferta de descarbonización (FUSION 30: neutralidad de carbono en 2050). En química, los PFAS (fluoropolímeros) son un riesgo regulatorio en la UE y EE. UU. [15].</w:t>
      </w:r>
    </w:p>
    <w:p>
      <w:pPr>
        <w:pStyle w:val="Heading2"/>
      </w:pPr>
      <w:r>
        <w:t xml:space="preserve">Controversias</w:t>
      </w:r>
    </w:p>
    <w:p>
      <w:pPr>
        <w:spacing w:after="100"/>
      </w:pPr>
      <w:r>
        <w:t xml:space="preserve">No se han encontrado sanciones relevantes en los documentos leídos de los tres últimos años. La pérdida extraordinaria por deterioros de FY2026 (11.849 M JPY) es contable, no una controversia [1]. El riesgo PFAS de la química fluorada está abierto (restricción en estudio en la UE).</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mejora de 1,7 puntos de margen operativo de FUSION 30 sale de precio, de costes y de cerrar negocios, y cuál es el margen del residencial de EE. UU. hoy?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el 10 % de margen; es la variable que más mueve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cartera de pedidos de centros de datos y su margen, y cuánto viene de refrigeración líquida?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tesis que ha rerrateado la acción, pero hoy pesa un 2 %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compras forman los 500.000 M «ya identificados» y a qué múltiplo?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anteriores rindieron por debajo del coste de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objetivo de existencias en días y cuánta caja liberaría?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del 34 % de las ventas pesa en el ROIC y en 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beneficio de China depende del multisplit premium y qué pasa si el inmobiliario no se recupera?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un 12-14 % en divisa local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repetirán recompras como la de 350.000 M y con qué criterio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el BPA y la tesis del activista.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Yahoo!ファイナンス 掲示板 (Japón)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 pequeño accionista atrapado desde los 30.000 JPY; unos celebran seis sesiones al alza y ven a Daikin como la gran rezagada de la IA (centros de datos); otros se quejan de la poca retribución al accionista y anuncian que se pasan a las casas comerciales; se comentan la salida del índice TOPIX Core30 y el crédito comprador alto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análisis más reciente sostiene que el crecimiento del 18 % de las ventas esconde una caída del beneficio subyacente (divisa y aranceles); los de abril y junio ven potencial de revalorización por la presión del activista y FUSION 30 [25].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(DKILY)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y alcistas: cartera de pedidos de centros de datos, «infravalorada», compra junto a Carrier y Vertiv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Kabutan (Japón)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mejoras de recomendación de casas de análisis a finales de septiembre y señales técnicas de giro; sin debate de fondo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 como catalizador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a centros de datos en Norteamérica rondan los 100.000 M JPY, el 2 % de las ventas del grupo; aunque se tripliquen en 2030 serán el 5-6 %: no bastan para mover el beneficio del grupo a corto plazo.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Retribución al accionista escasa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no es cierto: la recompra de 350.000 M JPY (≈ 5 % del capital) se hizo en el 1T FY2027 y FUSION 30 reserva más de 700.000 M para recompras o compras; el foro no lo tiene en cuenta.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que no despegan (crecimiento de ventas por divisa)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margen operativo del 9,2 % en el 1T frente al 10,0 % un año antes; las ventas sin divisa crecieron un 8 % y el beneficio operativo un 3 %.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Activista (Elliott) y FUSION 30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tiene el 3,0 %; los objetivos (margen del 10 % en 2028) piden una subida de 1,7 puntos que Daikin no ha logrado en cinco años.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Liquidez y flujos de índices (salida del TOPIX Core30, precio por acción alto)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Afecta a flujos pasivos a corto plazo; no al valor.</w:t>
            </w:r>
          </w:p>
        </w:tc>
      </w:tr>
    </w:tbl>
    <w:p>
      <w:pPr>
        <w:spacing w:after="160" w:before="0"/>
      </w:pPr>
    </w:p>
    <w:p>
      <w:pPr>
        <w:spacing w:after="100"/>
      </w:pPr>
      <w:r>
        <w:t xml:space="preserve">El particular japonés está cansado tras cinco años de pérdidas y divide su ánimo entre la esperanza de la IA y la queja por la retribución; no hay euforia ni capitulación. Los dos argumentos alcistas del foro (centros de datos y activista) son reales pero pequeños frente al tamaño del grupo, y el bajista más sólido (el crecimiento es divisa y el margen baja) coincide con lo que dicen las cuentas del 1T. No contradice al consenso de analistas, mayoritariamente en mantener (9 de 14).</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40 (27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El crecimiento implícito no tiene solución: con un circulante del 34 % de las ventas y el capex de FUSION 30 (7 % de las ventas, con las compras), crecer más apenas añade valor en el DCF, así que ningún crecimiento razonable lleva al precio. La variable que sí lo explica es el margen: el precio descuenta un margen EBITDA del 15,5 % (frente a nuestro 13,9 %), es decir, un margen operativo cercano al 10 % que la empresa promete para marzo de 2029 y no ha logrado en cinco años.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8,9 % frente a un ROIC de 9,0 % y un incremental histórico de 8,5 %: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9,5 % en FY2031e frente al 10,6 %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34,0 % frente a 34,5 % real: genera una variación de circulante de 78.399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(27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Kessan Tanshin de FY2026 y del 1T (sin nota de vencimientos); 2) convocatoria de la junta 123 (solo prestamistas principales); 3) informe integrado 2026 (sin calendario)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MarketsandMarkets (solo nombra a los líderes); 2) informe integrado 2026 de Daikin; 3) presentación de la compra de Goodman (cuotas de 2010)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integrado 2026; 2) sesión de sostenibilidad de enero 2026 (no descargada); 3) búsqueda web no hecha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convocatoria de la junta 123 (solo totales del consejo); 2) informe integrado 2026 (política, sin cifras individuales); 3) informe de valores (yuho) en japonés, que solo da individuales por encima de 100 M: no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Japón no tiene registro público de operaciones de directivos; 2) convocatoria (sin datos de operaciones); 3) Kessan Tanshin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JPX publica solo posiciones por encima del 0,5 % por gestora; 2) Yahoo (sin dato para Japón); 3) foros: hablan de crédito comprador alto, no de cortos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Brief Report on the Settlement of Accounts (Consolidated) for the Business Year Ended March 31, 2026 (J-GAAP): cuenta, balance, flujos y segmentos de FY2025 y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https://www.daikin.com/-/media/Project/Daikin/daikin_com/investor/data/kessan/2026/4Q_brief_report_full_en-pdf.pdf?rev=-1&amp;hash=92139FD7F8C4BC875B7328A4B38EB634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Brief Report on the Settlement of Accounts (Consolidated) for the Three Months Ended June 30, 2026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https://www.daikin.com/-/media/Project/Daikin/daikin_com/investor/data/kessan/2027/1Q_brief_report_en_full-pdf.pdf?rev=-1&amp;hash=47B1F7C8579F190BE3A7F5F393D167DD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 Report on the Settlement of Accounts (Consolidated) for the Business Year Ended March 31, 2024 (J-GAAP): FY2023 y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https://www.daikin.com/-/media/Project/Daikin/daikin_com/investor/data/kessan/2024/4Q_brief_report_en-pdf.pdf?rev=ec72d38edb2d4ecd8c8fabf9c2861a3d&amp;hash=E99A7E9FBE651BC73D77DDDD483DED26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 Report on the Settlement of Accounts (Consolidated) for the Business Year Ended March 31, 2022 (J-GAAP): FY2021 y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https://www.daikin.com/-/media/Project/Daikin/daikin_com/investor/data/kessan/2022/4Q_brief_report_en-pdf.pdf?rev=426aac9af4fa4776a9619943f61db183&amp;hash=553940E38C50E7B864E962C62DF9A655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of Financial Results for FY2025 and FUSION 30 (análisis del beneficio operativo, previsión 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https://www.daikin.com/-/media/Project/Daikin/daikin_com/investor/data/kessan/2026/4Q_financial_results2_en-pdf.pdf?rev=-1&amp;hash=017BEC7380CE19EBD70BA748853097BA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of Financial Results for the First Quarter Ended in June 2026 (regiones, efecto divisa, aranceles)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https://www.daikin.com/-/media/Project/Daikin/daikin_com/investor/data/kessan/2027/1Q_financial_results_en-pdf.pdf?rev=-1&amp;hash=BF94AEFCA31025AE6E654F1D3D3B41D5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Transcript: FY2025 Financial Results and FUSION 30 briefing (preguntas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https://www.daikin.com/-/media/Project/Daikin/daikin_com/investor/data/kessan/2026/4Q_transcript3_financial_results_en-pdf.pdf?rev=-1&amp;hash=8932E4B865F5E21A3AEE8EBFF44E1927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Transcript: FY2026 Q1 Financial Results briefing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https://www.daikin.com/-/media/Project/Daikin/daikin_com/investor/data/kessan/2027/1Q_transcript_financial_results_en-pdf.pdf?rev=-1&amp;hash=8E3E93B4E025346F71A9F32D6B24240C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 Report … Six Months Ended September 30,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https://www.daikin.com/-/media/Project/Daikin/daikin_com/investor/data/kessan/2026/2Q_brief_report_en-pdf.pdf?rev=1a05204ab57640daafc9e040c98c54a2&amp;hash=CA28A92D7339E184E7A5E9DF87C7D0AA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 Report … Nine Months Ended December 31,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https://www.daikin.com/-/media/Project/Daikin/daikin_com/investor/data/kessan/2026/3Q_brief_report_en-pdf.pdf?rev=c54f7f574dd64a18bca64d160c46a58f&amp;hash=95D18F80E42239657D31AE27885EB593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 Report … Six Months Ended September 30, 2024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https://www.daikin.com/-/media/Project/Daikin/daikin_com/investor/data/kessan/2025/2Q_brief_report_en-pdf.pdf?rev=6b4ea97eb4314c7688d94398e6272c8b&amp;hash=058162C85A38A909BF2F4FDC4AF217DC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 Report … Nine Months Ended December 31, 2024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https://www.daikin.com/-/media/Project/Daikin/daikin_com/investor/data/kessan/2025/3Q_brief_report_en-pdf.pdf?rev=3d453a087db1452893d19d18975c4ec9&amp;hash=5D067B141261A3F75D72F728A54F72BC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123rd Ordinary General Meeting of Shareholders (informe de gestión: empleados, auditor, accionistas, retribución)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https://www.daikin.com/-/media/Project/Daikin/daikin_com/investor/data/shareholder/123/123_convocation_notice-pdf.pdf?rev=-1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 Report on the Settlement of Accounts (Consolidated) for the Business Year Ended March 31, 2025 (dividendo de 330 JPY con 50 JPY conmemorativos)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https://www.daikin.com/-/media/Project/Daikin/daikin_com/investor/data/kessan/2025/4Q_brief_report_en-pdf.pdf?rev=be38fb47352549deac48371982834657&amp;hash=A62D606FD7C7A3388090E595F0DF31D2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Report 2026 (FUSION 30, D-ROIC, mercados)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https://www.daikin.com/-/media/Project/Daikin/daikin_com/investor/library/annual/2026/2026_E-pdf.pdf?rev=-1&amp;hash=2ABFF78E543167511A6E3624B878FAF3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HVAC System Market: tamaño mundial de 299.280 M USD en 2025 y 407.770 M en 2030 (6,4 % anual); principales: Carrier, Daikin, Trane, LG, Midea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https://www.marketsandmarkets.com/market-reports/hvac-system-market-202111288.html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HVAC systems market seen reaching USD 250.77 B by 2032 (169.000 M USD en 2025, 5,8 % anual; Maximize Market Research)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https://refindustry.com/news/market-research/global-hvac-systems-market-seen-reaching-usd-250-77b-by-2032/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Transcript: Data Center Strategy briefing (ventas a centros de datos en Norteamérica; objetivo de 300.000 M JPY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https://www.daikin.com/-/media/Project/Daikin/daikin_com/investor/data/others/20251127-DC-Strategy/transcript.pdf?rev=bf1062f8881441a7825c87a150963855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ventas, márgenes y múltiplos de los últimos 12 meses de Carrier, Trane, Johnson Controls, Lennox, Midea, Gree, Mitsubishi Electric y Belimo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componentes de climatización (HVAC) y control de edificios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(sectores/climatizacion-hvac-2026-10-14.md)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Goodman acquisition (presentación de la compra: mercado norteamericano de 4 billones JPY; 3.700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2012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https://www.daikin.com/-/media/Project/Daikin/daikin_com/investor/data/others/Goodman-pdf.pdf?rev=-1&amp;hash=92E98A5FDB4A2EA0D6BF84736686B8C0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voting at the 123rd Ordinary General Meeting (26-jun-2026)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https://www.daikin.com/-/media/Project/Daikin/daikin_com/investor/data/shareholder/123/123_extraordinary_re-pdf.pdf?rev=-1&amp;hash=97D011B2A632D5232262EE87A269A964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voting at the 122nd Ordinary General Meeting (27-jun-2025)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https://www.daikin.com/-/media/Project/Daikin/daikin_com/investor/data/shareholder/122/122_extraordinary_re-pdf.pdf?rev=-1&amp;hash=257AF72EB2345B6AE4ECE033CFE5A7C4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voting at the 121st Ordinary General Meeting (27-jun-2024)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https://www.daikin.com/-/media/Project/Daikin/daikin_com/investor/data/shareholder/121/121_extraordinary_re-pdf.pdf?rev=-1&amp;hash=0ED9624F57333F9114ADB0DC41B7397D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«Daikin Industries: Eyes On Re-Rating Potential After Activist Investor Involvement» y «New Medium-Term Program Reflects Potential Activist Influence»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https://seekingalpha.com/api/sa/combined/DKILY.xml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6367.T, ^N225 y 1306.T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https://finance.yahoo.com/quote/6367.T/history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consenso de Daikin (6367.T): BPA y ventas de FY2027 y FY2028,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https://finance.yahoo.com/quote/6367.T/analysis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BCE: tipos de cambio de referencia del euro (14-oct-2026: 177,39 JPY, 1,1195 USD, 7,4925 CNY, 0,9330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(JGB): bono a 10 años del 13-oct-2026, 3,019 %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Finanzas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 Reports FY2018 y FY2020 (BPA de FY2017 a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https://www.daikin.com/-/media/Project/Daikin/daikin_com/investor/data/kessan/2020/4Q_brief_report_en-pdf.pdf?rev=6381c369c7644aeba655c3e396651c19&amp;hash=305FAAF4D08DBB3959175CAF9C9753E2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AHT Cooling Systems (881 M EUR; ventas de 62.500 M JPY en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https://www.daikin.com/-/media/Project/Daikin/daikin_com/investor/data/others/AHT-pdf.pdf?rev=-1&amp;hash=11876A7CFE5D80874A70E50BF61E3E12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Flanders (430 M USD; ventas de 32.000 M JPY en 2014)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Industries,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https://www.daikin.com/-/media/Project/Daikin/daikin_com/investor/data/others/flanders-pdf.pdf?rev=-1&amp;hash=78C6B3BA69D66810875BBA7A948BB959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Boyd Thermal (9.500 M USD, 22,5 veces el EBITDA ajustado estimado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https://www.businesswire.com/news/home/20251103856036/en/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announces portfolio transformation … to acquire Viessmann Climate Solutions (12.000 M EUR, ≈ 13 veces el EBITDA 2023 con sinergias; ≈ 17 sin ellas)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https://www.tipranks.com/news/press-releases/carrier-announces-portfolio-transformation-to-create-global-leader-in-intelligent-climate-and-energy-solutions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to acquire controlling interest in Motivair (75 % por 850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(vía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https://www.rfp.wiki/cloud-computing/data-center-outsourcing-services/data-center-cooling/eaton/motivair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to acquire Manitowoc Ice (EX-99.1: 1.600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https://www.sec.gov/Archives/edgar/data/77360/000007736022000008/exhibit991manitowocdefinit.htm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Yahoo!ファイナンス 掲示板 de ダイキン工業 (6367): unos 140 mensajes del 6 al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Japan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https://finance.yahoo.co.jp/quote/6367.T/forum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DKILY (mayo-octubre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https://api.stocktwits.com/api/2/streams/symbol/DKILY.json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 noticias de ダイキン工業 (6367) (calificaciones de analistas al alza, señales técnicas; septiembre-octubre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https://kabutan.jp/stock/news?code=6367</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86,4 %</w:t>
      </w:r>
      <w:r>
        <w:t xml:space="preserve"> · Secciones con menos del 60 % de campos cubiertos: </w:t>
      </w:r>
      <w:r>
        <w:rPr>
          <w:b/>
          <w:bCs/>
        </w:rPr>
        <w:t xml:space="preserve">gobierno</w:t>
      </w:r>
      <w:r>
        <w:t xml:space="preserve"> · Generado el 14 oct 2026.</w:t>
      </w:r>
    </w:p>
    <w:p>
      <w:pPr>
        <w:pStyle w:val="Nota"/>
        <w:spacing w:after="100"/>
      </w:pPr>
      <w:r>
        <w:t xml:space="preserve">Cuentas en millones de JPY con normas japonesas (J-GAAP), gastos por función. Japón no tiene XBRL en herramientas/cuentas.mjs: las cifras salen de los Kessan Tanshin en inglés (FY2022-FY2026 y trimestres hasta el 1T FY2027), de las presentaciones y transcripciones de resultados y del informe integrado 2026 [1, 2, 3, 4, 5, 6, 7, 8, 9, 10, 11, 12, 13, 14, 15]. Daikin nombra el ejercicio por el año en que empieza («fiscal 2025» va de abril de 2025 a marzo de 2026); en este informe se nombra por el año en que termina (FY2026), y su objetivo de FUSION 30 para «FY2028» es nuestro FY2029. En J-GAAP el fondo de comercio se amortiza dentro del beneficio operativo (51.371 M en FY2026, ≈ 175 JPY por acción): el EBITDA del informe lo suma de vuelta y el BPA lo lleva dentro, como el publicado. El resultado financiero de la cuenta es la diferencia entre el beneficio antes de impuestos y el operativo (incluye partidas no operativas y extraordinarias). Puente con el balance de jun-26, ya con la recompra de 349.997 M del 1T. Precio: cierre del 14-oct-2026 en Tokio (21.575 JPY) [26]. Tipos de cambio del BCE del 14-oct [28]. Sin datos de remuneración individual del CEO ni de operaciones de directivos (Japón no las publica por debajo de 100 M JPY).</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Daikin Industries, Ltd. (6367)</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21.575,00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(17.380,00 – 26.440,00)</c:v>
                </c:pt>
                <c:pt idx="1">
                  <c:v>Precio objetivo de los analistas (20.700,00 – 28.800,00)</c:v>
                </c:pt>
                <c:pt idx="2">
                  <c:v>Comparables: PER NTM (14.410,48 – 27.363,73)</c:v>
                </c:pt>
                <c:pt idx="3">
                  <c:v>DCF (WACC y g ± 0,5) (13.466,15 – 20.710,52)</c:v>
                </c:pt>
                <c:pt idx="4">
                  <c:v>Escenarios (bajista – alcista) (12.863,81 – 18.732,17)</c:v>
                </c:pt>
                <c:pt idx="5">
                  <c:v>DCF con la prima implícita del mercado (4,2 %)</c:v>
                </c:pt>
                <c:pt idx="6">
                  <c:v>Precio actual (21.575,00)</c:v>
                </c:pt>
              </c:strCache>
            </c:strRef>
          </c:cat>
          <c:val>
            <c:numRef>
              <c:f>Hoja1!$B$2:$B$8</c:f>
              <c:numCache>
                <c:formatCode>#,##0</c:formatCode>
                <c:ptCount val="7"/>
                <c:pt idx="0">
                  <c:v>17380</c:v>
                </c:pt>
                <c:pt idx="1">
                  <c:v>20700</c:v>
                </c:pt>
                <c:pt idx="2">
                  <c:v>14410.48</c:v>
                </c:pt>
                <c:pt idx="3">
                  <c:v>13466.15</c:v>
                </c:pt>
                <c:pt idx="4">
                  <c:v>12863.81</c:v>
                </c:pt>
                <c:pt idx="5">
                  <c:v>18023.23</c:v>
                </c:pt>
                <c:pt idx="6">
                  <c:v>21467.13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(17.380,00 – 26.440,00)</c:v>
                </c:pt>
                <c:pt idx="1">
                  <c:v>Precio objetivo de los analistas (20.700,00 – 28.800,00)</c:v>
                </c:pt>
                <c:pt idx="2">
                  <c:v>Comparables: PER NTM (14.410,48 – 27.363,73)</c:v>
                </c:pt>
                <c:pt idx="3">
                  <c:v>DCF (WACC y g ± 0,5) (13.466,15 – 20.710,52)</c:v>
                </c:pt>
                <c:pt idx="4">
                  <c:v>Escenarios (bajista – alcista) (12.863,81 – 18.732,17)</c:v>
                </c:pt>
                <c:pt idx="5">
                  <c:v>DCF con la prima implícita del mercado (4,2 %)</c:v>
                </c:pt>
                <c:pt idx="6">
                  <c:v>Precio actual (21.575,00)</c:v>
                </c:pt>
              </c:strCache>
            </c:strRef>
          </c:cat>
          <c:val>
            <c:numRef>
              <c:f>Hoja1!$C$2:$C$8</c:f>
              <c:numCache>
                <c:formatCode>#,##0</c:formatCode>
                <c:ptCount val="7"/>
                <c:pt idx="0">
                  <c:v>9060</c:v>
                </c:pt>
                <c:pt idx="1">
                  <c:v>8100</c:v>
                </c:pt>
                <c:pt idx="2">
                  <c:v>12953.25</c:v>
                </c:pt>
                <c:pt idx="3">
                  <c:v>7244.370000000001</c:v>
                </c:pt>
                <c:pt idx="4">
                  <c:v>5868.359999999999</c:v>
                </c:pt>
                <c:pt idx="5">
                  <c:v>6137.5</c:v>
                </c:pt>
                <c:pt idx="6">
                  <c:v>215.73999999999796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Aire acondicionado y refrigeración</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2265255</c:v>
                </c:pt>
                <c:pt idx="1">
                  <c:v>2815099</c:v>
                </c:pt>
                <c:pt idx="2">
                  <c:v>3631923</c:v>
                </c:pt>
                <c:pt idx="3">
                  <c:v>4030828</c:v>
                </c:pt>
                <c:pt idx="4">
                  <c:v>4387234</c:v>
                </c:pt>
                <c:pt idx="5">
                  <c:v>4624148</c:v>
                </c:pt>
              </c:numCache>
            </c:numRef>
          </c:val>
        </c:ser>
        <c:ser>
          <c:idx val="1"/>
          <c:order val="1"/>
          <c:tx>
            <c:strRef>
              <c:f>Hoja1!$C$1</c:f>
              <c:strCache>
                <c:ptCount val="1"/>
                <c:pt idx="0">
                  <c:v>Química</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173783</c:v>
                </c:pt>
                <c:pt idx="1">
                  <c:v>224647</c:v>
                </c:pt>
                <c:pt idx="2">
                  <c:v>284946</c:v>
                </c:pt>
                <c:pt idx="3">
                  <c:v>291718</c:v>
                </c:pt>
                <c:pt idx="4">
                  <c:v>288657</c:v>
                </c:pt>
                <c:pt idx="5">
                  <c:v>307464</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56282</c:v>
                </c:pt>
                <c:pt idx="1">
                  <c:v>69360</c:v>
                </c:pt>
                <c:pt idx="2">
                  <c:v>89999</c:v>
                </c:pt>
                <c:pt idx="3">
                  <c:v>103652</c:v>
                </c:pt>
                <c:pt idx="4">
                  <c:v>106180</c:v>
                </c:pt>
                <c:pt idx="5">
                  <c:v>113610</c:v>
                </c:pt>
              </c:numCache>
            </c:numRef>
          </c:val>
        </c:ser>
        <c:ser>
          <c:idx val="3"/>
          <c:order val="3"/>
          <c:tx>
            <c:strRef>
              <c:f>Hoja1!$E$1</c:f>
              <c:strCache>
                <c:ptCount val="1"/>
                <c:pt idx="0">
                  <c:v>Eliminaciones</c:v>
                </c:pt>
              </c:strCache>
            </c:strRef>
          </c:tx>
          <c:spPr>
            <a:solidFill>
              <a:srgbClr val="EDA100"/>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-12177</c:v>
                </c:pt>
                <c:pt idx="1">
                  <c:v>-15567</c:v>
                </c:pt>
                <c:pt idx="2">
                  <c:v>-25290</c:v>
                </c:pt>
                <c:pt idx="3">
                  <c:v>-30881</c:v>
                </c:pt>
                <c:pt idx="4">
                  <c:v>-29736</c:v>
                </c:pt>
                <c:pt idx="5">
                  <c:v>-30187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Aire acondicionado y refrigeración</c:v>
                </c:pt>
                <c:pt idx="1">
                  <c:v>Química</c:v>
                </c:pt>
                <c:pt idx="2">
                  <c:v>Otros</c:v>
                </c:pt>
                <c:pt idx="3">
                  <c:v>Eliminaciones</c:v>
                </c:pt>
              </c:strCache>
            </c:strRef>
          </c:cat>
          <c:val>
            <c:numRef>
              <c:f>Hoja1!$B$2:$B$5</c:f>
              <c:numCache>
                <c:formatCode>General</c:formatCode>
                <c:ptCount val="4"/>
                <c:pt idx="0">
                  <c:v>92.2</c:v>
                </c:pt>
                <c:pt idx="1">
                  <c:v>6.1</c:v>
                </c:pt>
                <c:pt idx="2">
                  <c:v>2.3</c:v>
                </c:pt>
                <c:pt idx="3">
                  <c:v>-0.6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Estados Unidos</c:v>
                </c:pt>
                <c:pt idx="1">
                  <c:v>Japón</c:v>
                </c:pt>
                <c:pt idx="2">
                  <c:v>Europa</c:v>
                </c:pt>
                <c:pt idx="3">
                  <c:v>Asia y Oceanía</c:v>
                </c:pt>
                <c:pt idx="4">
                  <c:v>China</c:v>
                </c:pt>
                <c:pt idx="5">
                  <c:v>Otros (Oriente Medio, África, Latinoamérica)</c:v>
                </c:pt>
              </c:strCache>
            </c:strRef>
          </c:cat>
          <c:val>
            <c:numRef>
              <c:f>Hoja1!$B$2:$B$7</c:f>
              <c:numCache>
                <c:formatCode>0"%"</c:formatCode>
                <c:ptCount val="6"/>
                <c:pt idx="0">
                  <c:v>35.6</c:v>
                </c:pt>
                <c:pt idx="1">
                  <c:v>16.1</c:v>
                </c:pt>
                <c:pt idx="2">
                  <c:v>17.1</c:v>
                </c:pt>
                <c:pt idx="3">
                  <c:v>14.2</c:v>
                </c:pt>
                <c:pt idx="4">
                  <c:v>9.4</c:v>
                </c:pt>
                <c:pt idx="5">
                  <c:v>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JPY (USD a 158,45 JPY))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47421000</c:v>
                </c:pt>
                <c:pt idx="1">
                  <c:v>64611000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Daikin</c:v>
                </c:pt>
                <c:pt idx="1">
                  <c:v>Midea Group</c:v>
                </c:pt>
                <c:pt idx="2">
                  <c:v>Gree Electric</c:v>
                </c:pt>
                <c:pt idx="3">
                  <c:v>Carrier Global</c:v>
                </c:pt>
                <c:pt idx="4">
                  <c:v>Trane Technologies</c:v>
                </c:pt>
                <c:pt idx="5">
                  <c:v>Johnson Controls</c:v>
                </c:pt>
                <c:pt idx="6">
                  <c:v>Lennox International</c:v>
                </c:pt>
                <c:pt idx="7">
                  <c:v>Mitsubishi Electric</c:v>
                </c:pt>
              </c:strCache>
            </c:strRef>
          </c:cat>
          <c:val>
            <c:numRef>
              <c:f>Hoja1!$B$2:$B$9</c:f>
              <c:numCache>
                <c:formatCode>0.0"%"</c:formatCode>
                <c:ptCount val="8"/>
                <c:pt idx="0">
                  <c:v>8.3</c:v>
                </c:pt>
                <c:pt idx="1">
                  <c:v>10</c:v>
                </c:pt>
                <c:pt idx="2">
                  <c:v>16.5</c:v>
                </c:pt>
                <c:pt idx="3">
                  <c:v>13.1</c:v>
                </c:pt>
                <c:pt idx="4">
                  <c:v>19.3</c:v>
                </c:pt>
                <c:pt idx="5">
                  <c:v>15.9</c:v>
                </c:pt>
                <c:pt idx="6">
                  <c:v>22.9</c:v>
                </c:pt>
                <c:pt idx="7">
                  <c:v>9.3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strCache>
            </c:strRef>
          </c:cat>
          <c:val>
            <c:numRef>
              <c:f>Hoja1!$B$2:$B$15</c:f>
              <c:numCache>
                <c:formatCode>#,##0</c:formatCode>
                <c:ptCount val="14"/>
                <c:pt idx="0">
                  <c:v>2493386</c:v>
                </c:pt>
                <c:pt idx="1">
                  <c:v>3109106</c:v>
                </c:pt>
                <c:pt idx="2">
                  <c:v>3981578</c:v>
                </c:pt>
                <c:pt idx="3">
                  <c:v>4395317</c:v>
                </c:pt>
                <c:pt idx="4">
                  <c:v>4752335</c:v>
                </c:pt>
                <c:pt idx="5">
                  <c:v>5015036</c:v>
                </c:pt>
                <c:pt idx="6">
                  <c:v>5315938</c:v>
                </c:pt>
                <c:pt idx="7">
                  <c:v>5555155</c:v>
                </c:pt>
                <c:pt idx="8">
                  <c:v>5777362</c:v>
                </c:pt>
                <c:pt idx="9">
                  <c:v>6008456</c:v>
                </c:pt>
                <c:pt idx="10">
                  <c:v>6218752</c:v>
                </c:pt>
                <c:pt idx="11">
                  <c:v>6436408</c:v>
                </c:pt>
                <c:pt idx="12">
                  <c:v>6629501</c:v>
                </c:pt>
                <c:pt idx="13">
                  <c:v>6795238</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strCache>
            </c:strRef>
          </c:cat>
          <c:val>
            <c:numRef>
              <c:f>Hoja1!$C$2:$C$15</c:f>
              <c:numCache>
                <c:formatCode>#,##0</c:formatCode>
                <c:ptCount val="14"/>
                <c:pt idx="0">
                  <c:v>372216</c:v>
                </c:pt>
                <c:pt idx="1">
                  <c:v>464412</c:v>
                </c:pt>
                <c:pt idx="2">
                  <c:v>559256</c:v>
                </c:pt>
                <c:pt idx="3">
                  <c:v>607701</c:v>
                </c:pt>
                <c:pt idx="4">
                  <c:v>647684</c:v>
                </c:pt>
                <c:pt idx="5">
                  <c:v>691197</c:v>
                </c:pt>
                <c:pt idx="6">
                  <c:v>722968</c:v>
                </c:pt>
                <c:pt idx="7">
                  <c:v>766611</c:v>
                </c:pt>
                <c:pt idx="8">
                  <c:v>803053</c:v>
                </c:pt>
                <c:pt idx="9">
                  <c:v>835175</c:v>
                </c:pt>
                <c:pt idx="10">
                  <c:v>864407</c:v>
                </c:pt>
                <c:pt idx="11">
                  <c:v>894661</c:v>
                </c:pt>
                <c:pt idx="12">
                  <c:v>921501</c:v>
                </c:pt>
                <c:pt idx="13">
                  <c:v>944538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34.7</c:v>
                </c:pt>
                <c:pt idx="1">
                  <c:v>34</c:v>
                </c:pt>
                <c:pt idx="2">
                  <c:v>33.4</c:v>
                </c:pt>
                <c:pt idx="3">
                  <c:v>34.3</c:v>
                </c:pt>
                <c:pt idx="4">
                  <c:v>34.2</c:v>
                </c:pt>
                <c:pt idx="5">
                  <c:v>34.5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14.9</c:v>
                </c:pt>
                <c:pt idx="1">
                  <c:v>14.9</c:v>
                </c:pt>
                <c:pt idx="2">
                  <c:v>14</c:v>
                </c:pt>
                <c:pt idx="3">
                  <c:v>13.8</c:v>
                </c:pt>
                <c:pt idx="4">
                  <c:v>13.6</c:v>
                </c:pt>
                <c:pt idx="5">
                  <c:v>13.8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9.6</c:v>
                </c:pt>
                <c:pt idx="1">
                  <c:v>10.2</c:v>
                </c:pt>
                <c:pt idx="2">
                  <c:v>9.5</c:v>
                </c:pt>
                <c:pt idx="3">
                  <c:v>8.9</c:v>
                </c:pt>
                <c:pt idx="4">
                  <c:v>8.5</c:v>
                </c:pt>
                <c:pt idx="5">
                  <c:v>8.3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6.3</c:v>
                </c:pt>
                <c:pt idx="1">
                  <c:v>7</c:v>
                </c:pt>
                <c:pt idx="2">
                  <c:v>6.5</c:v>
                </c:pt>
                <c:pt idx="3">
                  <c:v>5.9</c:v>
                </c:pt>
                <c:pt idx="4">
                  <c:v>5.6</c:v>
                </c:pt>
                <c:pt idx="5">
                  <c:v>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3T FY2025</c:v>
                </c:pt>
                <c:pt idx="1">
                  <c:v>4T FY2025</c:v>
                </c:pt>
                <c:pt idx="2">
                  <c:v>1T FY2026</c:v>
                </c:pt>
                <c:pt idx="3">
                  <c:v>2T FY2026</c:v>
                </c:pt>
                <c:pt idx="4">
                  <c:v>3T FY2026</c:v>
                </c:pt>
                <c:pt idx="5">
                  <c:v>4T FY2026</c:v>
                </c:pt>
                <c:pt idx="6">
                  <c:v>1T FY2027</c:v>
                </c:pt>
              </c:strCache>
            </c:strRef>
          </c:cat>
          <c:val>
            <c:numRef>
              <c:f>Hoja1!$B$2:$B$8</c:f>
              <c:numCache>
                <c:formatCode>0.0"%"</c:formatCode>
                <c:ptCount val="7"/>
                <c:pt idx="2">
                  <c:v>-3</c:v>
                </c:pt>
                <c:pt idx="4">
                  <c:v>7.9</c:v>
                </c:pt>
                <c:pt idx="5">
                  <c:v>16.4</c:v>
                </c:pt>
                <c:pt idx="6">
                  <c:v>17.5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3T FY2025</c:v>
                </c:pt>
                <c:pt idx="1">
                  <c:v>4T FY2025</c:v>
                </c:pt>
                <c:pt idx="2">
                  <c:v>1T FY2026</c:v>
                </c:pt>
                <c:pt idx="3">
                  <c:v>2T FY2026</c:v>
                </c:pt>
                <c:pt idx="4">
                  <c:v>3T FY2026</c:v>
                </c:pt>
                <c:pt idx="5">
                  <c:v>4T FY2026</c:v>
                </c:pt>
                <c:pt idx="6">
                  <c:v>1T FY2027</c:v>
                </c:pt>
              </c:strCache>
            </c:strRef>
          </c:cat>
          <c:val>
            <c:numRef>
              <c:f>Hoja1!$C$2:$C$8</c:f>
              <c:numCache>
                <c:formatCode>0.0"%"</c:formatCode>
                <c:ptCount val="7"/>
                <c:pt idx="6">
                  <c:v>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69</c:v>
                </c:pt>
                <c:pt idx="1">
                  <c:v>70</c:v>
                </c:pt>
                <c:pt idx="2">
                  <c:v>65</c:v>
                </c:pt>
                <c:pt idx="3">
                  <c:v>68</c:v>
                </c:pt>
                <c:pt idx="4">
                  <c:v>66</c:v>
                </c:pt>
                <c:pt idx="5">
                  <c:v>74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105</c:v>
                </c:pt>
                <c:pt idx="1">
                  <c:v>119</c:v>
                </c:pt>
                <c:pt idx="2">
                  <c:v>137</c:v>
                </c:pt>
                <c:pt idx="3">
                  <c:v>133</c:v>
                </c:pt>
                <c:pt idx="4">
                  <c:v>123</c:v>
                </c:pt>
                <c:pt idx="5">
                  <c:v>127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51</c:v>
                </c:pt>
                <c:pt idx="1">
                  <c:v>54</c:v>
                </c:pt>
                <c:pt idx="2">
                  <c:v>49</c:v>
                </c:pt>
                <c:pt idx="3">
                  <c:v>41</c:v>
                </c:pt>
                <c:pt idx="4">
                  <c:v>42</c:v>
                </c:pt>
                <c:pt idx="5">
                  <c:v>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241635</c:v>
                </c:pt>
                <c:pt idx="1">
                  <c:v>103458</c:v>
                </c:pt>
                <c:pt idx="2">
                  <c:v>-57133</c:v>
                </c:pt>
                <c:pt idx="3">
                  <c:v>109745</c:v>
                </c:pt>
                <c:pt idx="4">
                  <c:v>212392</c:v>
                </c:pt>
                <c:pt idx="5">
                  <c:v>192077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156249</c:v>
                </c:pt>
                <c:pt idx="1">
                  <c:v>217709</c:v>
                </c:pt>
                <c:pt idx="2">
                  <c:v>257754</c:v>
                </c:pt>
                <c:pt idx="3">
                  <c:v>260311</c:v>
                </c:pt>
                <c:pt idx="4">
                  <c:v>264757</c:v>
                </c:pt>
                <c:pt idx="5">
                  <c:v>275229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9.5</c:v>
                </c:pt>
                <c:pt idx="1">
                  <c:v>11.7</c:v>
                </c:pt>
                <c:pt idx="2">
                  <c:v>11.8</c:v>
                </c:pt>
                <c:pt idx="3">
                  <c:v>10.1</c:v>
                </c:pt>
                <c:pt idx="4">
                  <c:v>9.9</c:v>
                </c:pt>
                <c:pt idx="5">
                  <c:v>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6.7</c:v>
                </c:pt>
                <c:pt idx="1">
                  <c:v>6.7</c:v>
                </c:pt>
                <c:pt idx="2">
                  <c:v>6.7</c:v>
                </c:pt>
                <c:pt idx="3">
                  <c:v>6.7</c:v>
                </c:pt>
                <c:pt idx="4">
                  <c:v>6.7</c:v>
                </c:pt>
                <c:pt idx="5">
                  <c:v>6.7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9.4</c:v>
                </c:pt>
                <c:pt idx="1">
                  <c:v>12</c:v>
                </c:pt>
                <c:pt idx="2">
                  <c:v>12.3</c:v>
                </c:pt>
                <c:pt idx="3">
                  <c:v>10.7</c:v>
                </c:pt>
                <c:pt idx="4">
                  <c:v>9.7</c:v>
                </c:pt>
                <c:pt idx="5">
                  <c:v>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0.04</c:v>
                </c:pt>
                <c:pt idx="1">
                  <c:v>0.02</c:v>
                </c:pt>
                <c:pt idx="2">
                  <c:v>0.48</c:v>
                </c:pt>
                <c:pt idx="3">
                  <c:v>0.38</c:v>
                </c:pt>
                <c:pt idx="4">
                  <c:v>0.28</c:v>
                </c:pt>
                <c:pt idx="5">
                  <c:v>0.23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28915</c:v>
                </c:pt>
                <c:pt idx="1">
                  <c:v>45108</c:v>
                </c:pt>
                <c:pt idx="2">
                  <c:v>110651</c:v>
                </c:pt>
                <c:pt idx="3">
                  <c:v>20429</c:v>
                </c:pt>
                <c:pt idx="4">
                  <c:v>24727</c:v>
                </c:pt>
                <c:pt idx="5">
                  <c:v>55566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46721</c:v>
                </c:pt>
                <c:pt idx="1">
                  <c:v>49746</c:v>
                </c:pt>
                <c:pt idx="2">
                  <c:v>61468</c:v>
                </c:pt>
                <c:pt idx="3">
                  <c:v>76083</c:v>
                </c:pt>
                <c:pt idx="4">
                  <c:v>92192</c:v>
                </c:pt>
                <c:pt idx="5">
                  <c:v>90749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5</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The Master Trust Bank of Japan (cuenta fiduciaria)</c:v>
                </c:pt>
                <c:pt idx="1">
                  <c:v>Custody Bank of Japan (cuenta fiduciaria)</c:v>
                </c:pt>
                <c:pt idx="2">
                  <c:v>State Street Bank and Trust 505001</c:v>
                </c:pt>
                <c:pt idx="3">
                  <c:v>Elliott International, L.P.</c:v>
                </c:pt>
                <c:pt idx="4">
                  <c:v>Sumitomo Mitsui Banking Corporation</c:v>
                </c:pt>
                <c:pt idx="5">
                  <c:v>MUFG Bank</c:v>
                </c:pt>
                <c:pt idx="6">
                  <c:v>Autocartera</c:v>
                </c:pt>
              </c:strCache>
            </c:strRef>
          </c:cat>
          <c:val>
            <c:numRef>
              <c:f>Hoja1!$B$2:$B$8</c:f>
              <c:numCache>
                <c:formatCode>0.0"%"</c:formatCode>
                <c:ptCount val="7"/>
                <c:pt idx="0">
                  <c:v>18.4</c:v>
                </c:pt>
                <c:pt idx="1">
                  <c:v>7.3</c:v>
                </c:pt>
                <c:pt idx="2">
                  <c:v>3.8</c:v>
                </c:pt>
                <c:pt idx="3">
                  <c:v>3</c:v>
                </c:pt>
                <c:pt idx="4">
                  <c:v>2.4</c:v>
                </c:pt>
                <c:pt idx="5">
                  <c:v>1.3</c:v>
                </c:pt>
                <c:pt idx="6">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20.6</c:v>
                </c:pt>
                <c:pt idx="1">
                  <c:v>24.2</c:v>
                </c:pt>
                <c:pt idx="2">
                  <c:v>-12.3</c:v>
                </c:pt>
                <c:pt idx="3">
                  <c:v>32.1</c:v>
                </c:pt>
                <c:pt idx="4">
                  <c:v>48.3</c:v>
                </c:pt>
                <c:pt idx="5">
                  <c:v>13.8</c:v>
                </c:pt>
                <c:pt idx="6">
                  <c:v>-22.6</c:v>
                </c:pt>
                <c:pt idx="7">
                  <c:v>13.8</c:v>
                </c:pt>
                <c:pt idx="8">
                  <c:v>-18.8</c:v>
                </c:pt>
                <c:pt idx="9">
                  <c:v>7.6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0.4</c:v>
                </c:pt>
                <c:pt idx="1">
                  <c:v>19.1</c:v>
                </c:pt>
                <c:pt idx="2">
                  <c:v>-12.1</c:v>
                </c:pt>
                <c:pt idx="3">
                  <c:v>18.2</c:v>
                </c:pt>
                <c:pt idx="4">
                  <c:v>16</c:v>
                </c:pt>
                <c:pt idx="5">
                  <c:v>4.9</c:v>
                </c:pt>
                <c:pt idx="6">
                  <c:v>-9.4</c:v>
                </c:pt>
                <c:pt idx="7">
                  <c:v>28.2</c:v>
                </c:pt>
                <c:pt idx="8">
                  <c:v>19.2</c:v>
                </c:pt>
                <c:pt idx="9">
                  <c:v>26.2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17.7</c:v>
                </c:pt>
                <c:pt idx="1">
                  <c:v>14.2</c:v>
                </c:pt>
                <c:pt idx="2">
                  <c:v>12.9</c:v>
                </c:pt>
                <c:pt idx="3">
                  <c:v>10.4</c:v>
                </c:pt>
                <c:pt idx="4">
                  <c:v>7.7</c:v>
                </c:pt>
                <c:pt idx="5">
                  <c:v>8.2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0.0"x"</c:formatCode>
                <c:ptCount val="6"/>
                <c:pt idx="0">
                  <c:v>10.4</c:v>
                </c:pt>
                <c:pt idx="1">
                  <c:v>10.4</c:v>
                </c:pt>
                <c:pt idx="2">
                  <c:v>10.4</c:v>
                </c:pt>
                <c:pt idx="3">
                  <c:v>10.4</c:v>
                </c:pt>
                <c:pt idx="4">
                  <c:v>10.4</c:v>
                </c:pt>
                <c:pt idx="5">
                  <c:v>10.4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Boyd Thermal (refrigeración líquida)</c:v>
                </c:pt>
                <c:pt idx="1">
                  <c:v>Motivair (refrigeración líquida; 75 %)</c:v>
                </c:pt>
                <c:pt idx="2">
                  <c:v>Viessmann Climate Solutions (bombas de calor, calderas)</c:v>
                </c:pt>
                <c:pt idx="3">
                  <c:v>Manitowoc Ice</c:v>
                </c:pt>
                <c:pt idx="4">
                  <c:v>AHT Cooling Systems</c:v>
                </c:pt>
                <c:pt idx="5">
                  <c:v>Flanders (filtros)</c:v>
                </c:pt>
                <c:pt idx="6">
                  <c:v>Goodman Global</c:v>
                </c:pt>
              </c:strCache>
            </c:strRef>
          </c:cat>
          <c:val>
            <c:numRef>
              <c:f>Hoja1!$B$2:$B$8</c:f>
              <c:numCache>
                <c:formatCode>0.0"x"</c:formatCode>
                <c:ptCount val="7"/>
                <c:pt idx="0">
                  <c:v>22.5</c:v>
                </c:pt>
                <c:pt idx="2">
                  <c:v>17.1</c:v>
                </c:pt>
                <c:pt idx="3">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135408</c:v>
                </c:pt>
                <c:pt idx="1">
                  <c:v>149983</c:v>
                </c:pt>
                <c:pt idx="2">
                  <c:v>174899</c:v>
                </c:pt>
                <c:pt idx="3">
                  <c:v>187903</c:v>
                </c:pt>
                <c:pt idx="4">
                  <c:v>216739</c:v>
                </c:pt>
                <c:pt idx="5">
                  <c:v>230761</c:v>
                </c:pt>
                <c:pt idx="6">
                  <c:v>254885</c:v>
                </c:pt>
                <c:pt idx="7">
                  <c:v>278994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1196308</c:v>
                </c:pt>
                <c:pt idx="1">
                  <c:v>3727746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21.575,00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12863.81</c:v>
                </c:pt>
                <c:pt idx="1">
                  <c:v>16322.38</c:v>
                </c:pt>
                <c:pt idx="2">
                  <c:v>18732.17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21.575,00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(17.380,00 – 26.440,00)</c:v>
                </c:pt>
                <c:pt idx="1">
                  <c:v>Precio objetivo de los analistas (20.700,00 – 28.800,00)</c:v>
                </c:pt>
                <c:pt idx="2">
                  <c:v>Comparables: PER NTM (14.410,48 – 27.363,73)</c:v>
                </c:pt>
                <c:pt idx="3">
                  <c:v>DCF (WACC y g ± 0,5) (13.466,15 – 20.710,52)</c:v>
                </c:pt>
                <c:pt idx="4">
                  <c:v>Escenarios (bajista – alcista) (12.863,81 – 18.732,17)</c:v>
                </c:pt>
                <c:pt idx="5">
                  <c:v>DCF con la prima implícita del mercado (4,2 %)</c:v>
                </c:pt>
                <c:pt idx="6">
                  <c:v>Precio actual (21.575,00)</c:v>
                </c:pt>
              </c:strCache>
            </c:strRef>
          </c:cat>
          <c:val>
            <c:numRef>
              <c:f>Hoja1!$B$2:$B$8</c:f>
              <c:numCache>
                <c:formatCode>#,##0</c:formatCode>
                <c:ptCount val="7"/>
                <c:pt idx="0">
                  <c:v>17380</c:v>
                </c:pt>
                <c:pt idx="1">
                  <c:v>20700</c:v>
                </c:pt>
                <c:pt idx="2">
                  <c:v>14410.48</c:v>
                </c:pt>
                <c:pt idx="3">
                  <c:v>13466.15</c:v>
                </c:pt>
                <c:pt idx="4">
                  <c:v>12863.81</c:v>
                </c:pt>
                <c:pt idx="5">
                  <c:v>18023.23</c:v>
                </c:pt>
                <c:pt idx="6">
                  <c:v>21467.13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(17.380,00 – 26.440,00)</c:v>
                </c:pt>
                <c:pt idx="1">
                  <c:v>Precio objetivo de los analistas (20.700,00 – 28.800,00)</c:v>
                </c:pt>
                <c:pt idx="2">
                  <c:v>Comparables: PER NTM (14.410,48 – 27.363,73)</c:v>
                </c:pt>
                <c:pt idx="3">
                  <c:v>DCF (WACC y g ± 0,5) (13.466,15 – 20.710,52)</c:v>
                </c:pt>
                <c:pt idx="4">
                  <c:v>Escenarios (bajista – alcista) (12.863,81 – 18.732,17)</c:v>
                </c:pt>
                <c:pt idx="5">
                  <c:v>DCF con la prima implícita del mercado (4,2 %)</c:v>
                </c:pt>
                <c:pt idx="6">
                  <c:v>Precio actual (21.575,00)</c:v>
                </c:pt>
              </c:strCache>
            </c:strRef>
          </c:cat>
          <c:val>
            <c:numRef>
              <c:f>Hoja1!$C$2:$C$8</c:f>
              <c:numCache>
                <c:formatCode>#,##0</c:formatCode>
                <c:ptCount val="7"/>
                <c:pt idx="0">
                  <c:v>9060</c:v>
                </c:pt>
                <c:pt idx="1">
                  <c:v>8100</c:v>
                </c:pt>
                <c:pt idx="2">
                  <c:v>12953.25</c:v>
                </c:pt>
                <c:pt idx="3">
                  <c:v>7244.370000000001</c:v>
                </c:pt>
                <c:pt idx="4">
                  <c:v>5868.359999999999</c:v>
                </c:pt>
                <c:pt idx="5">
                  <c:v>6137.5</c:v>
                </c:pt>
                <c:pt idx="6">
                  <c:v>215.73999999999796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