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Rollins, Inc.</w:t>
      </w:r>
    </w:p>
    <w:p>
      <w:pPr>
        <w:spacing w:after="60"/>
        <w:rPr>
          <w:color w:val="52514E"/>
          <w:sz w:val="22"/>
          <w:szCs w:val="22"/>
        </w:rPr>
      </w:pPr>
      <w:r>
        <w:rPr>
          <w:color w:val="52514E"/>
          <w:sz w:val="22"/>
          <w:szCs w:val="22"/>
        </w:rPr>
        <w:t xml:space="preserve">ROL · NYSE · ISIN US7757111049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32,63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41,01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+27,8 % (base +22,9 %)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24,62 USD · mercado 27,33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15.698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Rollins,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ROL / US7757111049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comerciales y suministros (servicios ambientales y de instalaciones: control de plagas)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 1948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www.rollins.com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32,63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29,29 – 66,14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15.698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16.292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41,01 USD</w:t>
      </w:r>
      <w:r>
        <w:t xml:space="preserve"> frente a 32,63 · Rentabilidad a 12 meses </w:t>
      </w:r>
      <w:r>
        <w:rPr>
          <w:b/>
          <w:bCs/>
        </w:rPr>
        <w:t xml:space="preserve">+27,8 % (base +22,9 %)</w:t>
      </w:r>
      <w:r>
        <w:t xml:space="preserve"> · Valor intrínseco 24,62 USD · con la prima implícita del mercado: 27,33 (-16,2 %) · Alcista / bajista -12,2 % / -37,5 %</w:t>
      </w:r>
    </w:p>
    <w:p>
      <w:pPr>
        <w:spacing w:after="100"/>
      </w:pPr>
      <w:r>
        <w:rPr>
          <w:b/>
        </w:rPr>
        <w:t xml:space="preserve">La recomendación y por qué.</w:t>
      </w:r>
      <w:r>
        <w:t xml:space="preserve"> Mantener, con convicción media. La regla a 12 meses da un 27,8 % ponderado y un 22,9 % en el base, dividendo incluido: objetivo de 41,01 USD frente a un precio de 32,63 (cierre del 14-oct-2026; unos 29,30 EUR por acción, muy por debajo del 7 % de una cartera de 30.000 EUR). </w:t>
      </w:r>
      <w:r>
        <w:rPr>
          <w:b/>
        </w:rPr>
        <w:t xml:space="preserve">Pero el filtro que falla es el valor intrínseco</w:t>
      </w:r>
      <w:r>
        <w:t xml:space="preserve">: 24,62 USD, un 24,5 % por debajo del precio. Ni el alcista del DCF (28,65) llega al precio, y con la prima implícita del mercado sale 27,33. La caída del 54 % desde febrero ha cerrado gran parte de la distancia, no toda: a 25-27 veces el beneficio del año que viene, Rollins es barata frente a su historia (45 veces), no frente a sus flujos con el bono al 5,2 %. La convicción es media porque las dos señales tiran en sentidos opuestos (la regla a 12 meses pasa con holgura y el valor real falla por un 24 %); la subiría un 3T26 con el orgánico residencial estabilizado o un precio más cerca de 25 USD, y la bajaría otra rebaja de la guía.</w:t>
      </w:r>
    </w:p>
    <w:p>
      <w:pPr>
        <w:spacing w:after="100"/>
      </w:pPr>
      <w:r>
        <w:rPr>
          <w:b/>
        </w:rPr>
        <w:t xml:space="preserve">El negocio.</w:t>
      </w:r>
      <w:r>
        <w:t xml:space="preserve"> Es el número uno de control de plagas de EE. UU. (Orkin, HomeTeam, Fox, Saela) con unos 2,8 millones de clientes: residencial (45 % de las ventas), comercial (33 %) y termitas y auxiliares (21 %), con un 80 % de ingresos recurrentes y un 24 % del mercado norteamericano [1, 13]. Crece un 6-7 % orgánico más un 2-4 % de compras pequeñas, que integra en sus rutas. ROIC del 31 %, 21 puntos por encima del WACC (sin el fondo de comercio, del 110,8 %; en un comprador en serie decide el publicado): </w:t>
      </w:r>
      <w:r>
        <w:rPr>
          <w:b/>
        </w:rPr>
        <w:t xml:space="preserve">veredicto de calidad: Sí</w:t>
      </w:r>
      <w:r>
        <w:t xml:space="preserve">. Sostenibilidad del crecimiento: </w:t>
      </w:r>
      <w:r>
        <w:rPr>
          <w:b/>
        </w:rPr>
        <w:t xml:space="preserve">Sí</w:t>
      </w:r>
      <w:r>
        <w:t xml:space="preserve">, y el motor coincide: el 6,4 % que proyectamos es la mitad del histórico y el capital nuevo rendiría como el de 2020-2025.</w:t>
      </w:r>
    </w:p>
    <w:p>
      <w:pPr>
        <w:spacing w:after="100"/>
      </w:pPr>
      <w:r>
        <w:rPr>
          <w:b/>
        </w:rPr>
        <w:t xml:space="preserve">Finanzas.</w:t>
      </w:r>
      <w:r>
        <w:t xml:space="preserve"> El 2T26 rompió la serie: orgánico del 5,7 % (residencial 3,6 %), margen EBITDA ajustado del 21,9 % frente al 23,1 % y BPA ajustado de 0,32 USD frente a 0,34 del consenso; la guía bajó a «al menos el 6 %» orgánico y un margen incremental de «al menos el 10 %» (antes 25-30 %) [5, 10]. La caja libre es el 123 % del beneficio y la deuda neta de 0,7 veces el EBITDA.</w:t>
      </w:r>
    </w:p>
    <w:p>
      <w:pPr>
        <w:spacing w:after="100"/>
      </w:pPr>
      <w:r>
        <w:rPr>
          <w:b/>
        </w:rPr>
        <w:t xml:space="preserve">Equipo y gobierno.</w:t>
      </w:r>
      <w:r>
        <w:t xml:space="preserve"> La familia Rollins controla el 37,9 % y vendió 1.150 M en noviembre de 2025 a 57,50 USD; la empresa le recompró a 56,93, un 74 % por encima del precio de hoy [22]. El bloqueo vence el 10-nov-2026. Salió el director financiero en junio y nadie ha comprado en mercado tras la caída [19, 21].</w:t>
      </w:r>
    </w:p>
    <w:p>
      <w:pPr>
        <w:spacing w:after="100"/>
      </w:pPr>
      <w:r>
        <w:rPr>
          <w:b/>
        </w:rPr>
        <w:t xml:space="preserve">Valoración.</w:t>
      </w:r>
      <w:r>
        <w:t xml:space="preserve"> El DCF inverso exige un 11,5 % de crecimiento anual de las ventas durante seis años: el precio rinde un 7,4 % frente al 9,62 % que pedimos. Nuestro BPA de 2028e (1,34) está un 3,6 % por debajo del consenso; la discrepancia es de tasa, no de negocio.</w:t>
      </w:r>
    </w:p>
    <w:p>
      <w:pPr>
        <w:spacing w:after="100"/>
      </w:pPr>
      <w:r>
        <w:rPr>
          <w:b/>
        </w:rPr>
        <w:t xml:space="preserve">Riesgos y catalizadores.</w:t>
      </w:r>
      <w:r>
        <w:t xml:space="preserve"> </w:t>
      </w:r>
      <w:r>
        <w:rPr>
          <w:b/>
        </w:rPr>
        <w:t xml:space="preserve">Riesgo de que la IA se coma el negocio: medio, en la captación, no en el servicio.</w:t>
      </w:r>
      <w:r>
        <w:t xml:space="preserve"> La empresa atribuye a las respuestas con IA de Google la mitad de una caída de doble dígito de sus contactos digitales [12]; encarece cada cliente residencial, pero no fumiga ni sustituye el contrato recurrente (exposición media, amenaza, −10 %). Resultados el 21-oct-2026 tras el cierre: con resultados en menos de 14 días, cualquier compra iría en dos tramos. Los foros, divididos: calidad en mínimos de una década frente a miedo a la IA.</w:t>
      </w:r>
    </w:p>
    <w:p>
      <w:pPr>
        <w:spacing w:after="100"/>
      </w:pPr>
      <w:r>
        <w:rPr>
          <w:b/>
        </w:rPr>
        <w:t xml:space="preserve">Qué cambiaría la decisión.</w:t>
      </w:r>
      <w:r>
        <w:t xml:space="preserve"> Comprar por debajo de 24,62 USD (valor intrínseco), donde la regla a 12 meses ya da mucho más del 15 %; vender por encima de 46,35 USD. Pasaríamos a Vender con un orgánico residencial por debajo del 2 % dos trimestres; reconsideraríamos al alza con el bono por debajo del 4,5 % o un orgánico de nuevo en el 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41,01 USD</w:t>
      </w:r>
      <w:r>
        <w:t xml:space="preserve"> (rentabilidad +27,8 % (base +22,9 %)) · Valor intrínseco: 24,62 USD (-24,5 % sobre 32,63) · con la prima implícita del mercado: 27,33 (-16,2 %)</w:t>
      </w:r>
    </w:p>
    <w:p>
      <w:pPr>
        <w:spacing w:after="100"/>
      </w:pPr>
      <w:r>
        <w:t xml:space="preserve">Rollins es la mejor empresa de un sector sencillo y recurrente: controla plagas en 2,8 millones de casas y negocios, sobre todo en EE. UU., con un margen EBITDA del 22 %, un ROIC del 31 % y un crecimiento del 11,7 % anual en 2020-2025 entre orgánico y compras pequeñas bien integradas [1].</w:t>
      </w:r>
    </w:p>
    <w:p>
      <w:pPr>
        <w:spacing w:after="100"/>
      </w:pPr>
      <w:r>
        <w:t xml:space="preserve">En 2026 el mercado le ha quitado la mitad del múltiplo: el orgánico residencial ha caído al 3,6 % porque las respuestas con IA de los buscadores le restan contactos, la guía se rebajó, salió el director financiero y la familia vendió 1.150 M. A 32,63 USD cotiza a 26,7 veces nuestro BPA de 2027e, frente a 45 veces de mediana de cinco años.</w:t>
      </w:r>
    </w:p>
    <w:p>
      <w:pPr>
        <w:spacing w:after="100"/>
      </w:pPr>
      <w:r>
        <w:t xml:space="preserve">La regla a 12 meses ve recuperación del múltiplo (+28 %), pero el DCF con el bono al 5,19 % da 24,62 USD: el precio todavía exige crecer al 11,5 % anual. Para invertir hay que creer que la IA solo encarece la captación y que el mercado volverá a pagar 30 veces; nosotros pedimos un precio de entrada más cerca del valor de los flujos.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 × 1,20 = 28,20 · 29,4x × 1,34 = 39,40 · 39,6x × 1,44 = 57,02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 / 22,9 %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41,59 (nuestro base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 -37,5 %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9,6 %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(6,7 % anual proyectado; financiable al ROIC actual: 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24,62 y 46,35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46,35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24,62 USD (valor intrínseco): Comprar, en dos tramos si hay resultados en menos de 14 días.</w:t>
      </w:r>
    </w:p>
    <w:p>
      <w:pPr>
        <w:pStyle w:val="ListParagraph"/>
        <w:numPr>
          <w:ilvl w:val="0"/>
          <w:numId w:val="2"/>
        </w:numPr>
        <w:spacing w:after="60"/>
      </w:pPr>
      <w:r>
        <w:t xml:space="preserve">Precio por encima de 46,35 USD: Vender.</w:t>
      </w:r>
    </w:p>
    <w:p>
      <w:pPr>
        <w:pStyle w:val="ListParagraph"/>
        <w:numPr>
          <w:ilvl w:val="0"/>
          <w:numId w:val="2"/>
        </w:numPr>
        <w:spacing w:after="60"/>
      </w:pPr>
      <w:r>
        <w:t xml:space="preserve">Orgánico residencial por debajo del 2 % dos trimestres seguidos: rebaja del BPA y del múltiplo; Vender.</w:t>
      </w:r>
    </w:p>
    <w:p>
      <w:pPr>
        <w:pStyle w:val="ListParagraph"/>
        <w:numPr>
          <w:ilvl w:val="0"/>
          <w:numId w:val="2"/>
        </w:numPr>
        <w:spacing w:after="60"/>
      </w:pPr>
      <w:r>
        <w:t xml:space="preserve">Bono a 10 años por debajo del 4,5 %: el WACC bajaría y revisaríamos el valor intrínseco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ha roto la captación residencial y que Rollins ya no volverá a crecer al 7-8 % orgánico; los analistas han recortado objetivos hasta 41,59 USD de media y la acción ha perdido un 54 % desde febrero.</w:t>
      </w:r>
    </w:p>
    <w:p>
      <w:pPr>
        <w:keepNext/>
        <w:spacing w:after="100"/>
      </w:pPr>
      <w:r>
        <w:rPr>
          <w:b/>
          <w:bCs/>
        </w:rPr>
        <w:t xml:space="preserve">Lo que creemos nosotros.</w:t>
      </w:r>
    </w:p>
    <w:p>
      <w:pPr>
        <w:spacing w:after="100"/>
      </w:pPr>
      <w:r>
        <w:t xml:space="preserve">La IA encarece la captación pero no toca el servicio recurrente ni el comercial: proyectamos un 5,5 % orgánico, por debajo de la guía. Con un BPA de 2028e de 1,34 la regla a 12 meses da un 28 %, pero el valor intrínseco (24,62) sigue por debajo del precio.</w:t>
      </w:r>
    </w:p>
    <w:p>
      <w:pPr>
        <w:keepNext/>
        <w:spacing w:after="100"/>
      </w:pPr>
      <w:r>
        <w:rPr>
          <w:b/>
          <w:bCs/>
        </w:rPr>
        <w:t xml:space="preserve">Por qué podemos tener razón.</w:t>
      </w:r>
    </w:p>
    <w:p>
      <w:pPr>
        <w:spacing w:after="100"/>
      </w:pPr>
      <w:r>
        <w:t xml:space="preserve">La caída ha llevado el múltiplo a la mitad de su historia, pero esa historia era de tipos al 1-2 %. Con el bono al 5,2 % el precio rinde un 7,4 % anual: barata frente a sí misma, todavía cara frente a sus flujos.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2,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31 % y caja libre del 123 % del beneficio [1].</w:t>
      </w:r>
    </w:p>
    <w:p>
      <w:pPr>
        <w:pStyle w:val="ListParagraph"/>
        <w:numPr>
          <w:ilvl w:val="0"/>
          <w:numId w:val="2"/>
        </w:numPr>
        <w:spacing w:after="60"/>
      </w:pPr>
      <w:r>
        <w:rPr>
          <w:b/>
        </w:rPr>
        <w:t xml:space="preserve">Múltiplo en mínimos de una década</w:t>
      </w:r>
      <w:r>
        <w:t xml:space="preserve">: 26,7 veces el BPA de 2027e frente a 45,5 de mediana.</w:t>
      </w:r>
    </w:p>
    <w:p>
      <w:pPr>
        <w:pStyle w:val="ListParagraph"/>
        <w:numPr>
          <w:ilvl w:val="0"/>
          <w:numId w:val="2"/>
        </w:numPr>
        <w:spacing w:after="60"/>
      </w:pPr>
      <w:r>
        <w:rPr>
          <w:b/>
        </w:rPr>
        <w:t xml:space="preserve">Ingresos recurrentes</w:t>
      </w:r>
      <w:r>
        <w:t xml:space="preserve">: un 80 % de contratos; comercial y termitas crecen al 7-9 % [5].</w:t>
      </w:r>
    </w:p>
    <w:p>
      <w:pPr>
        <w:pStyle w:val="ListParagraph"/>
        <w:numPr>
          <w:ilvl w:val="0"/>
          <w:numId w:val="2"/>
        </w:numPr>
        <w:spacing w:after="60"/>
      </w:pPr>
      <w:r>
        <w:rPr>
          <w:b/>
        </w:rPr>
        <w:t xml:space="preserve">Crecimiento comprado con disciplina</w:t>
      </w:r>
      <w:r>
        <w:t xml:space="preserve">: compras a 2,3-2,8 veces las ventas que rinden un 39 % incremental.</w:t>
      </w:r>
    </w:p>
    <w:p>
      <w:pPr>
        <w:pStyle w:val="ListParagraph"/>
        <w:numPr>
          <w:ilvl w:val="0"/>
          <w:numId w:val="2"/>
        </w:numPr>
        <w:spacing w:after="60"/>
      </w:pPr>
      <w:r>
        <w:rPr>
          <w:b/>
        </w:rPr>
        <w:t xml:space="preserve">Balance</w:t>
      </w:r>
      <w:r>
        <w:t xml:space="preserve">: deuda neta de 0,7 veces el EBITDA y recompras en marcha [12].</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24,62 USD, un 24,5 % menos.</w:t>
      </w:r>
    </w:p>
    <w:p>
      <w:pPr>
        <w:pStyle w:val="ListParagraph"/>
        <w:numPr>
          <w:ilvl w:val="0"/>
          <w:numId w:val="2"/>
        </w:numPr>
        <w:spacing w:after="60"/>
      </w:pPr>
      <w:r>
        <w:rPr>
          <w:b/>
        </w:rPr>
        <w:t xml:space="preserve">IA en la captación</w:t>
      </w:r>
      <w:r>
        <w:t xml:space="preserve">: contactos digitales cayendo a doble dígito [12].</w:t>
      </w:r>
    </w:p>
    <w:p>
      <w:pPr>
        <w:pStyle w:val="ListParagraph"/>
        <w:numPr>
          <w:ilvl w:val="0"/>
          <w:numId w:val="2"/>
        </w:numPr>
        <w:spacing w:after="60"/>
      </w:pPr>
      <w:r>
        <w:rPr>
          <w:b/>
        </w:rPr>
        <w:t xml:space="preserve">Guía rebajada</w:t>
      </w:r>
      <w:r>
        <w:t xml:space="preserve">: orgánico de «al menos el 6 %» y margen incremental del 10 % [5].</w:t>
      </w:r>
    </w:p>
    <w:p>
      <w:pPr>
        <w:pStyle w:val="ListParagraph"/>
        <w:numPr>
          <w:ilvl w:val="0"/>
          <w:numId w:val="2"/>
        </w:numPr>
        <w:spacing w:after="60"/>
      </w:pPr>
      <w:r>
        <w:rPr>
          <w:b/>
        </w:rPr>
        <w:t xml:space="preserve">Ventas de la familia</w:t>
      </w:r>
      <w:r>
        <w:t xml:space="preserve">: 1.150 M en noviembre de 2025 y bloqueo hasta el 10-nov-2026 [22].</w:t>
      </w:r>
    </w:p>
    <w:p>
      <w:pPr>
        <w:pStyle w:val="ListParagraph"/>
        <w:numPr>
          <w:ilvl w:val="0"/>
          <w:numId w:val="2"/>
        </w:numPr>
        <w:spacing w:after="60"/>
      </w:pPr>
      <w:r>
        <w:rPr>
          <w:b/>
        </w:rPr>
        <w:t xml:space="preserve">Salida del director financiero</w:t>
      </w:r>
      <w:r>
        <w:t xml:space="preserve"> y ninguna compra de directivos [19, 21].</w:t>
      </w:r>
    </w:p>
    <w:p>
      <w:pPr>
        <w:pStyle w:val="Heading2"/>
      </w:pPr>
      <w:r>
        <w:t xml:space="preserve">Qué tiene que pasar para que la tesis funcione</w:t>
      </w:r>
    </w:p>
    <w:p>
      <w:pPr>
        <w:spacing w:after="100"/>
      </w:pPr>
      <w:r>
        <w:t xml:space="preserve">La tesis depende de que el precio baje hacia el valor de los flujos o de que el crecimiento vuelva. La señal de que nos equivocamos por prudentes sería un orgánico residencial de nuevo por encima del 5 % con los contactos digitales estabilizados: el BPA de 2028 pasaría de 1,40 y el mercado volvería a pagar 30-35 veces. La señal de alarma, un orgánico residencial por debajo del 3 % en el 3T26 y el 4T26.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residencial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la IA en la captación.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BPA y del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sanidad y marketing.</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20x (oportunidad) o &gt; 35x (venta)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señal a 12 meses es de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la familia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Bloqueo hasta el 10-nov-2026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 colocación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de oferta.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 / 17,0x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29,7x / 26,5x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Orkin nace en 1901 en Pensilvania; en 1964 la compra Rollins Broadcasting, la empresa de radio y televisión de los hermanos O. Wayne y John Rollins, en una de las primeras compras apalancadas de EE. UU. [1]. La familia Rollins convirtió a Orkin en el núcleo del grupo, separó las demás actividades (RPC y Marine Products, hoy cotizadas y controladas por la familia) y desde 2015 acelera las compras: HomeTeam (2008), Northwest (2016), Clark (2019), Fox (2023), Saela (2025) y Romex (2026) [1, 11]. La familia sigue con el 38 % del voto, pero vendió acciones en 2023 y en noviembre de 2025 y dejó de ser «empresa controlada» según la propia compañía [11]. Gary W. Rollins dejó el consejo en abril de 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Otto Orkin funda el negocio de control de plagas.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Rollins Broadcasting compra Orkin por unos 62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HomeTeam Pest Defense (canal de constructores)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Clark Pest Control (California) por unos 400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venta secundaria de la familia con recompra de 300 M; compra de Fox Pest Control (339,5 M)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Saela (207,2 M); bonos de 500 M a 2035; segunda venta de la familia (1.150 M USD a 57,50) con recompra de 200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(mayo); salida del director financiero (junio); rebaja de la guía orgánica (julio) y caída de la acción de más del 50 % desde febrero [1, 10].</w:t>
            </w:r>
          </w:p>
        </w:tc>
      </w:tr>
    </w:tbl>
    <w:p>
      <w:pPr>
        <w:spacing w:after="160" w:before="0"/>
      </w:pPr>
    </w:p>
    <w:p>
      <w:pPr>
        <w:pStyle w:val="Heading1"/>
      </w:pPr>
      <w:r>
        <w:t xml:space="preserve">2. Modelo de negocio</w:t>
      </w:r>
    </w:p>
    <w:p>
      <w:pPr>
        <w:spacing w:after="100"/>
      </w:pPr>
      <w:r>
        <w:t xml:space="preserve">Rollins es el mayor grupo de control de plagas de EE. UU. y el segundo del mundo tras Rentokil-Terminix: más de 2,8 millones de clientes, unos 22.000 empleados y más de 850 sucursales, con un 92,8 % de las ventas en EE. UU. [1]. Vende tres servicios: residencial (45 % de las ventas de 2025), comercial (33 %: restauración, alimentación, sanidad, almacenes) y termitas y servicios auxiliares (21 %: tratamientos, renovación anual de garantías, mosquitos, fauna), más un 1 % de franquicias [1]. Opera con marcas propias que compiten entre sí y se reparten los canales: Orkin (nacional, capta por buscadores y llamadas), HomeTeam (constructores de viviendas nuevas), Fox y Saela (venta puerta a puerta), Clark, Northwest, Western y otras regionales [1, 10]. Fuera de EE. UU. está en Canadá, Australia, Reino Unido y Singapur, y franquicia en otros 60 países [1].</w:t>
      </w:r>
    </w:p>
    <w:p>
      <w:pPr>
        <w:pStyle w:val="Heading2"/>
      </w:pPr>
      <w:r>
        <w:t xml:space="preserve">Cómo gana dinero</w:t>
      </w:r>
    </w:p>
    <w:p>
      <w:pPr>
        <w:spacing w:after="100"/>
      </w:pPr>
      <w:r>
        <w:t xml:space="preserve">Unos tres cuartos de las ventas son contratos de servicio recurrentes (mensuales, trimestrales o anuales, renovación de garantías de termitas) y el resto servicios puntuales [11]. El margen depende de la densidad de las rutas (más clientes por técnico y por kilómetro), del precio (la empresa sube por encima de la inflación: el precio aporta 3-4 puntos del crecimiento orgánico) y de los costes de personal, seguros, sanidad y flota [1, 11]. Captar un cliente residencial cuesta mucho (marketing y comerciales: 14,1 % de las ventas en el 2T26) y se recupera en varios años de retención, así que una caída de contactos con los costes ya dimensionados hunde el margen incremental (6,5 % en el 2T26 frente a un objetivo del 30-35 %) [10, 11]. Estacionalidad: el 2T y 3T concentran la temporada de plagas y la mayor parte del beneficio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Termitas y servicios auxiliares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Franquicias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Termitas y servicios auxiliares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Franquicias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atomizados: más de 2,8 millones, ninguno relevante [1]. La empresa no publica la tasa de retención; dice que la retención y el precio «no son el problema» en 2026 y que la reacción a la subida de tarifas fue favorable [10]. Poder de precios: precio de 3-4 puntos al año dentro del crecimiento orgánico durante el último ciclo, con un margen EBIT estable en el 19-20 % [1, 11]. El riesgo está en la captación: en el 2T26 los contactos residenciales cayeron a doble dígito, y algunas categorías puntuales (roedores en vivienda) bajaron un 30-50 % en partes del trimestre [10, 12]. Los contratos comerciales retienen más y duran más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(2025); 5,7 %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rebajada a «al menos el 6 %» [5, 7,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residencial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contactos digitales en Orkin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comercial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termitas y auxiliares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gastos médicos y flota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y 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20.265 empleados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2,8 millones de clientes; 21.946 empleados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empleados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850 sucursales [1,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Servicios profesionales de control de plagas (residencial, comercial y termitas). Rollins vende casi todo en EE. UU., así que el mercado relevante es Norteamérica, unos 14.200 M USD en 2025 según Rentokil (que cita a Allied Market Research, Specialty Consultants y QuinceMarket Insights) [13], frente a unos 27.000 M USD mundiales en 2024 según la presentación de Rollins con datos de Vantage Market Research [11]. Contraste: las 100 mayores empresas de EE. UU. del ranking PCT Top 100 sumaron 13.300 M USD en 2024 [11], así que el mercado de EE. UU. con los operadores pequeños supera claramente los 14.200 M; usamos la cifra de Rentokil como perímetro de la cuota con esa salvedad. Detalle en la ficha sectorial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14.200 M USD en Norteamérica y 29.000 M USD en el mundo (2025, Rentokil) [13]; ≈ 27.000 M USD mundiales en 2024 (Rollins)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Norteamérica; 2030e estimación propia al 6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aporta 3-4 puntos del crecimiento orgánico de Rollins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Clima más cálido y urbanización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Temporadas más largas y nuevas especies; el mercado creció un 6,6 % anual en 2015-2025 sin años de caída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Exigencias sanitarias de los clientes comerciales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 crece al 7-8 % orgánico en Rollins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residencial por buscadores y respuestas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Contactos residenciales con caída de doble dígito en el 2T26; la dirección atribuye un 50-60 % a las respuestas con IA de Google [10,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por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18 empresas de EE. UU. con más de 100 M sumaron 11.400 M en 2024 frente a 4.500 M de 11 en 2014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Vivienda nueva y mudanzas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HomeTeam crece con los constructores; los tipos altos frenan la compraventa de viviendas [1,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33.000 empresas de menos de 50 M; Rentokil-Terminix y Rollins compiten en precio y en captación digital [11,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Millones de clientes pequeños; en comercial hay grandes cuentas que licitan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de Bayer, BASF, Syngenta y distribuidores; materiales son el 6 % de las ventas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y licencias estatales sencillas; la escala da ventaja en marketing y densidad, no en el servicio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de bricolaje, que la IA puede recomendar al consumidor en vez de un profesional [10].</w:t>
            </w:r>
          </w:p>
        </w:tc>
      </w:tr>
    </w:tbl>
    <w:p>
      <w:pPr>
        <w:spacing w:after="160" w:before="0"/>
      </w:pPr>
    </w:p>
    <w:p>
      <w:pPr>
        <w:pStyle w:val="Heading2"/>
      </w:pPr>
      <w:r>
        <w:t xml:space="preserve">Ciclo</w:t>
      </w:r>
    </w:p>
    <w:p>
      <w:pPr>
        <w:spacing w:after="100"/>
      </w:pPr>
      <w:r>
        <w:t xml:space="preserve">Mercado poco cíclico: creció un 6,6 % anual en 2015-2025 según Rentokil sin años de caída [13]; Rollins creció en 2008-09 y en 2020 (99 trimestres seguidos de crecimiento de ventas hasta el 2T26) [1, 10]. En 2022-2023 repercutió la inflación con precio. La desaceleración de 2026 no es de demanda de fondo sino de captación residencial: el comercial y las termitas siguen al 7-9 %, el residencial baja al 3,6 % [10].</w:t>
      </w:r>
    </w:p>
    <w:p>
      <w:pPr>
        <w:pStyle w:val="Heading2"/>
      </w:pPr>
      <w:r>
        <w:t xml:space="preserve">Regulación</w:t>
      </w:r>
    </w:p>
    <w:p>
      <w:pPr>
        <w:spacing w:after="100"/>
      </w:pPr>
      <w:r>
        <w:t xml:space="preserve">Los plaguicidas necesitan registro federal (EPA) y estatal y pueden restringirse; los técnicos necesitan licencia estatal [1]. La FTC ha pedido a Rollins información sobre sus pactos de no competencia con empleados [16]. Los reguladores estatales vigilan las garantías y renovaciones de termitas, donde Terminix pagó multas en el pasado [16]. No hay cambios con fecha que muevan las cifras de 2026-2027.</w:t>
      </w:r>
    </w:p>
    <w:p>
      <w:pPr>
        <w:pStyle w:val="Heading2"/>
      </w:pPr>
      <w:r>
        <w:t xml:space="preserve">Tendencias y disrupción</w:t>
      </w:r>
    </w:p>
    <w:p>
      <w:pPr>
        <w:spacing w:after="100"/>
      </w:pPr>
      <w:r>
        <w:t xml:space="preserve">La captación residencial se desplaza de la publicidad pagada en buscadores a las respuestas de IA y a la presencia local: Rollins y Rentokil vieron menos contactos en 2026, y Rentokil rehízo unas 800 páginas para buscadores y asistentes de IA [12, 13]. Las marcas con venta puerta a puerta (Fox, Saela, Aptive) y con constructores (HomeTeam) aguantan mejor [10]. En comercial avanza el control conectado (trampas con sensores) [13]. Gana quien tenga marca, datos y presupuesto para adaptarse; el riesgo para Orkin es que el asistente de IA recomiende productos de bricolaje o a un competidor local.</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 EE. UU. y 2.º del mundo en control de plagas: ventas de 3.491 M en EE. UU. en 2025 sobre un mercado norteamericano de unos 14.200 M (≈ 24 %, estimación propia; con el perímetro del PCT Top 100, ≈ 26 % del total de las 100 mayores) [1, 11,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Rentokil Initial (Terminix en EE. UU.)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Norteamérica crece un 2-4 % orgánico frente al 6-7 % de Rollins y tiene un margen operativo ajustado del 17,4 % frente al 20,0 % de Rollins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Anticimex (EQT)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Privado; compra mucho (53 operaciones en 2023) y está en EE. UU.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 (Global Pest Elimination)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comercial, vendido con la higiene de Ecolab; orgánico del 6,1 % en 2025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Aptive Environmental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Privado; residencial puerta a puerta, rival directo de Fox y Saela.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Operadores locales (≈ 33.000 empresas de menos de 50 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Sumaban 1.500 M entre las 76 menores del PCT Top 100 en 2024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entre clientes.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recurrentes y garantías de termitas; cambiar de proveedor es fácil en residencial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Orkin es la marca más conocida del sector; su valor depende de la captación por buscadores, que la IA está cambiando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20,0 % frente al 17,4 % de Rentokil Norteamérica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Densidad de rutas en 850 sucursales y compras de 94 empresas en tres años; pero las barreras de entrada son bajas [1, 2].</w:t>
            </w:r>
          </w:p>
        </w:tc>
      </w:tr>
    </w:tbl>
    <w:p>
      <w:pPr>
        <w:spacing w:after="160" w:before="0"/>
      </w:pPr>
    </w:p>
    <w:p>
      <w:pPr>
        <w:pStyle w:val="Heading2"/>
      </w:pPr>
      <w:r>
        <w:t xml:space="preserve">Amenazas</w:t>
      </w:r>
    </w:p>
    <w:p>
      <w:pPr>
        <w:spacing w:after="100"/>
      </w:pPr>
      <w:r>
        <w:t xml:space="preserve">La amenaza principal es la captación: si los asistentes de IA y las respuestas de Google desplazan la búsqueda local, Orkin pierde el canal que le daba clientes a bajo coste y tendrá que pagar más por cada uno o moverse al puerta a puerta, que ya domina con Fox y Saela [10, 12]. Probabilidad media de un efecto material en tres años: en el 2T26 el residencial pasó del 5 % al 3,6 % orgánico [10]. Segunda amenaza: Rentokil-Terminix con precios agresivos para recuperar cuota en Norteamérica [16]. Tercera: el bricolaje recomendado por la IA para plagas leves [10].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11,7 %</w:t>
      </w:r>
      <w:r>
        <w:t xml:space="preserve">, EBITDA </w:t>
      </w:r>
      <w:r>
        <w:rPr>
          <w:b/>
          <w:bCs/>
        </w:rPr>
        <w:t xml:space="preserve">12,9 %</w:t>
      </w:r>
      <w:r>
        <w:t xml:space="preserve">, BPA </w:t>
      </w:r>
      <w:r>
        <w:rPr>
          <w:b/>
          <w:bCs/>
        </w:rPr>
        <w:t xml:space="preserve">15,1 %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Rollins pasó de 2.161 M USD de ventas en 2020 a 3.761 M en 2025 (11,7 % anual) [1, 4]. Algo más de la mitad es orgánico: 6,9 % en 2025 (residencial 5,0 %, comercial 7,6 %, termitas y servicios auxiliares 9,9 %) y 4,1 puntos de compras, sobre todo Saela (207,2 M, abril de 2025) [1, 7]. En 2026 el orgánico baja: 6,6 % en el 1T y 5,7 % en el 2T, con residencial al 3,6 % en el 2T [5, 6]. El margen EBIT se movió poco: 17,4 % en 2020, 19,3 % en 2025 y 18,7 % en el 2T26 frente al 19,8 % del 2T25 [4, 5]: el coste de personal de servicio (30,5 % de las ventas en el 2T26 frente a 29,8 %), la flota y los gastos médicos crecieron más que las ventas con menos contactos residenciales [5]. La amortización de intangibles comprados pasó de 38,7 M en 2020 a 90,4 M en 2025 [1, 4]: es el coste contable de crecer comprando.</w:t>
      </w:r>
    </w:p>
    <w:p>
      <w:pPr>
        <w:pStyle w:val="Heading2"/>
      </w:pPr>
      <w:r>
        <w:t xml:space="preserve">Ajustes y partidas no recurrentes</w:t>
      </w:r>
    </w:p>
    <w:p>
      <w:pPr>
        <w:spacing w:after="100"/>
      </w:pPr>
      <w:r>
        <w:t xml:space="preserve">Usamos las cifras publicadas (US GAAP). La empresa da un BPA ajustado que suma la amortización de intangibles y el ajuste del pago contingente de tres compras (Fox, Saela y Romex) y quita plusvalías por venta de activos: 1,12 USD frente a 1,09 publicados en 2025 y 0,55 frente a 0,52 en el primer semestre de 2026 [5, 7]. No lo usamos: la amortización de lo comprado es un coste real de un comprador en serie. El EBITDA del XBRL es EBIT + toda la amortización (incluida la de intangibles: 90,4 M de 124,7 M en 2025) [1]; el ajustado de la empresa (855 M en 2025) suma además unos 4 M de pagos contingentes y quita plusvalías [7]. Sin partidas no recurrentes relevantes en 2020-2025 salvo la plusvalía de 2,3 M en 2025 [7]. El tipo efectivo de 2025 (24,9 %) baja por la compra de créditos fiscales transferibles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(22-23-jul-2026) la dirección admitió que los resultados quedaron «por debajo de lo esperado»: los contactos de clientes residenciales que llegan por buscadores, medios digitales y llamadas «empeoraron a lo largo del trimestre», sobre todo en Orkin, mientras las marcas de venta puerta a puerta y de constructores crecieron (Fox en torno al 15-19 % orgánico, HomeTeam a doble dígito) [5, 10]. Rebajó la guía de 2026 a un orgánico de «al menos el 6 %» (en el 10-K y en el día del inversor de mayo era del 7-8 %) y a un margen incremental de al menos el 10 % (25-30 % en mayo), y mantuvo el 2-3 % de compras y el objetivo a medio plazo [1, 10, 11]. Las preguntas se repitieron sobre la causa de la caída de contactos y el papel de la búsqueda con IA: el primer ejecutivo dijo que «no lo puede cuantificar» y que no hay una sola explicación [10]. En la conferencia de JPMorgan del 23-sep la dirección atribuyó, según un resumen de terceros, el 50-60 % de la caída de contactos al cambio a las respuestas con IA de Google desde mayo, y dijo haber recomprado unos 100 M de acciones en el 3T [12]. Frente al 1T (22-abr), cuando el director financiero hablaba de un marzo con un 8 % orgánico y de un «buen arranque» de temporada [6], el discurso pasó de la confianza a la cautela, y el director financiero dejó la empresa el 15-jun.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subió de 54,9 M en 2022 a 609,8 M en 2025 y 703,0 M en junio de 2026, para pagar la recompra de 2023 (300 M), la de 2025 (200 M) y las compras de Fox, Saela y Romex [1, 2, 5]. Aun así el apalancamiento es bajo: 1,0 veces con la definición de la empresa (deuda + arrendamientos − 90 % de la caja, sobre EBITDAR) y unas 0,7 veces la deuda neta sobre el EBITDA [5]. El circulante comercial es pequeño (existencias + clientes − proveedores ≈ 5 % de las ventas) y los ingresos anticipados lo financian; además hay 167 M de financiación a clientes de termitas a largo plazo [5]. Los 500 M de bonos al 5,25 % vencen en 2035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2.949</w:t>
      </w:r>
      <w:r>
        <w:t xml:space="preserve">, conversión </w:t>
      </w:r>
      <w:r>
        <w:rPr>
          <w:b/>
          <w:bCs/>
        </w:rPr>
        <w:t xml:space="preserve">122 %</w:t>
      </w:r>
      <w:r>
        <w:t xml:space="preserve"> del beneficio neto; adquisiciones 1.247, dividendos 1.471, recompras 570.</w:t>
      </w:r>
    </w:p>
    <w:p>
      <w:pPr>
        <w:spacing w:after="100"/>
      </w:pPr>
      <w:r>
        <w:t xml:space="preserve">Conversión muy alta: flujo operativo de 678 M y caja libre (después de 28 M de capex) de 650 M en 2025, un 123 % del beneficio neto, porque la amortización de intangibles (90 M) no es caja y el capex es menos del 1 % de las ventas [1, 7]. En el primer semestre de 2026 la caja libre bajó un 10 % (277 frente a 308 M) por 40 M de impuestos adelantados por la estrategia de créditos fiscales y 9 M del paso a intereses semestrales de los bonos [5, 6]. El capex de mantenimiento es casi todo el capex (vehículos en arrendamiento, sistemas): la inversión de crecimiento de Rollins son las compras, 310 M en 2025 (8 % de las ventas) y 1.255 M en 2020-2025 [1, 4]. Uso de la caja 2015-2025 según la empresa: 42 % dividendos, 39 % compras, 13 % recompras y 6 % capex [11].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ni asuntos críticos de auditoría; control interno eficaz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Pocas señales contables. Deloitte audita desde 2023 (antes Grant Thornton) [1]. El ingreso se reconoce al prestar el servicio; los contratos anuales cobrados por adelantado (196,5 M de ingresos anticipados) y la financiación a clientes de termitas (167 M) son las partidas con juicio [5]. El riesgo contable relevante está en las compras: el fondo de comercio llega a 1.449 M (43 % del activo) y los intangibles a 602 M, con contratos de clientes amortizados en 7-20 años [1, 5]; alargar vidas útiles o pagar más por contingentes mueve el beneficio, y la empresa presenta un BPA ajustado que suma esa amortización [7]. No hubo deterioros en 2021-2025 [4]. La remuneración en acciones es de 39,7 M (7,5 % del beneficio neto) [4]. En 2019 una liquidación de pensiones (unos 50 M) bajó el resultado financiero [4]. Lectura de los indicadores del motor en el informe.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de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2.051 M entre los dos a junio de 2026 (61 % del activo); la amortización de intangibles se ajusta en el BPA de la empresa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Créditos fiscales transferibles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el tipo efectivo (24,9 % en 2025 frente a 26,0 %) y adelantan pagos de impuestos (40 M en el 1T26)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director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director financiero dejó la empresa el 15-jun-2026 por otra de otro sector; le sustituye el director contable, en la empresa desde 2025 [1,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1.375 M en 2025 (el 72 % del capital invertido medio); ha subido más de un 5 % en 5 de 5 años: comprador en serie. ROIC publicado 31,0 %; sin fondo de comercio, 110,8 %.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38,9 % · </w:t>
      </w:r>
      <w:r>
        <w:rPr>
          <w:b/>
          <w:bCs/>
        </w:rPr>
        <w:t xml:space="preserve">WACC</w:t>
      </w:r>
      <w:r>
        <w:t xml:space="preserve">: 9,6 %.</w:t>
      </w:r>
    </w:p>
    <w:p>
      <w:pPr>
        <w:spacing w:after="100"/>
      </w:pPr>
      <w:r>
        <w:t xml:space="preserve">Rollins crea mucho valor: el ROIC de 2025 es del 31,0 %, 21 puntos por encima del WACC del 9,62 %, y ha subido del 25,9 % de 2020 sin bajar ningún año. Es un comprador en serie: el fondo de comercio (1.375 M) es el 72 % del capital invertido y ha subido en cada uno de los últimos cinco años; sin él, el ROIC sería del 110,8 %, pero en un comprador en serie el fondo de comercio es el precio de su crecimiento y lo que cuenta es el publicado, que ya incluye lo pagado. El ROIC incremental de 2020-2025 es del 38,9 %: las compras, pagadas a 2,3-2,8 veces las ventas, rinden por encima del WACC cuando se integran en las rutas de Orkin. El ROE (38,9 %) apenas depende de la deuda (0,7 veces el EBITDA). Frente a Rentokil (ROIC del 7 %, por el fondo de comercio de Terminix) la diferencia es de ejecución y de no haber pagado una gran compra cara.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109,1 M al 30-jun-2026; línea de crédito revolving de 1.000 M sin disponer que respalda un programa de papel comercial de 1.000 M (215,9 M de deuda a corto en junio)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(Fitch) y BBB (S&amp;P), grado de inversión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operativos de 412,3 M a junio de 2026 (US GAAP: su gasto, 159,9 M en 2025, ya está en el EBITDA, así que no van al puente) [1, 5]. Pasivo por seguros (autoseguro de accidentes, flota y salud) de 141,1 M entre corto y largo plazo [5]. Pagos contingentes y retenciones de compras dentro de otros pasivos (Fox 28,0 M de contingente al cierre de 2023; Saela y Romex con retenciones) [1, 9]. Ingresos anticipados de clientes de 196,5 M [5]. Sin pensiones de prestación definida relevantes tras la liquidación de 2019 [4]. Avales y cartas de crédito por importes pequeños [1].</w:t>
      </w:r>
    </w:p>
    <w:p>
      <w:pPr>
        <w:pStyle w:val="Heading1"/>
      </w:pPr>
      <w:r>
        <w:t xml:space="preserve">12. Asignación de capital</w:t>
      </w:r>
    </w:p>
    <w:p>
      <w:pPr>
        <w:pStyle w:val="Confianza"/>
        <w:spacing w:after="100"/>
      </w:pPr>
      <w:r>
        <w:t xml:space="preserve">Confianza: Alta</w:t>
      </w:r>
    </w:p>
    <w:p>
      <w:pPr>
        <w:spacing w:after="100"/>
      </w:pPr>
      <w:r>
        <w:t xml:space="preserve">Dividendo trimestral creciente: 0,1825 USD desde el 1T26 (0,73 USD al año, +10,6 %), un 60-65 % del beneficio [1, 5]. Recompras oportunistas ligadas a las ventas de la familia: 300 M con la colocación de 2023 y 200 M con la de noviembre de 2025 (3,48 M de acciones a 56,93 USD) [1, 11]; 20 M en mercado en el 2T26 y unos 100 M en el 3T26 según la dirección [9, 12]. Prioridades declaradas: compras primero, luego dividendo y recompras, con un apalancamiento bajo [11, 12]. Objetivo a medio plazo: 7-8 % orgánico más 2-3 % de compras, márgenes incrementales del 30-35 % y conversión de caja por encima del 100 %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Clark Pest Control (California)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sin deterioros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Fox Pest Control (residencial, puerta a puerta)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28,0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en torno al 15-19 % orgánico en el 2T26: la mejor marca del grupo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Saela Pest Control (residencial, puerta a puerta)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54,9 M de ventas en nueve meses de 2025 (unas 2,8 veces las ventas anualizadas, estimación propia)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Romex Pest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10,2 M de ventas y 0,8 M de beneficio en el 2T26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94 compras pequeñas y medianas en tres años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Aportaron un 4 % de crecimiento medio anual [4, 11].</w:t>
            </w:r>
          </w:p>
        </w:tc>
      </w:tr>
    </w:tbl>
    <w:p>
      <w:pPr>
        <w:spacing w:after="160" w:before="0"/>
      </w:pPr>
    </w:p>
    <w:p>
      <w:pPr>
        <w:spacing w:after="100"/>
      </w:pPr>
      <w:r>
        <w:t xml:space="preserve">Asignación disciplinada pero cara para el accionista de hoy: entre 2015 y 2025 la empresa generó unos 5.000 M de caja libre y gastó 2.000 M en compras y 2.100 M en dividendos [11]. Las compras rinden poco sobre el precio: Saela costó unas 2,8 veces sus ventas anualizadas (estimación propia), y con márgenes EBITDA del 20-25 % eso es un rendimiento antes de impuestos de un 7-9 %, por debajo del ROIC del grupo; por eso el ROIC con fondo de comercio baja poco a poco. Las recompras de 2023 y 2025 se hicieron a 41-57 USD, muy por encima del precio de hoy (32,63) [1]. Las acciones diluidas bajaron de 492 M (2020) a 481 M (junio de 2026) [4,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Jerry E. Gahlhoff,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con la compra de HomeTeam (2008), dirigió las marcas y Orkin y es primer ejecutivo desde 2022. Con él las ventas pasaron de 2.696 M (2022) a 3.761 M (2025) y el BPA de 0,75 a 1,09 USD, pero en 2026 incumplió la guía orgánica [1, 10,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F. Wilson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del consejo y presidente de operaciones; ligado a la familia por un contrato de franquicia de su hijo con Orkin (0,5 M de cánones en 2025)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W. Harkins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contable desde marzo de 2025; antes director contable de Mohawk. Sustituyó el 15-jun-2026 a Kenneth Krause, que se fue a otra empresa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B. Chandler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jurídica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2013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Gary W. Rollins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emérito (sin voto en el consejo desde abril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1964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Dirigió la empresa durante décadas; dejó el consejo en la junta de 2026 y sigue como invitado sin voto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7-8 % orgánico, 2-3 % de compras, márgenes incrementales del 30-35 %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 orgánico, 4 % de compras, margen incremental del 25 % de media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7-8 %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6,9 % orgánico; BPA +13,5 %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7-8 % orgánico y 25-30 % de margen incremental (febrero y mayo)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en julio a «al menos el 6 %» y «al menos el 10 %» [1, 10,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de la casa, con credibilidad dañada en 2026: tres meses después de reafirmar en el día del inversor un 7-8 % orgánico para 2026, la dirección lo bajó a «al menos el 6 %» y reconoció haber dimensionado la plantilla para una demanda que no llegó [10, 11]. El director financiero que llevó la modernización financiera (bonos, papel comercial, ventas de la familia) se fue en junio a otra empresa [21]. La sucesión del primer ejecutivo no está anunciada; Gahlhoff tiene 55 años. El presidente ejecutivo y la directora jurídica son de la órbita de la familia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F. Wilson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Jerry E. Gahlhoff,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S. Sams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R. 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Donald P. Carson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D. Donahue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J. Gunning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B. Morrison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Timothy C. Rollins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ni asuntos críticos de auditoría; control interno eficaz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1.154,19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familiar Rollins (LOR, Inc., fideicomisos de voto y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20,0 M de acciones en nov-2025 (1.150 M USD a 57,50); bloqueo de 365 días hasta nov-2026; en sep-2026 el fideicomiso de voto de Gary W. Rollins repartió el voto de LOR a su beneficiario [22,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13G/A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 Inc. y Rollins Holding Company (familia Rollins)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Gary W. Rollins (presidente emérito)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F. Wilson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B. Chandler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Jerry E. Gahlhoff, Jr. (primer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 largo plazo del primer ejecutivo es en acciones restringidas y unidades de rendimiento que dependen del crecimiento anual compuesto de tres años, del margen EBITDA ajustado y de la rentabilidad para el accionista frente a un grupo [18]: hay métrica de rentabilidad para el accionista, no de ROIC. Total de 2025: 8,97 M USD (1,10 fijo, 1,68 de bonus anual y 6,13 en acciones), 138 veces el salario mediano de 65.116 USD [18]. Cláusula de recuperación desde 2023 y prohibición de cobertura y pignoración [18]. El voto consultivo se hace cada tres años: en 2026 salió con un 92,4 % a favor y un 7,6 % en contra (estimación propia del voto en contra sobre el capital libre presente, descontando los 182,5 M de votos del grupo familiar: 12,9 %) [18, 20].</w:t>
      </w:r>
    </w:p>
    <w:p>
      <w:pPr>
        <w:pStyle w:val="Heading2"/>
      </w:pPr>
      <w:r>
        <w:t xml:space="preserve">Operaciones vinculadas, estructura de control y defensas</w:t>
      </w:r>
    </w:p>
    <w:p>
      <w:pPr>
        <w:spacing w:after="100"/>
      </w:pPr>
      <w:r>
        <w:t xml:space="preserve">Una sola clase de acciones; el consejo pasa a elegirse cada año desde 2025 [11]. El grupo familiar Rollins controla el 37,86 % del voto y decide de hecho el consejo: tiene dos consejeros dominicales hasta 2026 (Pamela y Timothy Rollins; Gary W. Rollins salió en abril) y controla también más del 50 % de RPC y Marine Products, con consejeros compartidos [18]. La empresa dice que dejó de ser «empresa controlada» tras la colocación de 2023 [11]. Operaciones vinculadas pequeñas pero constantes: alquiler del avión de Gary W. Rollins (0,7 M), servicios de pilotos y hangar a LOR (2,7 M cobrados) y una franquicia de Orkin del hijo del presidente ejecutivo [18]. La familia vende de forma ordenada con recompra de la empresa (2023 y 2025); el bloqueo de la última colocación vence en noviembre de 2026 [22].</w:t>
      </w:r>
    </w:p>
    <w:p>
      <w:pPr>
        <w:pStyle w:val="Heading2"/>
      </w:pPr>
      <w:r>
        <w:t xml:space="preserve">Señales de alerta</w:t>
      </w:r>
    </w:p>
    <w:p>
      <w:pPr>
        <w:pStyle w:val="ListParagraph"/>
        <w:numPr>
          <w:ilvl w:val="0"/>
          <w:numId w:val="2"/>
        </w:numPr>
        <w:spacing w:after="60"/>
      </w:pPr>
      <w:r>
        <w:t xml:space="preserve">Ventas recurrentes del grupo familiar (2023 y nov-2025: 1.150 M USD) con la empresa recomprando a 56,93 USD, un 74 % por encima del precio de hoy; el bloqueo vence el 10-nov-2026 [22].</w:t>
      </w:r>
    </w:p>
    <w:p>
      <w:pPr>
        <w:pStyle w:val="ListParagraph"/>
        <w:numPr>
          <w:ilvl w:val="0"/>
          <w:numId w:val="2"/>
        </w:numPr>
        <w:spacing w:after="60"/>
      </w:pPr>
      <w:r>
        <w:t xml:space="preserve">Reorganización del control familiar: el 17-sep-2026 el fideicomiso de voto de Gary W. Rollins repartió el voto de LOR, Inc. a su beneficiario [23].</w:t>
      </w:r>
    </w:p>
    <w:p>
      <w:pPr>
        <w:pStyle w:val="ListParagraph"/>
        <w:numPr>
          <w:ilvl w:val="0"/>
          <w:numId w:val="2"/>
        </w:numPr>
        <w:spacing w:after="60"/>
      </w:pPr>
      <w:r>
        <w:t xml:space="preserve">Salida del director financiero en junio de 2026, un mes antes de la rebaja de la guía [10, 21].</w:t>
      </w:r>
    </w:p>
    <w:p>
      <w:pPr>
        <w:pStyle w:val="ListParagraph"/>
        <w:numPr>
          <w:ilvl w:val="0"/>
          <w:numId w:val="2"/>
        </w:numPr>
        <w:spacing w:after="60"/>
      </w:pPr>
      <w:r>
        <w:t xml:space="preserve">Ninguna compra de directivos en mercado en 12 meses pese a una caída de más del 50 %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rebajada el 22-jul-2026: crecimiento orgánico de «al menos el 6 %» (antes 7-8 %), compras del 2-3 % de las ventas, margen EBITDA incremental ajustado de «al menos el 10 %» (antes 25-30 %), conversión de caja libre por encima del 100 %, tipo fiscal por debajo del 25 % y combustible por debajo del 2 % de las ventas. Objetivo a medio plazo (día del inversor de mayo, mantenido en julio): 7-8 % orgánico, 2-3 % de compras, márgenes incrementales del 30-35 % y crecimiento de doble dígito del beneficio y la caja. Próximos resultados: 21-oct-2026 tras el cierre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Stock Analysis da 4.090 M y BPA ajustado de 1,17 (17 analistas)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10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 – 66,00</w:t>
            </w:r>
          </w:p>
        </w:tc>
      </w:tr>
    </w:tbl>
    <w:p>
      <w:pPr>
        <w:spacing w:after="160" w:before="0"/>
      </w:pPr>
    </w:p>
    <w:p>
      <w:pPr>
        <w:pStyle w:val="Heading2"/>
      </w:pPr>
      <w:r>
        <w:t xml:space="preserve">Revisiones de estimaciones</w:t>
      </w:r>
    </w:p>
    <w:p>
      <w:pPr>
        <w:spacing w:after="100"/>
      </w:pPr>
      <w:r>
        <w:t xml:space="preserve">A la baja. El beneficio neto de consenso de 2026 bajó de unos 585 M a 543 M entre las dos versiones de MarketScreener de los últimos meses (−7 %) [25]. Desde mayo, las recomendaciones de compra pasaron de 11 a 7 y aparecieron 2 de venta [26]; Piper Sandler bajó a neutral el 23-sep (objetivo de 46 a 33 USD) por el efecto de la búsqueda con IA y la competencia [32], Wells Fargo a 27 USD, UBS de 43 a 36, JP Morgan de 40 a 35 [26]. El BPA y el EBITDA de MarketScreener son los publicados por la empresa para el beneficio (1,09 en 2025) y ajustados para el EBITDA (855 M en 2025) [25]. Dos fuentes: MarketScreener (estimaciones a 3 años) y Stock Analysis (objetivos y recomendaciones) [25, 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Rollins cotiza a 18,9 veces el EBITDA y 29,7 veces el beneficio de los últimos 12 meses, un 40 % por debajo de su media de seis cierres (31,8 y 48,9 veces) y por debajo del mínimo de todos ellos (29,5 y 47,5 veces). En base adelantada, la que usa la regla a 12 meses, el PER de hoy (26,7 veces nuestro BPA de 2027e) está muy por debajo de la mediana de cinco años (45,5) y del mínimo (41,1 en 2022). La caída tiene tres causas: el bono a 10 años ha pasado del 1,5 % de 2020-21 al 5,2 %, el crecimiento orgánico baja del 7-8 % al 5,7 % y el mercado duda de la captación residencial con la IA. Excluimos 2018 (58,7 veces sobre un BPA de 2019 rebajado por la liquidación del plan de pensiones).</w:t>
      </w:r>
    </w:p>
    <w:p>
      <w:pPr>
        <w:pStyle w:val="Heading1"/>
      </w:pPr>
      <w:r>
        <w:t xml:space="preserve">18. Comparables cotizados</w:t>
      </w:r>
    </w:p>
    <w:p>
      <w:pPr>
        <w:pStyle w:val="Confianza"/>
        <w:spacing w:after="100"/>
      </w:pPr>
      <w:r>
        <w:t xml:space="preserve">Confianza: Media</w:t>
      </w:r>
    </w:p>
    <w:p>
      <w:pPr>
        <w:spacing w:after="100"/>
      </w:pPr>
      <w:r>
        <w:t xml:space="preserve">No hay comparables cotizados puros de plagas en EE. UU.: Rentokil-Terminix es el único grande y cotiza en Londres con un ROIC de un dígito; Ecolab tiene plagas solo como segmento comercial y Anticimex y Aptive no cotizan. Usamos servicios recurrentes en ruta de alta calidad (Cintas, Ecolab), el rival directo (Rentokil), textil e higiene europeo (Elis) y servicios externalizados de EE. UU. (ABM, Aramark, Vestis). Cifras de la ficha sectorial de servicios a empresas del 13-oct, las de EE. UU. llevadas al cierre del 14-oct con la variación de precio [29, 30]; los europeos se quedan al 13-oct.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Rentokil Initial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ABM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Vestis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8,9x / 11,9x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12,2x / 18,6x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20,2x / 26,6x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1,9x / 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(4 comparables): múltiplo = 0,9 + 1,65 × crecimiento; R² = 0,72. Para el crecimiento esperado de la empresa (8,5 %), el múltiplo ajustado es 15,0x y el valor por acción, 28,59.</w:t>
      </w:r>
    </w:p>
    <w:p>
      <w:pPr>
        <w:spacing w:after="100"/>
      </w:pPr>
      <w:r>
        <w:t xml:space="preserve">Rollins cotiza a 26,5 veces el BPA de los próximos 12 meses frente a una mediana de 20,2 veces de los comparables, y a 18,9 veces el EBITDA frente a 12,2. La prima es menor que nunca y se explica: crece un 8,5 % con un ROIC del 31 %, frente al 0,6-10 % y el 5-13 % de los comparables, salvo Cintas (36,2 veces, ROIC del 29,6 %). Ecolab (32,4 veces) incluye su negocio de plagas. Rentokil, el rival directo, cotiza a 20,2 veces con un ROIC del 7 % y una Norteamérica que crece al 2-4 % orgánico. El PER de la mediana da 24,86 USD por acción; el de Cintas, unos 44. Los comparables pesan un 10 %: ninguno combina crecimiento, ROIC y negocio.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 plagas y termitas)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contabilizado de 4.537 M GBP con deuda; sobre ventas y EBITDA de 2021 (del análisis de Rentokil) [16].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UniFirst (EE. UU., uniformes)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en ruta comparable; 17,6 veces el EBITDA sin sinergias (estimación del análisis de Rentokil) [16,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Saela Pest Control (EE. UU., residencial puerta a puerta)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Rollins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207,2 M; 54,9 M de ventas en nueve meses (unas 73 M anualizadas, estimación propia: 2,8 veces)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Romex Pest Control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Rollins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95,7 M; 10,2 M de ventas en el 2T26 (unas 41 M anualizadas, estimación propia con estacionalidad no corregida) [9].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SOLitude Lake Management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 (vende Rentokil)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 veces el beneficio operativo ajustado; sin EBITDA publicado [16].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Workwear (textil de Rentokil en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veces el beneficio operativo ajustado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15,91 – 18,44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se pagan a 2,3-2,8 veces las ventas (Saela 2,8 veces y Romex 2,3 veces, las de la propia Rollins [1, 9]) y a unas 14 veces el EBITDA (Terminix, 2022). La mediana de 2,28 veces las ventas da 17,36 USD por acción, por debajo del precio, porque son negocios más pequeños y con menos margen. Rollins no es objetivo de compra: la familia controla el 37,9 % del capital y la empresa vale 16.000 M, más que cualquier comprador del sector salvo Ecolab. Lo útil de las transacciones es el coste del crecimiento comprado: cada punto de crecimiento por compras cuesta unos 2,5 puntos de ventas en inversión, que el DCF suma al capex.</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+8,5 % en 2026e (4.081 M), con el 1S26 publicado y la guía rebajada: al menos un 6 % orgánico más un 2,5 % de compras [5]. Después, +7,5 % en 2027e-2028e (5,5 % orgánico y 2 % de compras) bajando al 4,5 % en 2032e. La media de la proyección (6,4 %) queda por debajo del 11,7 % anual de 2020-2025, que incluía compras grandes (Fox, Saela), y del objetivo de la empresa (7-8 % orgánico más 2-3 % de compras) [11]: suponemos que la captación residencial no vuelve al 5 %. Nuestras ventas de 2028e quedan un 1,9 % por debajo del consenso.</w:t>
      </w:r>
    </w:p>
    <w:p>
      <w:pPr>
        <w:keepNext/>
        <w:spacing w:after="100"/>
      </w:pPr>
      <w:r>
        <w:rPr>
          <w:b/>
          <w:bCs/>
        </w:rPr>
        <w:t xml:space="preserve">Márgenes.</w:t>
      </w:r>
    </w:p>
    <w:p>
      <w:pPr>
        <w:spacing w:after="100"/>
      </w:pPr>
      <w:r>
        <w:t xml:space="preserve">Margen EBITDA del 21,6 % en 2026e (margen incremental de alrededor del 10 % de la guía sobre el 22,6 % de 2025) que sube 20-30 puntos básicos al año hasta el 22,8 %, por debajo del 23,1 % ajustado de 2T25 [5, 7]. El supuesto más exigente es que los costes de personal y sanidad dejen de comer margen; el bajista lo quita (−1,5 puntos).</w:t>
      </w:r>
    </w:p>
    <w:p>
      <w:pPr>
        <w:keepNext/>
        <w:spacing w:after="100"/>
      </w:pPr>
      <w:r>
        <w:rPr>
          <w:b/>
          <w:bCs/>
        </w:rPr>
        <w:t xml:space="preserve">Inversión y circulante.</w:t>
      </w:r>
    </w:p>
    <w:p>
      <w:pPr>
        <w:spacing w:after="100"/>
      </w:pPr>
      <w:r>
        <w:t xml:space="preserve">Rollins apenas invierte en inmovilizado (capex del 0,7 % de las ventas en 2025; los vehículos van en arrendamiento) y crece comprando: 310 M en compras en 2025, el 8 % de las ventas [1]. Como es un comprador en serie, el capex del DCF suma el coste del crecimiento comprado: 0,8 % de inmovilizado más unas 2,5 veces las ventas compradas cada año (Saela 2,8 veces, Romex 2,3 veces [1, 9]): 6,9 % de las ventas en 2026e (Romex y otras), 6,0 % en 2027e-2028e y bajando al 3,5 % en 2032e, cuando el crecimiento es casi todo orgánico. Amortización del 3,2-3,4 % (incluye la de las carteras de clientes compradas). Circulante del 5 % de las ventas.</w:t>
      </w:r>
    </w:p>
    <w:p>
      <w:pPr>
        <w:keepNext/>
        <w:spacing w:after="100"/>
      </w:pPr>
      <w:r>
        <w:rPr>
          <w:b/>
          <w:bCs/>
        </w:rPr>
        <w:t xml:space="preserve">Coste del capital.</w:t>
      </w:r>
    </w:p>
    <w:p>
      <w:pPr>
        <w:spacing w:after="100"/>
      </w:pPr>
      <w:r>
        <w:t xml:space="preserve">Tasa libre del 5,19 % (Tesoro a 10 años del 14-oct-2026) [27]; beta de 0,85 (mensual de 5 años 0,76, ajustada 0,84; la semanal de 2 años es 0,41) [24]; prima de mercado del 5,5 %; coste de la deuda del 4,9 % antes de impuestos (bonos BBB+ al 5,25 % de 2035 y papel comercial) [1]; peso de la deuda del 4 % a valor de mercado. WACC del 9,62 %. Con la prima implícita del mercado (4,20 %) [28], 8,56 %, que da 28,24 USD, todavía un 13 % por debajo del precio.</w:t>
      </w:r>
    </w:p>
    <w:p>
      <w:pPr>
        <w:keepNext/>
        <w:spacing w:after="100"/>
      </w:pPr>
      <w:r>
        <w:rPr>
          <w:b/>
          <w:bCs/>
        </w:rPr>
        <w:t xml:space="preserve">Valor terminal.</w:t>
      </w:r>
    </w:p>
    <w:p>
      <w:pPr>
        <w:spacing w:after="100"/>
      </w:pPr>
      <w:r>
        <w:t xml:space="preserve">Media de Gordon con un crecimiento del 3,0 % y de un múltiplo de salida de 16 veces el EBITDA, por encima de los comparables (12,2 veces) y por debajo del 18,9 al que cotiza hoy Rollins. Gordon solo implica 9,7 veces el EBITDA: con el bono al 5,19 %, un 3 % perpetuo no paga más. El valor terminal pesa un 77 %.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(ROIC 31,0 %)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frente al 6,7 %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 (histórico: 38,9 %)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 (hoy: 24,0 %)</w:t>
            </w:r>
          </w:p>
        </w:tc>
      </w:tr>
    </w:tbl>
    <w:p>
      <w:pPr>
        <w:spacing w:after="160" w:before="0"/>
      </w:pPr>
    </w:p>
    <w:p>
      <w:pPr>
        <w:spacing w:after="100"/>
      </w:pPr>
      <w:r>
        <w:t xml:space="preserve">La proyección reinvierte el 16 % del NOPAT. Con el ROIC del último ejercicio (31,0 %), eso financia un crecimiento del 4,9 % anual, frente al 6,7 % de ingresos proyectado. Supone que el capital nuevo rinde un 40,3 %, frente a un ROIC incremental histórico del 38,9 %; la cuota de mercado pasaría al 26,9 % desde el 24,0 %.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+2,8 % (residencial al 3-4 %, comercial y termitas al 7-9 %), precio +3,2 % y +2,5 % de compras (Romex y pequeñas) [5,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y precio +3,0 %: orgánico del 5,5 %, por debajo de la guía mínima del 6 % de 2026 por la captación residencial; 2 % de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la empresa apunta al 7-8 % orgánico [11]; nosotros nos quedamos 1,5-2,5 puntos por debajo.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precio +3 % y compras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+2,0 %, precio +3 % y compras del 1,5 %: la cuota en Norteamérica pasa del 24 % al 27 % en 2032e.</w:t>
            </w:r>
          </w:p>
        </w:tc>
      </w:tr>
    </w:tbl>
    <w:p>
      <w:pPr>
        <w:spacing w:after="160" w:before="0"/>
      </w:pPr>
    </w:p>
    <w:p>
      <w:pPr>
        <w:spacing w:after="100"/>
      </w:pPr>
      <w:r>
        <w:t xml:space="preserve">Sí, y coincide con el motor. La proyección reinvierte un 16 % del NOPAT porque el coste de las compras va en el capex; con el ROIC del 31 % eso financia un 4,9 % de crecimiento, y el resto, hasta el 6,4 % medio, sale de subir precios un 3 % al año, algo que Rollins ha hecho cada año sin perder clientes (margen bruto estable del 52-53 %) [1]. El capital nuevo rendiría un 40,3 %, en línea con el ROIC incremental de 2020-2025 (38,9 %). La cuota en Norteamérica pasaría del 24 % al 26,9 % (mercado de 22.000 M en 2032e: 14.200 M de 2025 creciendo un 5,5 % al año y llevado al perímetro de las ventas totales del grupo; estimación propia) [13]. El crecimiento proyectado es la mitad del histórico. El punto débil no es el capital sino la demanda residencial (IA), que ya recortamos en el puente.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 (base: 22,8 %)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(WACC: 9,6 %)</w:t>
            </w:r>
          </w:p>
        </w:tc>
      </w:tr>
    </w:tbl>
    <w:p>
      <w:pPr>
        <w:spacing w:after="160" w:before="0"/>
      </w:pPr>
    </w:p>
    <w:p>
      <w:pPr>
        <w:spacing w:after="100"/>
      </w:pPr>
      <w:r>
        <w:t xml:space="preserve">El DCF da 25,21 USD por acción, un 22,7 % por debajo del precio, con un valor terminal del 77 %. El DCF inverso dice que el precio de 32,63 USD exige un crecimiento de las ventas del 11,5 % anual en 2027e-2032e, casi el doble de nuestro 6,4 % y lo mismo que en 2020-2025, cuando había compras grandes y el orgánico era del 7-8 %. Otra forma de verlo: el precio rinde un 7,4 % anual, por debajo del 9,62 % que pedimos y del 8,56 % que pide hoy el mercado con su prima implícita. La caída del 54 % desde febrero ha cerrado gran parte de la distancia, pero no toda: el valor intrínseco es el filtro que falla.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la competencia en precio dejan el orgánico residencial en el 1-2 %; las compras se frenan y el crecimiento total baja al 4 %; personal y sanidad recortan el margen 1,5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que baja hacia el 4 % y compras del 2 % al principio; el margen EBITDA sube 20-30 puntos básicos al año hasta el 22,8 %.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captación se adapta (puerta a puerta, marca en asistentes) y el orgánico vuelve al 7 %; más compras y márgenes incrementales del 30 %: crecimiento 1,5 puntos mayor y margen un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2,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24,86 USD (-23,8 %).</w:t>
      </w:r>
    </w:p>
    <w:p>
      <w:pPr>
        <w:spacing w:after="100"/>
      </w:pPr>
      <w:r>
        <w:t xml:space="preserve">Ni el alcista llega al precio: vale 28,65 USD (−12,2 %) frente a 20,38 del bajista (−37,5 %), con un valor ponderado de 24,86. El WACC del 9,62 % con el bono al 5,19 % pesa más que cualquier mejora razonable del negocio. Los escenarios del DCF miden el riesgo a largo plazo; la señal a 12 meses la da la regla de múltiplos, con un bajista de 28,20, un base de 39,40 y un alcista de 57,02 USD.</w:t>
      </w:r>
    </w:p>
    <w:p>
      <w:pPr>
        <w:pStyle w:val="Heading1"/>
      </w:pPr>
      <w:r>
        <w:t xml:space="preserve">22. Suma de partes</w:t>
      </w:r>
    </w:p>
    <w:p>
      <w:pPr>
        <w:pStyle w:val="Confianza"/>
        <w:spacing w:after="100"/>
      </w:pPr>
      <w:r>
        <w:t xml:space="preserve">Confianza: Media</w:t>
      </w:r>
    </w:p>
    <w:p>
      <w:pPr>
        <w:spacing w:after="100"/>
      </w:pPr>
      <w:r>
        <w:t xml:space="preserve">No aplica: residencial, comercial y termitas comparten marcas, sucursales, técnicos y rutas, la empresa publica un solo segmento y no hay comparables cotizados puros de cada línea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2,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24,62 USD (-24,5 % sobre 32,63).</w:t>
      </w:r>
    </w:p>
    <w:p>
      <w:pPr>
        <w:spacing w:after="100"/>
      </w:pPr>
      <w:r>
        <w:t xml:space="preserve">Pesamos el DCF con un 50 %, los escenarios con un 40 % y los comparables con un 10 %: el DCF recoge lo que distingue a Rollins (ROIC del 31 %, crecimiento con poco capital propio y compras pagadas a 2,5 veces las ventas), y los comparables no tienen su perfil (el PER de la mediana da 24,86 USD y el EV/EBITDA 16,46). Las transacciones son de negocios más pequeños y no pesan. El resultado, 24,62 USD (−24,5 %), es coherente entre métodos: todos quedan entre 16 y 29 USD. Con la prima implícita del mercado, 27,33 USD (−16,2 %). El precio de 32,63 descansa en el múltiplo histórico, no en los flujos: solo con un WACC del 7,4 % se justifica.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(26.7x) × 1.1 (tope: la mediana de 5 años, 45.5x,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w:t>
            </w:r>
          </w:p>
        </w:tc>
      </w:tr>
    </w:tbl>
    <w:p>
      <w:pPr>
        <w:spacing w:after="160" w:before="0"/>
      </w:pPr>
    </w:p>
    <w:p>
      <w:pPr>
        <w:spacing w:after="100"/>
      </w:pPr>
      <w:r>
        <w:rPr>
          <w:b/>
          <w:bCs/>
        </w:rPr>
        <w:t xml:space="preserve">Objetivo a 12 meses (ponderado):</w:t>
      </w:r>
      <w:r>
        <w:t xml:space="preserve"> 41,01 USD · rentabilidad +27,8 % (base +22,9 %) · señal Mantener.</w:t>
      </w:r>
    </w:p>
    <w:p>
      <w:pPr>
        <w:spacing w:after="100"/>
      </w:pPr>
      <w:r>
        <w:t xml:space="preserve">Para comparar, con la regla v2 (historia al cierre, mismo precio): 22,7x / 26,7x / 34,7x, 16,2 % Mantener; con el tope anterior del base (×1,3, 14-oct mediodía): 50,1 %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(1,34 USD) está un 3,6 % por debajo del consenso (1,39) y nuestras ventas un 1,9 % (4.716 frente a 4.805 M): suponemos un orgánico del 5,5 % y no el 7-8 % de la empresa, y casi sin recompras. El base (39,40 USD) queda un 5,3 % por debajo del objetivo medio de los analistas (41,59), que se ha recortado en tres meses; su rango (27-66) incluye nuestro bajista y nuestro alcista.</w:t>
      </w:r>
    </w:p>
    <w:p>
      <w:pPr>
        <w:keepNext/>
        <w:spacing w:after="100"/>
      </w:pPr>
      <w:r>
        <w:rPr>
          <w:b/>
          <w:bCs/>
        </w:rPr>
        <w:t xml:space="preserve">Del valor intrínseco al objetivo a 12 meses.</w:t>
      </w:r>
    </w:p>
    <w:p>
      <w:pPr>
        <w:spacing w:after="100"/>
      </w:pPr>
      <w:r>
        <w:t xml:space="preserve">La regla a 12 meses da un 27,8 % ponderado y un 22,9 % en el base, dividendo incluido: con un PER adelantado de 26,7 veces, la mitad que su mediana de cinco años (45,5), la regla común supone que el múltiplo recupera una parte (29,4 veces con el tope ×1,1). El selector deja decidir a la v3: la mediana (45,5) es menos de 1,8 veces el PER actual. Pero el objetivo (41,01 USD) está un 67 % por encima del valor intrínseco (24,62): la historia del múltiplo es de tipos al 1-2 %, y con el bono al 5,19 % los flujos no justifican ni el precio de hoy. Para comprar hacen falta las tres condiciones y falla la del valor real.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 (tras el cierre)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orgánico residencial (3,6 % en el 2T26), de los contactos digitales y de la guía de «al menos el 6 %» orgánico [5, 33].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la colocación de la familia de noviembre de 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otra colocación; la empresa suele recomprar una parte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crecimiento orgánico y el margen incremental que mira la regla a 12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(unos 100 M en el 3T26 según la dirección)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0,6 % de las acciones por trimestre; apoyo al BPA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de captación a la IA (marca en asistentes, puerta a puerta de Fox y Saela)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los contactos se recuperan, vuelve el orgánico residencial del 5 %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de los buscadores encarece la captación residencial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orgánico residencial 2 puntos menor y más gasto comercial)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80 % de las ventas son recurrentes; Fox y Saela captan puerta a puerta; comercial y termitas no dependen del buscador [1,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residencial por debajo del 3 % y contactos digitales cayendo otro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(bajista a 12 meses: 23,5 veces × 1,20)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múltiplo ya bajó de 54 a 27 veces el BPA del año siguiente.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ventas de la familia tras el bloqueo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(presión de oferta, como en feb-2023 y nov-2025)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recompra parte de cada colocación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Formulario S-3 o 8-K de colocación desde el 10-nov-2026.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personal, sanitarios y de flota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EBITDA 1,5 puntos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del 3 % al año y densidad de rutas.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por debajo del 21 % (21,9 % en el 2T26)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más caras o peor integradas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94 compras en tres años sin deterioros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 por encima de 3 veces las ventas o deterioros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Clima y regulación de pesticidas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calor alarga la temporada de plagas; Rollins usa productos de varios proveedores.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Restricciones de la EPA a familias de productos.</w:t>
            </w:r>
          </w:p>
        </w:tc>
      </w:tr>
    </w:tbl>
    <w:p>
      <w:pPr>
        <w:spacing w:after="160" w:before="0"/>
      </w:pPr>
    </w:p>
    <w:p>
      <w:pPr>
        <w:pStyle w:val="Heading2"/>
      </w:pPr>
      <w:r>
        <w:t xml:space="preserve">Pre-mortem</w:t>
      </w:r>
    </w:p>
    <w:p>
      <w:pPr>
        <w:spacing w:after="100"/>
      </w:pPr>
      <w:r>
        <w:t xml:space="preserve">Octubre de 2027: la acción ha perdido un 30 %. Las respuestas con IA de los buscadores se convirtieron en la forma normal de contratar un servicio para la casa y los asistentes empezaron a recomendar plataformas de comparación que cobran comisión; el coste de captar un cliente residencial de Orkin subió un 40 % y el orgánico residencial bajó al 1-2 % en 2027. A la vez, la familia vendió otro paquete tras el bloqueo y la empresa dejó de recomprar para no subir la deuda. El margen EBITDA cayó al 20,5 % por personal, sanidad y marketing, el BPA de 2028 se quedó en 1,20 USD en vez de 1,34, y el mercado, con el bono al 5,5 %, llevó el múltiplo a 20 veces, el de los comparables. La señal temprana habría sido el orgánico residencial por debajo del 3 % en el 3T26 y el 4T26.</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Amenaza · </w:t>
      </w:r>
      <w:r>
        <w:rPr>
          <w:b/>
          <w:bCs/>
        </w:rPr>
        <w:t xml:space="preserve">Efecto en valor (3-5 años):</w:t>
      </w:r>
      <w:r>
        <w:t xml:space="preserve"> −10 % (estimación propia)</w:t>
      </w:r>
    </w:p>
    <w:p>
      <w:pPr>
        <w:spacing w:after="100"/>
      </w:pPr>
      <w:r>
        <w:t xml:space="preserve">La IA no fumiga ni pone trampas: el servicio es físico, lo hace un técnico en casa del cliente o en el restaurante, y la mayor parte de las ventas son contratos que se renuevan. Donde sí muerde es en la captación residencial: desde mayo de 2026 las respuestas de Google con IA y los asistentes dan la respuesta sin que el usuario pinche en Orkin, y la empresa atribuye a eso la mitad de una caída de doble dígito de los contactos digitales [12]. Eso encarece cada cliente nuevo y explica parte de la bajada del orgánico residencial al 3,6 % [5]. Comercial y termitas apenas dependen del buscador. La IA también puede ayudar en rutas, precios y atención, pero ese ahorro es menor que el coste de captación. Señal: contactos digitales y orgánico residencial de los próximos dos trimestres.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Uso seguro de plaguicidas y registro de productos (riesgo regulatorio y reputacional) [1]. Seguridad laboral y rotación de técnicos en una plantilla de 21.946 personas, con autoseguro de accidentes y salud cuyo coste sube (gastos médicos citados en el 2T26) [1, 10]. Flota de vehículos: combustible por debajo del 2 % de las ventas y paso a híbridos [10, 12].</w:t>
      </w:r>
    </w:p>
    <w:p>
      <w:pPr>
        <w:pStyle w:val="Heading2"/>
      </w:pPr>
      <w:r>
        <w:t xml:space="preserve">Controversias</w:t>
      </w:r>
    </w:p>
    <w:p>
      <w:pPr>
        <w:spacing w:after="100"/>
      </w:pPr>
      <w:r>
        <w:t xml:space="preserve">Investigación de la FTC sobre pactos de no competencia con empleados citada en el análisis de Rentokil [16]; sin sanciones materiales en el 10-K de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han caído los contactos digitales de Orkin en el 3T26 y cuánto ha subido el coste de captar un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la IA en el residencial.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orgánico del 5,7 % es precio y cuál volumen, por línea?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volumen de precio en el puente de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la familia intención de vender más tras el 10-nov-2026 y recomprará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oferta y uso de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incremental esperan para 2027 tras el «al menos 10 %»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a medio plazo era del 30-35 %.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de ventas compran hoy y qué crecimiento orgánico tienen las marcas compradas (Fox, Saela)?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coste del crecimiento comprado que va en el capex.</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salió el director financiero un mes antes de la rebaja de la guía?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y credibilidad de la guía [21].</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se publicaron a la vez artículos de compra («negocio excepcional en rebajas», «la caída crea una oportunidad») y de cautela («las valoraciones siguen siendo una plaga», «la recuperación del beneficio necesita más pruebas»)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($ROL)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particulares que buscan suelo en 30-32 USD y hablan de rebote técnico; una minoría la llama «trampa» y critica que los directivos no compren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Noticias con comentarios de lectores (rebajas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repiten las rebajas de Piper Sandler, Wells Fargo y UBS por la búsqueda con IA y la competencia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(respuestas de Google y asistentes) le quita clientes residenciales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confirma la empresa: los contactos digitales de Orkin caen a doble dígito y la dirección atribuye un 50-60 % a las respuestas con IA de Google desde mayo [12]; el orgánico residencial bajó al 3,6 % en el 2T26 [5]. Pero el cliente que ya está (el 80 % de las ventas son recurrentes) no se va por la IA, y Fox y Saela venden puerta a puerta, sin buscador.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de calidad a un múltiplo que no se veía en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verdad frente a su historia: 26,7 veces nuestro BPA de 2027e frente a una mediana adelantada de 45,5 veces. Pero el DCF con el bono al 5,19 % da 25,21 USD: la historia era de tipos al 2 %. Barata frente a sí misma, no frente a sus flujos.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familia y falta de compras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la familia vendió 20 M de acciones a 57,50 USD en noviembre de 2025 (1.150 M) y la empresa le recompró 3,48 M a 56,93 [22]; el bloqueo vence el 10-nov-2026 y nadie ha comprado en mercado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Suelo técnico en 30 USD y rebote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base fundamental: el mínimo de 29,29 USD del 5-oct [24] coincide con el valor del DCF con la prima de mercado (28,24), pero un suelo técnico no sustituye a los resultados del 21-oct.</w:t>
            </w:r>
          </w:p>
        </w:tc>
      </w:tr>
    </w:tbl>
    <w:p>
      <w:pPr>
        <w:spacing w:after="160" w:before="0"/>
      </w:pPr>
    </w:p>
    <w:p>
      <w:pPr>
        <w:spacing w:after="100"/>
      </w:pPr>
      <w:r>
        <w:t xml:space="preserve">El sentimiento es de capitulación con debate: el particular que la tenía por intocable discute si la IA rompe el modelo de captación, y el que busca calidad barata la ve en mínimos de una década. Nuestra lectura está entre los dos: la IA encarece la captación residencial, no rompe el servicio, y el múltiplo ya ha caído a la mitad; pero el precio sigue por encima de lo que dan los flujos con un bono al 5,2 %. Los resultados del 21-oct (orgánico residencial y contactos) y el fin del bloqueo de la familia el 10-nov son las dos fechas que mueven el sentimiento.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37 (21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40,3 % frente a un ROIC de 31,0 % y un incremental histórico de 38,9 %: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26,9 % en 2032e frente al 24,0 %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5,3 %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16,46 y PER 24,86 por acción: si la empresa amortiza mucho más que sus comparables (licencias, intangibles adquiridos) el EBITDA la favorece; usa EV/EBIT o EV/(EBITDA − capex) y explícalo. Explicación: Los comparables con EV/EBITDA bajo (Elis, ABM, Vestis, Rentokil) tienen mucha deuda (2,5-5,1 veces el EBITDA) y mucha amortización de activos físicos (lencería, flotas), así que su EBITDA vale menos beneficio por dólar que el de Rollins (sin apenas capex y con deuda de 0,7 veces). Por eso el EV/EBITDA da 16,46 USD y el PER 24,86 por acción. El PER es el método más comparable aquí, y los comparables solo pesan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3T24-2T25 y EBITDA de 3T24, 4T24, 3T25 y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3T25 y 4T25 (dan EBITDA ajustado, no el publicado); 2) XBRL trimestral (sin amortización del 4T); 3) notas de 2024 no descargadas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línea de servicio de 2023 (comercial, termitas, franquicias) y resultado por línea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(tabla de 2023 solo leída en residencial); 2) Rollins tiene un solo segmento y no da resultado por línea [1]; 3) día del inversor (sin margen por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las citan); 2) día del inversor (no las cita); 3)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(página de estadísticas no consultada por tiempo); 2) Yahoo (sin dato en la API de cotización); 3) Nasdaq short interest (requiere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las compras de Rollins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2T26 (precio y ventas, sin EBITDA); 2) día del inversor (sin múltiplos); 3) prensa sectorial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foros con más debate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en la nube); 2) Motley Fool (no consultado por tiempo); 3) comentarios de Seeking Alpha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Rollins, Inc., Form 10-K del ejercicio 2025 (cuentas y notas 1-20)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https://www.sec.gov/Archives/edgar/data/84839/000008483926000008/rol-20251231.htm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Rollins, Inc., Form 10-K del ejercicio 2023 (balance 2022-2023: intangibles y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https://www.sec.gov/Archives/edgar/data/84839/000008483924000025/rol-20231231.htm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2021 (balance 2020-2021: intangibles y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https://www.sec.gov/Archives/edgar/data/84839/000008483922000011/rol-20211231x10k.htm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hechos XBRL de los 10-K y 10-Q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https://data.sec.gov/api/xbrl/companyfacts/CIK0000084839.json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Reports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https://www.sec.gov/Archives/edgar/data/84839/000008483926000038/rol-20260722xex991.htm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Reports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https://www.sec.gov/Archives/edgar/data/84839/000008483926000019/rol-20260422xex991.htm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Reports Fourth Quarter and Full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https://www.sec.gov/Archives/edgar/data/84839/000008483926000003/rol-20260211xex991.htm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Reports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https://www.sec.gov/Archives/edgar/data/84839/000008483925000097/rol-20251029xex991.htm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10-Q del segundo trimestre de 2026 (Romex, recompras,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https://www.sec.gov/Archives/edgar/data/84839/000008483926000040/rol-20260630.htm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Rollins misses Q2 2026 estimates and cuts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https://www.investing.com/news/transcripts/earnings-call-transcript-rollins-misses-q2-2026-estimates-and-cuts-outlook-93CH-4809226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Investor &amp; Analyst Conference 2026 (presentación del 14-may-2026)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https://d1io3yog0oux5.cloudfront.net/_fe47ecebf5c568f5b342d6a85a9e8851/rollins/db/952/11232/presentation/Rollins+Investor+Analyst+Conference_Agenda-combined%C2%A0%281%29.pdf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(ROL) U.S. All Stars Conference: resumen (23-sep-2026)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https://quartr.com/events/rollins-inc-rol-u-s-all-stars-conference_3g7P9djY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Annual Report 2025 (anexo 15.1 del Form 20-F): mercado mundial de 29.000 M USD, Norteamérica 14.200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https://www.sec.gov/Archives/edgar/data/930157/000110465926034062/rto-20251231xex15d1.htm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Form 10-K 2025 (segmento Global Pest Elimination)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https://www.sec.gov/Archives/edgar/data/31462/000110465926018357/ecl-20251231x10k.htm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https://uploads1.craft.co/uploads/unified_record/source/document/2110991/baa51edb3a5ecd12.pdf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Rentokil Initial del repositorio (sector, competidores y transacciones,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informes/rentokil-2026-10-07/datos-v4.json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control de plagas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sectores/control-plagas-2026-10-15.md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https://www.sec.gov/Archives/edgar/data/84839/000008483926000014/rol-20260317.htm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Rollins presentados entre el 15-oct-2025 y el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https://www.sec.gov/cgi-bin/browse-edgar?action=getcompany&amp;CIK=0000084839&amp;type=4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8-K del 1-may-2026: resultados de la junta del 28-abr-2026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https://www.sec.gov/Archives/edgar/data/84839/000008483926000029/rol-20260428.htm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Announces CFO Transition (8-K del 27-may-2026,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https://www.sec.gov/Archives/edgar/data/84839/000008483926000032/exhibit991pressreleasedate.htm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Announces Closing of Secondary Public Offering (8-K del 12-nov-2025,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https://www.sec.gov/Archives/edgar/data/84839/000162828025051604/exhibit991-closing8xkxnove.htm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del Gary W. Rollins Voting Trust del 21-sep-2026 (reparto de acciones con voto de LOR, Inc. al beneficiario)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https://www.sec.gov/Archives/edgar/data/84839/000110465926109325/tm2623803-1_4seq1.xml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(ROL, SPY, XLI) hasta el 14-oct-2026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previsiones financieras 2024-2028 (ventas, EBITDA, beneficio, BPA, DPA)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https://ca.marketscreener.com/quote/stock/ROLLINS-INC-209671901/finances/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(ROL) Stock Forecast &amp; Price Target (19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5,19 %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servicios a empresas (comparables al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sectores/servicios-uniformes-2026-10-14-comparables.json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del 13 y 14-oct-2026 de CTAS, ECL, ABM, VSTS y ARMK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to acquire UniFirst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https://www.sec.gov/Archives/edgar/data/723254/000095010326003567/dp243132_ex9901.htm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stock heads into the open after a 6.43 percent drop (Piper Sandler rebaja a neutral, objetivo 33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 (MarketBeat/Yahoo)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https://www.ad-hoc-news.de/boerse/news/vorboerse/rollins-stock-heads-into-the-open-after-a-6-43-percent-drop/70181850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schedules date for release of third quarter 2026 financial results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https://finviz.com/news/400010/rollins-inc-schedules-date-for-release-of-third-quarter-2026-financial-results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ROL (RSS,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https://seekingalpha.com/api/sa/combined/ROL.xml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$ROL (sep-oct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https://api.stocktwits.com/api/2/streams/symbol/ROL.json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Slides as Analyst Downgrade Pressures Shares / Rollins stock draws target cuts (resúmenes de noticias con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 / Quiver Quant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https://www.quiverquant.com/news/Rollins+Slides+as+Analyst+Downgrade+Pressures+Shares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Tradegate Exchange: Rollins, Inc. (US7757111049), cotización en EUR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Tradegate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https://www.tradegate.de/orderbuch.php?isin=US7757111049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90,1 %</w:t>
      </w:r>
      <w:r>
        <w:t xml:space="preserve"> · Secciones con menos del 60 % de campos cubiertos: </w:t>
      </w:r>
      <w:r>
        <w:rPr>
          <w:b/>
          <w:bCs/>
        </w:rPr>
        <w:t xml:space="preserve">ninguna</w:t>
      </w:r>
      <w:r>
        <w:t xml:space="preserve"> · Generado el 15 oct 2026.</w:t>
      </w:r>
    </w:p>
    <w:p>
      <w:pPr>
        <w:pStyle w:val="Nota"/>
        <w:spacing w:after="100"/>
      </w:pPr>
      <w:r>
        <w:t xml:space="preserve">Precio: cierre del 14-oct-2026 (32,63 USD), porque la sesión del 15-oct no había cerrado al hacer el análisis; una acción cuesta unos 29,30 EUR en Tradegate [37]. Cuentas 2020-2025 del XBRL de la SEC comprobadas con los 10-K de 2021, 2023 y 2025; intangibles y deuda tomados de los balances de los 10-K porque el XBRL los da incompletos; coste de ventas derivado donde falta (ingresos − gastos comerciales − amortización − EBIT). 2019 queda fuera de la historia de rentabilidad por la falta de intangibles en el XBRL. Puente al 30-jun-2026: las recompras del 3T26 (unos 100 M según la dirección en una conferencia) no tienen aún fuente primaria y no se restan de la caja ni de las acciones. Los arrendamientos operativos (sobre todo vehículos) no van al puente: en US GAAP su coste está dentro del EBITDA. Consenso de MarketScreener contrastado con Stock Analysis; comparables de seis empresas tomados del análisis de Rentokil del 7-oct y de la ficha de servicios del 14-oct, llevados al cierre del 13-14-oct. Las ventas de acciones de la familia se cuentan una vez: los Form 4 del fideicomiso de voto, LOR y los beneficiarios repiten la misma colocación de noviembre de 2025.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Rollins, Inc. (ROL)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32,63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(29,29 – 66,14)</c:v>
                </c:pt>
                <c:pt idx="1">
                  <c:v>Precio objetivo de los analistas (27,00 – 66,00)</c:v>
                </c:pt>
                <c:pt idx="2">
                  <c:v>Comparables: EV/EBITDA NTM (13,28 – 22,37)</c:v>
                </c:pt>
                <c:pt idx="3">
                  <c:v>Comparables: PER NTM (19,44 – 32,73)</c:v>
                </c:pt>
                <c:pt idx="4">
                  <c:v>Transacciones precedentes (EV/ventas) (15,91 – 18,44)</c:v>
                </c:pt>
                <c:pt idx="5">
                  <c:v>DCF (WACC y g ± 0,5) (23,53 – 27,35)</c:v>
                </c:pt>
                <c:pt idx="6">
                  <c:v>Escenarios (bajista – alcista) (20,38 – 28,65)</c:v>
                </c:pt>
                <c:pt idx="7">
                  <c:v>DCF con la prima implícita del mercado (4,2 %)</c:v>
                </c:pt>
                <c:pt idx="8">
                  <c:v>Precio actual (32,63)</c:v>
                </c:pt>
              </c:strCache>
            </c:strRef>
          </c:cat>
          <c:val>
            <c:numRef>
              <c:f>Hoja1!$B$2:$B$10</c:f>
              <c:numCache>
                <c:formatCode>#,##0.0</c:formatCode>
                <c:ptCount val="9"/>
                <c:pt idx="0">
                  <c:v>29.29</c:v>
                </c:pt>
                <c:pt idx="1">
                  <c:v>27</c:v>
                </c:pt>
                <c:pt idx="2">
                  <c:v>13.28</c:v>
                </c:pt>
                <c:pt idx="3">
                  <c:v>19.44</c:v>
                </c:pt>
                <c:pt idx="4">
                  <c:v>15.91</c:v>
                </c:pt>
                <c:pt idx="5">
                  <c:v>23.53</c:v>
                </c:pt>
                <c:pt idx="6">
                  <c:v>20.38</c:v>
                </c:pt>
                <c:pt idx="7">
                  <c:v>26.71</c:v>
                </c:pt>
                <c:pt idx="8">
                  <c:v>32.47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(29,29 – 66,14)</c:v>
                </c:pt>
                <c:pt idx="1">
                  <c:v>Precio objetivo de los analistas (27,00 – 66,00)</c:v>
                </c:pt>
                <c:pt idx="2">
                  <c:v>Comparables: EV/EBITDA NTM (13,28 – 22,37)</c:v>
                </c:pt>
                <c:pt idx="3">
                  <c:v>Comparables: PER NTM (19,44 – 32,73)</c:v>
                </c:pt>
                <c:pt idx="4">
                  <c:v>Transacciones precedentes (EV/ventas) (15,91 – 18,44)</c:v>
                </c:pt>
                <c:pt idx="5">
                  <c:v>DCF (WACC y g ± 0,5) (23,53 – 27,35)</c:v>
                </c:pt>
                <c:pt idx="6">
                  <c:v>Escenarios (bajista – alcista) (20,38 – 28,65)</c:v>
                </c:pt>
                <c:pt idx="7">
                  <c:v>DCF con la prima implícita del mercado (4,2 %)</c:v>
                </c:pt>
                <c:pt idx="8">
                  <c:v>Precio actual (32,63)</c:v>
                </c:pt>
              </c:strCache>
            </c:strRef>
          </c:cat>
          <c:val>
            <c:numRef>
              <c:f>Hoja1!$C$2:$C$10</c:f>
              <c:numCache>
                <c:formatCode>#,##0.0</c:formatCode>
                <c:ptCount val="9"/>
                <c:pt idx="0">
                  <c:v>36.85</c:v>
                </c:pt>
                <c:pt idx="1">
                  <c:v>39</c:v>
                </c:pt>
                <c:pt idx="2">
                  <c:v>9.090000000000002</c:v>
                </c:pt>
                <c:pt idx="3">
                  <c:v>13.289999999999996</c:v>
                </c:pt>
                <c:pt idx="4">
                  <c:v>2.530000000000001</c:v>
                </c:pt>
                <c:pt idx="5">
                  <c:v>3.8200000000000003</c:v>
                </c:pt>
                <c:pt idx="6">
                  <c:v>8.27</c:v>
                </c:pt>
                <c:pt idx="7">
                  <c:v>3.289999999999999</c:v>
                </c:pt>
                <c:pt idx="8">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Residencial</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1409.9</c:v>
                </c:pt>
                <c:pt idx="1">
                  <c:v>1535.1</c:v>
                </c:pt>
                <c:pt idx="2">
                  <c:v>1693.2</c:v>
                </c:pt>
              </c:numCache>
            </c:numRef>
          </c:val>
        </c:ser>
        <c:ser>
          <c:idx val="1"/>
          <c:order val="1"/>
          <c:tx>
            <c:strRef>
              <c:f>Hoja1!$C$1</c:f>
              <c:strCache>
                <c:ptCount val="1"/>
                <c:pt idx="0">
                  <c:v>Comercial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1024.2</c:v>
                </c:pt>
                <c:pt idx="1">
                  <c:v>1126</c:v>
                </c:pt>
                <c:pt idx="2">
                  <c:v>1244.7</c:v>
                </c:pt>
              </c:numCache>
            </c:numRef>
          </c:val>
        </c:ser>
        <c:ser>
          <c:idx val="2"/>
          <c:order val="2"/>
          <c:tx>
            <c:strRef>
              <c:f>Hoja1!$D$1</c:f>
              <c:strCache>
                <c:ptCount val="1"/>
                <c:pt idx="0">
                  <c:v>Termitas y servicios auxiliares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605.5</c:v>
                </c:pt>
                <c:pt idx="1">
                  <c:v>688.2</c:v>
                </c:pt>
                <c:pt idx="2">
                  <c:v>781.5</c:v>
                </c:pt>
              </c:numCache>
            </c:numRef>
          </c:val>
        </c:ser>
        <c:ser>
          <c:idx val="3"/>
          <c:order val="3"/>
          <c:tx>
            <c:strRef>
              <c:f>Hoja1!$E$1</c:f>
              <c:strCache>
                <c:ptCount val="1"/>
                <c:pt idx="0">
                  <c:v>Franquicias y otros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33.7</c:v>
                </c:pt>
                <c:pt idx="1">
                  <c:v>39.5</c:v>
                </c:pt>
                <c:pt idx="2">
                  <c:v>41.5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Residencial</c:v>
                </c:pt>
                <c:pt idx="1">
                  <c:v>Comercial</c:v>
                </c:pt>
                <c:pt idx="2">
                  <c:v>Termitas y servicios auxiliares</c:v>
                </c:pt>
                <c:pt idx="3">
                  <c:v>Franquicias y otros</c:v>
                </c:pt>
              </c:strCache>
            </c:strRef>
          </c:cat>
          <c:val>
            <c:numRef>
              <c:f>Hoja1!$B$2:$B$5</c:f>
              <c:numCache>
                <c:formatCode>General</c:formatCode>
                <c:ptCount val="4"/>
                <c:pt idx="0">
                  <c:v>45</c:v>
                </c:pt>
                <c:pt idx="1">
                  <c:v>33.1</c:v>
                </c:pt>
                <c:pt idx="2">
                  <c:v>20.8</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Otros países (Canadá, Australia, Reino Unido, Singapur…)</c:v>
                </c:pt>
              </c:strCache>
            </c:strRef>
          </c:cat>
          <c:val>
            <c:numRef>
              <c:f>Hoja1!$B$2:$B$3</c:f>
              <c:numCache>
                <c:formatCode>0"%"</c:formatCode>
                <c:ptCount val="2"/>
                <c:pt idx="0">
                  <c:v>92.8</c:v>
                </c:pt>
                <c:pt idx="1">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(Norteamérica; 2030e estimación propia al 6 %))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2028e</c:v>
                </c:pt>
                <c:pt idx="3">
                  <c:v>2030e</c:v>
                </c:pt>
              </c:strCache>
            </c:strRef>
          </c:cat>
          <c:val>
            <c:numRef>
              <c:f>Hoja1!$B$2:$B$5</c:f>
              <c:numCache>
                <c:formatCode>#,##0</c:formatCode>
                <c:ptCount val="4"/>
                <c:pt idx="0">
                  <c:v>14200</c:v>
                </c:pt>
                <c:pt idx="1">
                  <c:v>15050</c:v>
                </c:pt>
                <c:pt idx="2">
                  <c:v>16900</c:v>
                </c:pt>
                <c:pt idx="3">
                  <c:v>19000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Rollins</c:v>
                </c:pt>
                <c:pt idx="1">
                  <c:v>Rentokil Initial (Terminix en EE. UU.)</c:v>
                </c:pt>
                <c:pt idx="2">
                  <c:v>Anticimex (EQT)</c:v>
                </c:pt>
                <c:pt idx="3">
                  <c:v>Ecolab (Global Pest Elimination)</c:v>
                </c:pt>
                <c:pt idx="4">
                  <c:v>Aptive Environmental</c:v>
                </c:pt>
                <c:pt idx="5">
                  <c:v>Operadores locales (≈ 33.000 empresas de menos de 50 M)</c:v>
                </c:pt>
              </c:strCache>
            </c:strRef>
          </c:cat>
          <c:val>
            <c:numRef>
              <c:f>Hoja1!$B$2:$B$7</c:f>
              <c:numCache>
                <c:formatCode>0.0"%"</c:formatCode>
                <c:ptCount val="6"/>
                <c:pt idx="0">
                  <c:v>19.3</c:v>
                </c:pt>
                <c:pt idx="1">
                  <c:v>12.8</c:v>
                </c:pt>
                <c:pt idx="2">
                  <c:v>13.8</c:v>
                </c:pt>
                <c:pt idx="3">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2161.2</c:v>
                </c:pt>
                <c:pt idx="1">
                  <c:v>2424.3</c:v>
                </c:pt>
                <c:pt idx="2">
                  <c:v>2695.8</c:v>
                </c:pt>
                <c:pt idx="3">
                  <c:v>3073.3</c:v>
                </c:pt>
                <c:pt idx="4">
                  <c:v>3388.7</c:v>
                </c:pt>
                <c:pt idx="5">
                  <c:v>3761.1</c:v>
                </c:pt>
                <c:pt idx="6">
                  <c:v>4081</c:v>
                </c:pt>
                <c:pt idx="7">
                  <c:v>4387</c:v>
                </c:pt>
                <c:pt idx="8">
                  <c:v>4716</c:v>
                </c:pt>
                <c:pt idx="9">
                  <c:v>5046</c:v>
                </c:pt>
                <c:pt idx="10">
                  <c:v>5374</c:v>
                </c:pt>
                <c:pt idx="11">
                  <c:v>5670</c:v>
                </c:pt>
                <c:pt idx="12">
                  <c:v>5925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464.4</c:v>
                </c:pt>
                <c:pt idx="1">
                  <c:v>534.2</c:v>
                </c:pt>
                <c:pt idx="2">
                  <c:v>584.7</c:v>
                </c:pt>
                <c:pt idx="3">
                  <c:v>683</c:v>
                </c:pt>
                <c:pt idx="4">
                  <c:v>770.4</c:v>
                </c:pt>
                <c:pt idx="5">
                  <c:v>850.8</c:v>
                </c:pt>
                <c:pt idx="6">
                  <c:v>881</c:v>
                </c:pt>
                <c:pt idx="7">
                  <c:v>961</c:v>
                </c:pt>
                <c:pt idx="8">
                  <c:v>1047</c:v>
                </c:pt>
                <c:pt idx="9">
                  <c:v>1135</c:v>
                </c:pt>
                <c:pt idx="10">
                  <c:v>1220</c:v>
                </c:pt>
                <c:pt idx="11">
                  <c:v>1293</c:v>
                </c:pt>
                <c:pt idx="12">
                  <c:v>1351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51.5</c:v>
                </c:pt>
                <c:pt idx="1">
                  <c:v>52</c:v>
                </c:pt>
                <c:pt idx="2">
                  <c:v>51.5</c:v>
                </c:pt>
                <c:pt idx="3">
                  <c:v>52</c:v>
                </c:pt>
                <c:pt idx="4">
                  <c:v>52.7</c:v>
                </c:pt>
                <c:pt idx="5">
                  <c:v>52.8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21.5</c:v>
                </c:pt>
                <c:pt idx="1">
                  <c:v>22</c:v>
                </c:pt>
                <c:pt idx="2">
                  <c:v>21.7</c:v>
                </c:pt>
                <c:pt idx="3">
                  <c:v>22.2</c:v>
                </c:pt>
                <c:pt idx="4">
                  <c:v>22.7</c:v>
                </c:pt>
                <c:pt idx="5">
                  <c:v>22.6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17.4</c:v>
                </c:pt>
                <c:pt idx="1">
                  <c:v>18.5</c:v>
                </c:pt>
                <c:pt idx="2">
                  <c:v>18.3</c:v>
                </c:pt>
                <c:pt idx="3">
                  <c:v>19</c:v>
                </c:pt>
                <c:pt idx="4">
                  <c:v>19.4</c:v>
                </c:pt>
                <c:pt idx="5">
                  <c:v>19.3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12.3</c:v>
                </c:pt>
                <c:pt idx="1">
                  <c:v>14.7</c:v>
                </c:pt>
                <c:pt idx="2">
                  <c:v>13.7</c:v>
                </c:pt>
                <c:pt idx="3">
                  <c:v>14.2</c:v>
                </c:pt>
                <c:pt idx="4">
                  <c:v>13.8</c:v>
                </c:pt>
                <c:pt idx="5">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12</c:v>
                </c:pt>
                <c:pt idx="5">
                  <c:v>9.7</c:v>
                </c:pt>
                <c:pt idx="6">
                  <c:v>10.2</c:v>
                </c:pt>
                <c:pt idx="7">
                  <c:v>7.9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7.2</c:v>
                </c:pt>
                <c:pt idx="5">
                  <c:v>5.7</c:v>
                </c:pt>
                <c:pt idx="6">
                  <c:v>6.6</c:v>
                </c:pt>
                <c:pt idx="7">
                  <c:v>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21</c:v>
                </c:pt>
                <c:pt idx="1">
                  <c:v>21</c:v>
                </c:pt>
                <c:pt idx="2">
                  <c:v>21</c:v>
                </c:pt>
                <c:pt idx="3">
                  <c:v>21</c:v>
                </c:pt>
                <c:pt idx="4">
                  <c:v>21</c:v>
                </c:pt>
                <c:pt idx="5">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c:v>
                </c:pt>
                <c:pt idx="1">
                  <c:v>9</c:v>
                </c:pt>
                <c:pt idx="2">
                  <c:v>8</c:v>
                </c:pt>
                <c:pt idx="3">
                  <c:v>8</c:v>
                </c:pt>
                <c:pt idx="4">
                  <c:v>9</c:v>
                </c:pt>
                <c:pt idx="5">
                  <c:v>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22</c:v>
                </c:pt>
                <c:pt idx="1">
                  <c:v>14</c:v>
                </c:pt>
                <c:pt idx="2">
                  <c:v>12</c:v>
                </c:pt>
                <c:pt idx="3">
                  <c:v>12</c:v>
                </c:pt>
                <c:pt idx="4">
                  <c:v>11</c:v>
                </c:pt>
                <c:pt idx="5">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412.6</c:v>
                </c:pt>
                <c:pt idx="1">
                  <c:v>374.6</c:v>
                </c:pt>
                <c:pt idx="2">
                  <c:v>435.29999999999995</c:v>
                </c:pt>
                <c:pt idx="3">
                  <c:v>495.9</c:v>
                </c:pt>
                <c:pt idx="4">
                  <c:v>580.1</c:v>
                </c:pt>
                <c:pt idx="5">
                  <c:v>650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266.8</c:v>
                </c:pt>
                <c:pt idx="1">
                  <c:v>356.6</c:v>
                </c:pt>
                <c:pt idx="2">
                  <c:v>368.6</c:v>
                </c:pt>
                <c:pt idx="3">
                  <c:v>435</c:v>
                </c:pt>
                <c:pt idx="4">
                  <c:v>466.4</c:v>
                </c:pt>
                <c:pt idx="5">
                  <c:v>526.7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25.9</c:v>
                </c:pt>
                <c:pt idx="1">
                  <c:v>29.7</c:v>
                </c:pt>
                <c:pt idx="2">
                  <c:v>30.5</c:v>
                </c:pt>
                <c:pt idx="3">
                  <c:v>31.2</c:v>
                </c:pt>
                <c:pt idx="4">
                  <c:v>30.6</c:v>
                </c:pt>
                <c:pt idx="5">
                  <c:v>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9.6</c:v>
                </c:pt>
                <c:pt idx="1">
                  <c:v>9.6</c:v>
                </c:pt>
                <c:pt idx="2">
                  <c:v>9.6</c:v>
                </c:pt>
                <c:pt idx="3">
                  <c:v>9.6</c:v>
                </c:pt>
                <c:pt idx="4">
                  <c:v>9.6</c:v>
                </c:pt>
                <c:pt idx="5">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27.7</c:v>
                </c:pt>
                <c:pt idx="1">
                  <c:v>34.4</c:v>
                </c:pt>
                <c:pt idx="2">
                  <c:v>31</c:v>
                </c:pt>
                <c:pt idx="3">
                  <c:v>35.9</c:v>
                </c:pt>
                <c:pt idx="4">
                  <c:v>37.5</c:v>
                </c:pt>
                <c:pt idx="5">
                  <c:v>38.9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0.23</c:v>
                </c:pt>
                <c:pt idx="1">
                  <c:v>0.09</c:v>
                </c:pt>
                <c:pt idx="2">
                  <c:v>-0.07</c:v>
                </c:pt>
                <c:pt idx="3">
                  <c:v>0.57</c:v>
                </c:pt>
                <c:pt idx="4">
                  <c:v>0.4</c:v>
                </c:pt>
                <c:pt idx="5">
                  <c:v>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2027-2034</c:v>
                </c:pt>
                <c:pt idx="2">
                  <c:v>2035</c:v>
                </c:pt>
              </c:strCache>
            </c:strRef>
          </c:cat>
          <c:val>
            <c:numRef>
              <c:f>Hoja1!$B$2:$B$4</c:f>
              <c:numCache>
                <c:formatCode>#,##0</c:formatCode>
                <c:ptCount val="3"/>
                <c:pt idx="0">
                  <c:v>215.9</c:v>
                </c:pt>
                <c:pt idx="1">
                  <c:v>0</c:v>
                </c:pt>
                <c:pt idx="2">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147.6</c:v>
                </c:pt>
                <c:pt idx="1">
                  <c:v>146.1</c:v>
                </c:pt>
                <c:pt idx="2">
                  <c:v>119.2</c:v>
                </c:pt>
                <c:pt idx="3">
                  <c:v>366.9</c:v>
                </c:pt>
                <c:pt idx="4">
                  <c:v>157.5</c:v>
                </c:pt>
                <c:pt idx="5">
                  <c:v>309.5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208.7</c:v>
                </c:pt>
                <c:pt idx="2">
                  <c:v>211.6</c:v>
                </c:pt>
                <c:pt idx="3">
                  <c:v>264.3</c:v>
                </c:pt>
                <c:pt idx="4">
                  <c:v>298</c:v>
                </c:pt>
                <c:pt idx="5">
                  <c:v>327.9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8.3</c:v>
                </c:pt>
                <c:pt idx="1">
                  <c:v>10.7</c:v>
                </c:pt>
                <c:pt idx="2">
                  <c:v>7.1</c:v>
                </c:pt>
                <c:pt idx="3">
                  <c:v>315</c:v>
                </c:pt>
                <c:pt idx="4">
                  <c:v>11.6</c:v>
                </c:pt>
                <c:pt idx="5">
                  <c:v>216.9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2</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Grupo familiar Rollins (LOR, Inc., fideicomisos de voto y familiares)</c:v>
                </c:pt>
                <c:pt idx="1">
                  <c:v>Vanguard</c:v>
                </c:pt>
                <c:pt idx="2">
                  <c:v>BlackRock</c:v>
                </c:pt>
              </c:strCache>
            </c:strRef>
          </c:cat>
          <c:val>
            <c:numRef>
              <c:f>Hoja1!$B$2:$B$4</c:f>
              <c:numCache>
                <c:formatCode>0.0"%"</c:formatCode>
                <c:ptCount val="3"/>
                <c:pt idx="0">
                  <c:v>37.86</c:v>
                </c:pt>
                <c:pt idx="1">
                  <c:v>7.94</c:v>
                </c:pt>
                <c:pt idx="2">
                  <c:v>5.92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32.8</c:v>
                </c:pt>
                <c:pt idx="1">
                  <c:v>39.6</c:v>
                </c:pt>
                <c:pt idx="2">
                  <c:v>17.7</c:v>
                </c:pt>
                <c:pt idx="3">
                  <c:v>-7</c:v>
                </c:pt>
                <c:pt idx="4">
                  <c:v>78.5</c:v>
                </c:pt>
                <c:pt idx="5">
                  <c:v>-11.4</c:v>
                </c:pt>
                <c:pt idx="6">
                  <c:v>8.1</c:v>
                </c:pt>
                <c:pt idx="7">
                  <c:v>21.2</c:v>
                </c:pt>
                <c:pt idx="8">
                  <c:v>7.6</c:v>
                </c:pt>
                <c:pt idx="9">
                  <c:v>31.1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41.6</c:v>
                </c:pt>
                <c:pt idx="1">
                  <c:v>31.6</c:v>
                </c:pt>
                <c:pt idx="2">
                  <c:v>30.7</c:v>
                </c:pt>
                <c:pt idx="3">
                  <c:v>31.9</c:v>
                </c:pt>
                <c:pt idx="4">
                  <c:v>29.5</c:v>
                </c:pt>
                <c:pt idx="5">
                  <c:v>34.8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31.8</c:v>
                </c:pt>
                <c:pt idx="1">
                  <c:v>31.8</c:v>
                </c:pt>
                <c:pt idx="2">
                  <c:v>31.8</c:v>
                </c:pt>
                <c:pt idx="3">
                  <c:v>31.8</c:v>
                </c:pt>
                <c:pt idx="4">
                  <c:v>31.8</c:v>
                </c:pt>
                <c:pt idx="5">
                  <c:v>31.8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Rollins</c:v>
                </c:pt>
                <c:pt idx="1">
                  <c:v>Cintas</c:v>
                </c:pt>
                <c:pt idx="2">
                  <c:v>Ecolab</c:v>
                </c:pt>
                <c:pt idx="3">
                  <c:v>Rentokil Initial</c:v>
                </c:pt>
                <c:pt idx="4">
                  <c:v>Elis</c:v>
                </c:pt>
                <c:pt idx="5">
                  <c:v>ABM Industries</c:v>
                </c:pt>
                <c:pt idx="6">
                  <c:v>Aramark</c:v>
                </c:pt>
                <c:pt idx="7">
                  <c:v>Vestis</c:v>
                </c:pt>
              </c:strCache>
            </c:strRef>
          </c:cat>
          <c:val>
            <c:numRef>
              <c:f>Hoja1!$B$2:$B$9</c:f>
              <c:numCache>
                <c:formatCode>0.0"x"</c:formatCode>
                <c:ptCount val="8"/>
                <c:pt idx="0">
                  <c:v>17</c:v>
                </c:pt>
                <c:pt idx="2">
                  <c:v>18.4</c:v>
                </c:pt>
                <c:pt idx="3">
                  <c:v>9.7</c:v>
                </c:pt>
                <c:pt idx="4">
                  <c:v>4.9</c:v>
                </c:pt>
                <c:pt idx="5">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Rollins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8.5</c:v>
                </c:pt>
              </c:numCache>
            </c:numRef>
          </c:xVal>
          <c:yVal>
            <c:numRef>
              <c:f>Hoja1!$C$2</c:f>
              <c:numCache>
                <c:formatCode>0.0"x"</c:formatCode>
                <c:ptCount val="1"/>
                <c:pt idx="0">
                  <c:v>17</c:v>
                </c:pt>
              </c:numCache>
            </c:numRef>
          </c:yVal>
          <c:smooth val="0"/>
        </c:ser>
        <c:ser>
          <c:idx val="1"/>
          <c:order val="1"/>
          <c:tx>
            <c:strRef>
              <c:f>Hoja1!$A$3</c:f>
              <c:strCache>
                <c:ptCount val="1"/>
                <c:pt idx="0">
                  <c:v>Ecolab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c:v>
                </c:pt>
              </c:numCache>
            </c:numRef>
          </c:xVal>
          <c:yVal>
            <c:numRef>
              <c:f>Hoja1!$C$3</c:f>
              <c:numCache>
                <c:formatCode>0.0"x"</c:formatCode>
                <c:ptCount val="1"/>
                <c:pt idx="0">
                  <c:v>18.4</c:v>
                </c:pt>
              </c:numCache>
            </c:numRef>
          </c:yVal>
          <c:smooth val="0"/>
        </c:ser>
        <c:ser>
          <c:idx val="2"/>
          <c:order val="2"/>
          <c:tx>
            <c:strRef>
              <c:f>Hoja1!$A$4</c:f>
              <c:strCache>
                <c:ptCount val="1"/>
                <c:pt idx="0">
                  <c:v>Rentokil Initial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3.3</c:v>
                </c:pt>
              </c:numCache>
            </c:numRef>
          </c:xVal>
          <c:yVal>
            <c:numRef>
              <c:f>Hoja1!$C$4</c:f>
              <c:numCache>
                <c:formatCode>0.0"x"</c:formatCode>
                <c:ptCount val="1"/>
                <c:pt idx="0">
                  <c:v>9.7</c:v>
                </c:pt>
              </c:numCache>
            </c:numRef>
          </c:yVal>
          <c:smooth val="0"/>
        </c:ser>
        <c:ser>
          <c:idx val="3"/>
          <c:order val="3"/>
          <c:tx>
            <c:strRef>
              <c:f>Hoja1!$A$5</c:f>
              <c:strCache>
                <c:ptCount val="1"/>
                <c:pt idx="0">
                  <c:v>Elis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4.8</c:v>
                </c:pt>
              </c:numCache>
            </c:numRef>
          </c:xVal>
          <c:yVal>
            <c:numRef>
              <c:f>Hoja1!$C$5</c:f>
              <c:numCache>
                <c:formatCode>0.0"x"</c:formatCode>
                <c:ptCount val="1"/>
                <c:pt idx="0">
                  <c:v>4.9</c:v>
                </c:pt>
              </c:numCache>
            </c:numRef>
          </c:yVal>
          <c:smooth val="0"/>
        </c:ser>
        <c:ser>
          <c:idx val="4"/>
          <c:order val="4"/>
          <c:tx>
            <c:strRef>
              <c:f>Hoja1!$A$6</c:f>
              <c:strCache>
                <c:ptCount val="1"/>
                <c:pt idx="0">
                  <c:v>ABM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4.5</c:v>
                </c:pt>
              </c:numCache>
            </c:numRef>
          </c:xVal>
          <c:yVal>
            <c:numRef>
              <c:f>Hoja1!$C$6</c:f>
              <c:numCache>
                <c:formatCode>0.0"x"</c:formatCode>
                <c:ptCount val="1"/>
                <c:pt idx="0">
                  <c:v>8.1</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Terminix Global Holdings (EE. UU., plagas y termitas)</c:v>
                </c:pt>
                <c:pt idx="1">
                  <c:v>UniFirst (EE. UU., uniformes)</c:v>
                </c:pt>
                <c:pt idx="2">
                  <c:v>Saela Pest Control (EE. UU., residencial puerta a puerta)</c:v>
                </c:pt>
                <c:pt idx="3">
                  <c:v>Romex Pest Control (EE. UU.)</c:v>
                </c:pt>
                <c:pt idx="4">
                  <c:v>SOLitude Lake Management (EE. UU.)</c:v>
                </c:pt>
                <c:pt idx="5">
                  <c:v>France Workwear (textil de Rentokil en Francia)</c:v>
                </c:pt>
              </c:strCache>
            </c:strRef>
          </c:cat>
          <c:val>
            <c:numRef>
              <c:f>Hoja1!$B$2:$B$7</c:f>
              <c:numCache>
                <c:formatCode>0.0"x"</c:formatCode>
                <c:ptCount val="6"/>
                <c:pt idx="0">
                  <c:v>14.3</c:v>
                </c:pt>
                <c:pt idx="1">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411</c:v>
                </c:pt>
                <c:pt idx="1">
                  <c:v>480</c:v>
                </c:pt>
                <c:pt idx="2">
                  <c:v>528</c:v>
                </c:pt>
                <c:pt idx="3">
                  <c:v>587</c:v>
                </c:pt>
                <c:pt idx="4">
                  <c:v>651</c:v>
                </c:pt>
                <c:pt idx="5">
                  <c:v>750</c:v>
                </c:pt>
                <c:pt idx="6">
                  <c:v>846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2893</c:v>
                </c:pt>
                <c:pt idx="1">
                  <c:v>9829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32,63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20.38</c:v>
                </c:pt>
                <c:pt idx="1">
                  <c:v>25.21</c:v>
                </c:pt>
                <c:pt idx="2">
                  <c:v>28.65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32,63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(29,29 – 66,14)</c:v>
                </c:pt>
                <c:pt idx="1">
                  <c:v>Precio objetivo de los analistas (27,00 – 66,00)</c:v>
                </c:pt>
                <c:pt idx="2">
                  <c:v>Comparables: EV/EBITDA NTM (13,28 – 22,37)</c:v>
                </c:pt>
                <c:pt idx="3">
                  <c:v>Comparables: PER NTM (19,44 – 32,73)</c:v>
                </c:pt>
                <c:pt idx="4">
                  <c:v>Transacciones precedentes (EV/ventas) (15,91 – 18,44)</c:v>
                </c:pt>
                <c:pt idx="5">
                  <c:v>DCF (WACC y g ± 0,5) (23,53 – 27,35)</c:v>
                </c:pt>
                <c:pt idx="6">
                  <c:v>Escenarios (bajista – alcista) (20,38 – 28,65)</c:v>
                </c:pt>
                <c:pt idx="7">
                  <c:v>DCF con la prima implícita del mercado (4,2 %)</c:v>
                </c:pt>
                <c:pt idx="8">
                  <c:v>Precio actual (32,63)</c:v>
                </c:pt>
              </c:strCache>
            </c:strRef>
          </c:cat>
          <c:val>
            <c:numRef>
              <c:f>Hoja1!$B$2:$B$10</c:f>
              <c:numCache>
                <c:formatCode>#,##0.0</c:formatCode>
                <c:ptCount val="9"/>
                <c:pt idx="0">
                  <c:v>29.29</c:v>
                </c:pt>
                <c:pt idx="1">
                  <c:v>27</c:v>
                </c:pt>
                <c:pt idx="2">
                  <c:v>13.28</c:v>
                </c:pt>
                <c:pt idx="3">
                  <c:v>19.44</c:v>
                </c:pt>
                <c:pt idx="4">
                  <c:v>15.91</c:v>
                </c:pt>
                <c:pt idx="5">
                  <c:v>23.53</c:v>
                </c:pt>
                <c:pt idx="6">
                  <c:v>20.38</c:v>
                </c:pt>
                <c:pt idx="7">
                  <c:v>26.71</c:v>
                </c:pt>
                <c:pt idx="8">
                  <c:v>32.47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(29,29 – 66,14)</c:v>
                </c:pt>
                <c:pt idx="1">
                  <c:v>Precio objetivo de los analistas (27,00 – 66,00)</c:v>
                </c:pt>
                <c:pt idx="2">
                  <c:v>Comparables: EV/EBITDA NTM (13,28 – 22,37)</c:v>
                </c:pt>
                <c:pt idx="3">
                  <c:v>Comparables: PER NTM (19,44 – 32,73)</c:v>
                </c:pt>
                <c:pt idx="4">
                  <c:v>Transacciones precedentes (EV/ventas) (15,91 – 18,44)</c:v>
                </c:pt>
                <c:pt idx="5">
                  <c:v>DCF (WACC y g ± 0,5) (23,53 – 27,35)</c:v>
                </c:pt>
                <c:pt idx="6">
                  <c:v>Escenarios (bajista – alcista) (20,38 – 28,65)</c:v>
                </c:pt>
                <c:pt idx="7">
                  <c:v>DCF con la prima implícita del mercado (4,2 %)</c:v>
                </c:pt>
                <c:pt idx="8">
                  <c:v>Precio actual (32,63)</c:v>
                </c:pt>
              </c:strCache>
            </c:strRef>
          </c:cat>
          <c:val>
            <c:numRef>
              <c:f>Hoja1!$C$2:$C$10</c:f>
              <c:numCache>
                <c:formatCode>#,##0.0</c:formatCode>
                <c:ptCount val="9"/>
                <c:pt idx="0">
                  <c:v>36.85</c:v>
                </c:pt>
                <c:pt idx="1">
                  <c:v>39</c:v>
                </c:pt>
                <c:pt idx="2">
                  <c:v>9.090000000000002</c:v>
                </c:pt>
                <c:pt idx="3">
                  <c:v>13.289999999999996</c:v>
                </c:pt>
                <c:pt idx="4">
                  <c:v>2.530000000000001</c:v>
                </c:pt>
                <c:pt idx="5">
                  <c:v>3.8200000000000003</c:v>
                </c:pt>
                <c:pt idx="6">
                  <c:v>8.27</c:v>
                </c:pt>
                <c:pt idx="7">
                  <c:v>3.289999999999999</c:v>
                </c:pt>
                <c:pt idx="8">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